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r>
        <w:rPr>
          <w:b/>
          <w:color w:val="595959"/>
          <w:sz w:val="22"/>
        </w:rPr>
        <w:t>INDEPENDENT REVIEW</w:t>
      </w:r>
    </w:p>
    <w:p>
      <w:r>
        <w:rPr>
          <w:b/>
          <w:color w:val="1F3864"/>
          <w:sz w:val="48"/>
        </w:rPr>
        <w:t>Expert review of the Pega 26.1.1 Kafka and Search Runbook</w:t>
      </w:r>
    </w:p>
    <w:p>
      <w:r>
        <w:rPr>
          <w:b w:val="0"/>
          <w:color w:val="1F3864"/>
          <w:sz w:val="28"/>
        </w:rPr>
        <w:t>Version 2.0 reviewed and corrected as 2.1; data review issued as 2.2; second review issued as 2.3</w:t>
      </w:r>
    </w:p>
    <w:p>
      <w:r>
        <w:rPr>
          <w:b w:val="0"/>
          <w:color w:val="595959"/>
          <w:sz w:val="22"/>
        </w:rPr>
        <w:t>2 October 2026  |  Customer Confidential</w:t>
      </w:r>
    </w:p>
    <w:p>
      <w:pPr>
        <w:pStyle w:val="Heading1"/>
        <w:pageBreakBefore/>
      </w:pPr>
      <w:r>
        <w:t>1  Summary</w:t>
      </w:r>
    </w:p>
    <w:p>
      <w:r>
        <w:t xml:space="preserve">Version 2.0 of the runbook was reviewed against fourteen dimensions, from vendor alignment to sizing and observability. The review found 24 issues. Three were critical: the SRS Helm values in version 2.0 would not have installed, Pega would have called SRS on the wrong port, and the SRS chart's own network policy would have blocked SRS from reaching OpenSearch and Okta. All three were found by rendering the values files with </w:t>
      </w:r>
      <w:r>
        <w:rPr>
          <w:rFonts w:ascii="Consolas" w:hAnsi="Consolas"/>
          <w:color w:val="1F3864"/>
          <w:sz w:val="19"/>
        </w:rPr>
        <w:t>helm template</w:t>
      </w:r>
      <w:r>
        <w:t xml:space="preserve"> against charts 4.13.0, which reading the README alone did not reveal.</w:t>
      </w:r>
    </w:p>
    <w:p>
      <w:r>
        <w:t>The other findings were gaps rather than errors: availability zone design, Confluent's connection and request limits, the installer's possible need for Kafka, Okta key rotation and rate limits, OpenSearch sizing formulas, performance testing, sizing and observability. Version 2.1 corrects every finding. Seven items remain open because only the customer, Pega Support or a DEV test can close them (Section 7).</w:t>
      </w:r>
    </w:p>
    <w:p>
      <w:r>
        <w:t>A second review of version 2.1 looked at the data itself: what Pega puts on Kafka and into OpenSearch, how sensitive it is, and how it is protected, kept, erased and recovered. It found eleven gaps (F-25 to F-35). The most serious were three choices that are fixed when a resource is created: the Confluent encryption key mode, whose Enterprise variant needs a Key Vault reachable from all networks; AKS encryption at host, without which logs and heap dumps sit on unencrypted ephemeral disks; and the data class of the shared PERF and PREPROD services. Version 2.2 adds Section 9 to the runbook to close them.</w:t>
      </w:r>
    </w:p>
    <w:p>
      <w:r>
        <w:t>A third pass reviewed version 2.2 against all fifteen dimensions and re-checked every earlier finding against its source (Section 5). All earlier findings were upheld except one: the correction for F-08 had stated only half of what Confluent's page says about enforcing its limits (F-36). The pass found ten issues in total (F-36 to F-45), none critical. They were an inconsistent zone policy for DEV, SIT and UAT, provider criteria that did not require what the design relies on, no route from the logs to an arbitrary SIEM, and missing procedures and records for tests, the workload model and the sizing inputs. Version 2.3 corrects all of them.</w:t>
      </w:r>
    </w:p>
    <w:p>
      <w:r>
        <w:t>With version 2.3 the document scores 5 on every dimension for document readiness (Section 6). What remains open is not missing from the document: it is inputs that only the programme can supply, such as Pega Support answers, customer decisions and measurements from the tests the runbook defines. Each has an owner, a milestone, a recommended answer and a planned response (Section 7).</w:t>
      </w:r>
    </w:p>
    <w:p>
      <w:pPr>
        <w:pStyle w:val="Caption"/>
        <w:keepNext/>
        <w:spacing w:before="80"/>
      </w:pPr>
      <w:r>
        <w:t>Table 1. Findings by severity</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360"/>
        <w:gridCol w:w="6577"/>
        <w:gridCol w:w="1474"/>
      </w:tblGrid>
      <w:tr>
        <w:trPr>
          <w:tblHeader w:val="true"/>
          <w:cantSplit w:val="true"/>
        </w:trPr>
        <w:tc>
          <w:tcPr>
            <w:tcW w:type="dxa" w:w="1361"/>
            <w:shd w:val="clear" w:color="auto" w:fill="1F3864"/>
          </w:tcPr>
          <w:p>
            <w:pPr>
              <w:spacing w:after="0"/>
            </w:pPr>
            <w:r>
              <w:rPr>
                <w:b/>
                <w:color w:val="FFFFFF"/>
                <w:sz w:val="19"/>
              </w:rPr>
              <w:t>Severity</w:t>
            </w:r>
          </w:p>
        </w:tc>
        <w:tc>
          <w:tcPr>
            <w:tcW w:type="dxa" w:w="6576"/>
            <w:shd w:val="clear" w:color="auto" w:fill="1F3864"/>
          </w:tcPr>
          <w:p>
            <w:pPr>
              <w:spacing w:after="0"/>
            </w:pPr>
            <w:r>
              <w:rPr>
                <w:b/>
                <w:color w:val="FFFFFF"/>
                <w:sz w:val="19"/>
              </w:rPr>
              <w:t>Meaning</w:t>
            </w:r>
          </w:p>
        </w:tc>
        <w:tc>
          <w:tcPr>
            <w:tcW w:type="dxa" w:w="1474"/>
            <w:shd w:val="clear" w:color="auto" w:fill="1F3864"/>
          </w:tcPr>
          <w:p>
            <w:pPr>
              <w:spacing w:after="0"/>
            </w:pPr>
            <w:r>
              <w:rPr>
                <w:b/>
                <w:color w:val="FFFFFF"/>
                <w:sz w:val="19"/>
              </w:rPr>
              <w:t>Count</w:t>
            </w:r>
          </w:p>
        </w:tc>
      </w:tr>
      <w:tr>
        <w:trPr>
          <w:cantSplit w:val="true"/>
        </w:trPr>
        <w:tc>
          <w:tcPr>
            <w:tcW w:type="dxa" w:w="1361"/>
          </w:tcPr>
          <w:p>
            <w:pPr>
              <w:spacing w:after="20" w:line="240" w:lineRule="auto"/>
            </w:pPr>
            <w:r>
              <w:rPr>
                <w:sz w:val="19"/>
              </w:rPr>
              <w:t>Critical</w:t>
            </w:r>
          </w:p>
        </w:tc>
        <w:tc>
          <w:tcPr>
            <w:tcW w:type="dxa" w:w="6576"/>
          </w:tcPr>
          <w:p>
            <w:pPr>
              <w:spacing w:after="20" w:line="240" w:lineRule="auto"/>
            </w:pPr>
            <w:r>
              <w:rPr>
                <w:sz w:val="19"/>
              </w:rPr>
              <w:t>The deployment would fail or be insecure as written</w:t>
            </w:r>
          </w:p>
        </w:tc>
        <w:tc>
          <w:tcPr>
            <w:tcW w:type="dxa" w:w="1474"/>
          </w:tcPr>
          <w:p>
            <w:pPr>
              <w:spacing w:after="20" w:line="240" w:lineRule="auto"/>
            </w:pPr>
            <w:r>
              <w:rPr>
                <w:sz w:val="19"/>
              </w:rPr>
              <w:t>3</w:t>
            </w:r>
          </w:p>
        </w:tc>
      </w:tr>
      <w:tr>
        <w:trPr>
          <w:cantSplit w:val="true"/>
        </w:trPr>
        <w:tc>
          <w:tcPr>
            <w:tcW w:type="dxa" w:w="1361"/>
            <w:shd w:val="clear" w:color="auto" w:fill="F2F5FA"/>
          </w:tcPr>
          <w:p>
            <w:pPr>
              <w:spacing w:after="20" w:line="240" w:lineRule="auto"/>
            </w:pPr>
            <w:r>
              <w:rPr>
                <w:sz w:val="19"/>
              </w:rPr>
              <w:t>High</w:t>
            </w:r>
          </w:p>
        </w:tc>
        <w:tc>
          <w:tcPr>
            <w:tcW w:type="dxa" w:w="6576"/>
            <w:shd w:val="clear" w:color="auto" w:fill="F2F5FA"/>
          </w:tcPr>
          <w:p>
            <w:pPr>
              <w:spacing w:after="20" w:line="240" w:lineRule="auto"/>
            </w:pPr>
            <w:r>
              <w:rPr>
                <w:sz w:val="19"/>
              </w:rPr>
              <w:t>A likely production incident, failed test or wrong size</w:t>
            </w:r>
          </w:p>
        </w:tc>
        <w:tc>
          <w:tcPr>
            <w:tcW w:type="dxa" w:w="1474"/>
            <w:shd w:val="clear" w:color="auto" w:fill="F2F5FA"/>
          </w:tcPr>
          <w:p>
            <w:pPr>
              <w:spacing w:after="20" w:line="240" w:lineRule="auto"/>
            </w:pPr>
            <w:r>
              <w:rPr>
                <w:sz w:val="19"/>
              </w:rPr>
              <w:t>14</w:t>
            </w:r>
          </w:p>
        </w:tc>
      </w:tr>
      <w:tr>
        <w:trPr>
          <w:cantSplit w:val="true"/>
        </w:trPr>
        <w:tc>
          <w:tcPr>
            <w:tcW w:type="dxa" w:w="1361"/>
          </w:tcPr>
          <w:p>
            <w:pPr>
              <w:spacing w:after="20" w:line="240" w:lineRule="auto"/>
            </w:pPr>
            <w:r>
              <w:rPr>
                <w:sz w:val="19"/>
              </w:rPr>
              <w:t>Medium</w:t>
            </w:r>
          </w:p>
        </w:tc>
        <w:tc>
          <w:tcPr>
            <w:tcW w:type="dxa" w:w="6576"/>
          </w:tcPr>
          <w:p>
            <w:pPr>
              <w:spacing w:after="20" w:line="240" w:lineRule="auto"/>
            </w:pPr>
            <w:r>
              <w:rPr>
                <w:sz w:val="19"/>
              </w:rPr>
              <w:t>A gap that would cost time or cause a defect in testing</w:t>
            </w:r>
          </w:p>
        </w:tc>
        <w:tc>
          <w:tcPr>
            <w:tcW w:type="dxa" w:w="1474"/>
          </w:tcPr>
          <w:p>
            <w:pPr>
              <w:spacing w:after="20" w:line="240" w:lineRule="auto"/>
            </w:pPr>
            <w:r>
              <w:rPr>
                <w:sz w:val="19"/>
              </w:rPr>
              <w:t>21</w:t>
            </w:r>
          </w:p>
        </w:tc>
      </w:tr>
      <w:tr>
        <w:trPr>
          <w:cantSplit w:val="true"/>
        </w:trPr>
        <w:tc>
          <w:tcPr>
            <w:tcW w:type="dxa" w:w="1361"/>
            <w:shd w:val="clear" w:color="auto" w:fill="F2F5FA"/>
          </w:tcPr>
          <w:p>
            <w:pPr>
              <w:spacing w:after="20" w:line="240" w:lineRule="auto"/>
            </w:pPr>
            <w:r>
              <w:rPr>
                <w:sz w:val="19"/>
              </w:rPr>
              <w:t>Low</w:t>
            </w:r>
          </w:p>
        </w:tc>
        <w:tc>
          <w:tcPr>
            <w:tcW w:type="dxa" w:w="6576"/>
            <w:shd w:val="clear" w:color="auto" w:fill="F2F5FA"/>
          </w:tcPr>
          <w:p>
            <w:pPr>
              <w:spacing w:after="20" w:line="240" w:lineRule="auto"/>
            </w:pPr>
            <w:r>
              <w:rPr>
                <w:sz w:val="19"/>
              </w:rPr>
              <w:t>A small inaccuracy or inconvenience</w:t>
            </w:r>
          </w:p>
        </w:tc>
        <w:tc>
          <w:tcPr>
            <w:tcW w:type="dxa" w:w="1474"/>
            <w:shd w:val="clear" w:color="auto" w:fill="F2F5FA"/>
          </w:tcPr>
          <w:p>
            <w:pPr>
              <w:spacing w:after="20" w:line="240" w:lineRule="auto"/>
            </w:pPr>
            <w:r>
              <w:rPr>
                <w:sz w:val="19"/>
              </w:rPr>
              <w:t>7</w:t>
            </w:r>
          </w:p>
        </w:tc>
      </w:tr>
    </w:tbl>
    <w:p>
      <w:pPr>
        <w:spacing w:after="0" w:before="0" w:line="120" w:lineRule="exact"/>
      </w:pPr>
      <w:r>
        <w:rPr>
          <w:sz w:val="12"/>
        </w:rPr>
      </w:r>
    </w:p>
    <w:p>
      <w:pPr>
        <w:pStyle w:val="Heading1"/>
        <w:pageBreakBefore/>
      </w:pPr>
      <w:r>
        <w:t>2  Method</w:t>
      </w:r>
    </w:p>
    <w:p>
      <w:r>
        <w:t>The review was done the way an implementation lead checks a runbook before a first build: by running what can be run, and checking every other statement against the vendor's current page.</w:t>
      </w:r>
    </w:p>
    <w:p>
      <w:pPr>
        <w:pStyle w:val="ListBullet"/>
      </w:pPr>
      <w:r>
        <w:t xml:space="preserve">Rendered every Pega and backingservices values file with </w:t>
      </w:r>
      <w:r>
        <w:rPr>
          <w:rFonts w:ascii="Consolas" w:hAnsi="Consolas"/>
          <w:color w:val="1F3864"/>
          <w:sz w:val="19"/>
        </w:rPr>
        <w:t>helm template</w:t>
      </w:r>
      <w:r>
        <w:t xml:space="preserve"> against charts 4.13.0 and read the generated Deployments, Services, Jobs, HPAs, ConfigMaps and NetworkPolicies.</w:t>
      </w:r>
    </w:p>
    <w:p>
      <w:pPr>
        <w:pStyle w:val="ListBullet"/>
      </w:pPr>
      <w:r>
        <w:t xml:space="preserve">Read the chart templates where the README is silent, for example the tier template for </w:t>
      </w:r>
      <w:r>
        <w:rPr>
          <w:rFonts w:ascii="Consolas" w:hAnsi="Consolas"/>
          <w:color w:val="1F3864"/>
          <w:sz w:val="19"/>
        </w:rPr>
        <w:t>topologySpreadConstraints</w:t>
      </w:r>
      <w:r>
        <w:t xml:space="preserve"> and the SRS network policy template </w:t>
      </w:r>
      <w:r>
        <w:rPr>
          <w:color w:val="2E75B6"/>
        </w:rPr>
        <w:t>[R61, R62]</w:t>
      </w:r>
      <w:r>
        <w:t>.</w:t>
      </w:r>
    </w:p>
    <w:p>
      <w:pPr>
        <w:pStyle w:val="ListBullet"/>
      </w:pPr>
      <w:r>
        <w:t>Rechecked Confluent, OpenSearch, Okta, Azure and Pega pages for limits, conditions and defaults, and added fifteen references (R49 to R63 in the runbook). The data review added sixteen more (R64 to R79) on queue processor payloads, SRS indexing scope, Pega encryption, Confluent keys and TLS, OpenSearch TLS and audit logs, and AKS disk encryption.</w:t>
      </w:r>
    </w:p>
    <w:p>
      <w:pPr>
        <w:pStyle w:val="ListBullet"/>
      </w:pPr>
      <w:r>
        <w:t>Recalculated the sizing calculator in LibreOffice Calc and compared every output with the Python functions that produce the runbook's worked example.</w:t>
      </w:r>
    </w:p>
    <w:p>
      <w:pPr>
        <w:pStyle w:val="ListBullet"/>
      </w:pPr>
      <w:r>
        <w:t>Ran the runbook's QA script (cross-references, decision IDs, wording) and an ID check over the built document: every scenario, test, step and command ID used is defined.</w:t>
      </w:r>
    </w:p>
    <w:p>
      <w:pPr>
        <w:pStyle w:val="ListBullet"/>
      </w:pPr>
      <w:r>
        <w:t>Reviewed the rebuilt PDF page by page for the changed sections.</w:t>
      </w:r>
    </w:p>
    <w:p>
      <w:pPr>
        <w:pStyle w:val="ListBullet"/>
      </w:pPr>
      <w:r>
        <w:t>In the third pass, re-checked each earlier finding against its source by re-rendering the Helm values and re-reading every cited page, to confirm that each finding and its correction were accurate and applicable to this customer.</w:t>
      </w:r>
    </w:p>
    <w:p>
      <w:pPr>
        <w:pStyle w:val="Heading1"/>
        <w:pageBreakBefore/>
      </w:pPr>
      <w:r>
        <w:t>3  Evaluation dimensions</w:t>
      </w:r>
    </w:p>
    <w:p>
      <w:pPr>
        <w:pStyle w:val="Caption"/>
        <w:keepNext/>
        <w:spacing w:before="80"/>
      </w:pPr>
      <w:r>
        <w:t>Table 2. Evaluation dimensions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623"/>
        <w:gridCol w:w="1927"/>
        <w:gridCol w:w="3969"/>
        <w:gridCol w:w="2891"/>
      </w:tblGrid>
      <w:tr>
        <w:trPr>
          <w:tblHeader w:val="true"/>
          <w:cantSplit w:val="true"/>
        </w:trPr>
        <w:tc>
          <w:tcPr>
            <w:tcW w:type="dxa" w:w="624"/>
            <w:shd w:val="clear" w:color="auto" w:fill="1F3864"/>
          </w:tcPr>
          <w:p>
            <w:pPr>
              <w:spacing w:after="0"/>
            </w:pPr>
            <w:r>
              <w:rPr>
                <w:b/>
                <w:color w:val="FFFFFF"/>
                <w:sz w:val="17"/>
              </w:rPr>
              <w:t>ID</w:t>
            </w:r>
          </w:p>
        </w:tc>
        <w:tc>
          <w:tcPr>
            <w:tcW w:type="dxa" w:w="1928"/>
            <w:shd w:val="clear" w:color="auto" w:fill="1F3864"/>
          </w:tcPr>
          <w:p>
            <w:pPr>
              <w:spacing w:after="0"/>
            </w:pPr>
            <w:r>
              <w:rPr>
                <w:b/>
                <w:color w:val="FFFFFF"/>
                <w:sz w:val="17"/>
              </w:rPr>
              <w:t>Dimension</w:t>
            </w:r>
          </w:p>
        </w:tc>
        <w:tc>
          <w:tcPr>
            <w:tcW w:type="dxa" w:w="3969"/>
            <w:shd w:val="clear" w:color="auto" w:fill="1F3864"/>
          </w:tcPr>
          <w:p>
            <w:pPr>
              <w:spacing w:after="0"/>
            </w:pPr>
            <w:r>
              <w:rPr>
                <w:b/>
                <w:color w:val="FFFFFF"/>
                <w:sz w:val="17"/>
              </w:rPr>
              <w:t>What was checked</w:t>
            </w:r>
          </w:p>
        </w:tc>
        <w:tc>
          <w:tcPr>
            <w:tcW w:type="dxa" w:w="2891"/>
            <w:shd w:val="clear" w:color="auto" w:fill="1F3864"/>
          </w:tcPr>
          <w:p>
            <w:pPr>
              <w:spacing w:after="0"/>
            </w:pPr>
            <w:r>
              <w:rPr>
                <w:b/>
                <w:color w:val="FFFFFF"/>
                <w:sz w:val="17"/>
              </w:rPr>
              <w:t>Evidence used</w:t>
            </w:r>
          </w:p>
        </w:tc>
      </w:tr>
      <w:tr>
        <w:trPr>
          <w:cantSplit w:val="true"/>
        </w:trPr>
        <w:tc>
          <w:tcPr>
            <w:tcW w:type="dxa" w:w="624"/>
          </w:tcPr>
          <w:p>
            <w:pPr>
              <w:spacing w:after="20" w:line="240" w:lineRule="auto"/>
            </w:pPr>
            <w:r>
              <w:rPr>
                <w:sz w:val="17"/>
              </w:rPr>
              <w:t>D1</w:t>
            </w:r>
          </w:p>
        </w:tc>
        <w:tc>
          <w:tcPr>
            <w:tcW w:type="dxa" w:w="1928"/>
          </w:tcPr>
          <w:p>
            <w:pPr>
              <w:spacing w:after="20" w:line="240" w:lineRule="auto"/>
            </w:pPr>
            <w:r>
              <w:rPr>
                <w:sz w:val="17"/>
              </w:rPr>
              <w:t>Alignment with Pega</w:t>
            </w:r>
          </w:p>
        </w:tc>
        <w:tc>
          <w:tcPr>
            <w:tcW w:type="dxa" w:w="3969"/>
          </w:tcPr>
          <w:p>
            <w:pPr>
              <w:spacing w:after="20" w:line="240" w:lineRule="auto"/>
            </w:pPr>
            <w:r>
              <w:rPr>
                <w:sz w:val="17"/>
              </w:rPr>
              <w:t>Every Pega requirement for external Kafka and SRS is met; nothing contradicts Pega '25 and '26 pages or the chart README</w:t>
            </w:r>
          </w:p>
        </w:tc>
        <w:tc>
          <w:tcPr>
            <w:tcW w:type="dxa" w:w="2891"/>
          </w:tcPr>
          <w:p>
            <w:pPr>
              <w:spacing w:after="20" w:line="240" w:lineRule="auto"/>
            </w:pPr>
            <w:r>
              <w:rPr>
                <w:sz w:val="17"/>
              </w:rPr>
              <w:t>Pega pages R3 to R22, R49 to R51; chart README R23, R24, R63</w:t>
            </w:r>
          </w:p>
        </w:tc>
      </w:tr>
      <w:tr>
        <w:trPr>
          <w:cantSplit w:val="true"/>
        </w:trPr>
        <w:tc>
          <w:tcPr>
            <w:tcW w:type="dxa" w:w="624"/>
            <w:shd w:val="clear" w:color="auto" w:fill="F2F5FA"/>
          </w:tcPr>
          <w:p>
            <w:pPr>
              <w:spacing w:after="20" w:line="240" w:lineRule="auto"/>
            </w:pPr>
            <w:r>
              <w:rPr>
                <w:sz w:val="17"/>
              </w:rPr>
              <w:t>D2</w:t>
            </w:r>
          </w:p>
        </w:tc>
        <w:tc>
          <w:tcPr>
            <w:tcW w:type="dxa" w:w="1928"/>
            <w:shd w:val="clear" w:color="auto" w:fill="F2F5FA"/>
          </w:tcPr>
          <w:p>
            <w:pPr>
              <w:spacing w:after="20" w:line="240" w:lineRule="auto"/>
            </w:pPr>
            <w:r>
              <w:rPr>
                <w:sz w:val="17"/>
              </w:rPr>
              <w:t>Alignment with Confluent Cloud</w:t>
            </w:r>
          </w:p>
        </w:tc>
        <w:tc>
          <w:tcPr>
            <w:tcW w:type="dxa" w:w="3969"/>
            <w:shd w:val="clear" w:color="auto" w:fill="F2F5FA"/>
          </w:tcPr>
          <w:p>
            <w:pPr>
              <w:spacing w:after="20" w:line="240" w:lineRule="auto"/>
            </w:pPr>
            <w:r>
              <w:rPr>
                <w:sz w:val="17"/>
              </w:rPr>
              <w:t>Cluster type, limits, SLA conditions, networking, ACLs and quotas match Confluent's published rules</w:t>
            </w:r>
          </w:p>
        </w:tc>
        <w:tc>
          <w:tcPr>
            <w:tcW w:type="dxa" w:w="2891"/>
            <w:shd w:val="clear" w:color="auto" w:fill="F2F5FA"/>
          </w:tcPr>
          <w:p>
            <w:pPr>
              <w:spacing w:after="20" w:line="240" w:lineRule="auto"/>
            </w:pPr>
            <w:r>
              <w:rPr>
                <w:sz w:val="17"/>
              </w:rPr>
              <w:t>R31 to R36, R56, R57</w:t>
            </w:r>
          </w:p>
        </w:tc>
      </w:tr>
      <w:tr>
        <w:trPr>
          <w:cantSplit w:val="true"/>
        </w:trPr>
        <w:tc>
          <w:tcPr>
            <w:tcW w:type="dxa" w:w="624"/>
          </w:tcPr>
          <w:p>
            <w:pPr>
              <w:spacing w:after="20" w:line="240" w:lineRule="auto"/>
            </w:pPr>
            <w:r>
              <w:rPr>
                <w:sz w:val="17"/>
              </w:rPr>
              <w:t>D3</w:t>
            </w:r>
          </w:p>
        </w:tc>
        <w:tc>
          <w:tcPr>
            <w:tcW w:type="dxa" w:w="1928"/>
          </w:tcPr>
          <w:p>
            <w:pPr>
              <w:spacing w:after="20" w:line="240" w:lineRule="auto"/>
            </w:pPr>
            <w:r>
              <w:rPr>
                <w:sz w:val="17"/>
              </w:rPr>
              <w:t>Alignment with OpenSearch and SRS</w:t>
            </w:r>
          </w:p>
        </w:tc>
        <w:tc>
          <w:tcPr>
            <w:tcW w:type="dxa" w:w="3969"/>
          </w:tcPr>
          <w:p>
            <w:pPr>
              <w:spacing w:after="20" w:line="240" w:lineRule="auto"/>
            </w:pPr>
            <w:r>
              <w:rPr>
                <w:sz w:val="17"/>
              </w:rPr>
              <w:t>Versions, cluster settings, roles, sizing and zone layout follow OpenSearch and Pega SRS guidance</w:t>
            </w:r>
          </w:p>
        </w:tc>
        <w:tc>
          <w:tcPr>
            <w:tcW w:type="dxa" w:w="2891"/>
          </w:tcPr>
          <w:p>
            <w:pPr>
              <w:spacing w:after="20" w:line="240" w:lineRule="auto"/>
            </w:pPr>
            <w:r>
              <w:rPr>
                <w:sz w:val="17"/>
              </w:rPr>
              <w:t>R14, R24, R37 to R41, R54, R55, R58</w:t>
            </w:r>
          </w:p>
        </w:tc>
      </w:tr>
      <w:tr>
        <w:trPr>
          <w:cantSplit w:val="true"/>
        </w:trPr>
        <w:tc>
          <w:tcPr>
            <w:tcW w:type="dxa" w:w="624"/>
            <w:shd w:val="clear" w:color="auto" w:fill="F2F5FA"/>
          </w:tcPr>
          <w:p>
            <w:pPr>
              <w:spacing w:after="20" w:line="240" w:lineRule="auto"/>
            </w:pPr>
            <w:r>
              <w:rPr>
                <w:sz w:val="17"/>
              </w:rPr>
              <w:t>D4</w:t>
            </w:r>
          </w:p>
        </w:tc>
        <w:tc>
          <w:tcPr>
            <w:tcW w:type="dxa" w:w="1928"/>
            <w:shd w:val="clear" w:color="auto" w:fill="F2F5FA"/>
          </w:tcPr>
          <w:p>
            <w:pPr>
              <w:spacing w:after="20" w:line="240" w:lineRule="auto"/>
            </w:pPr>
            <w:r>
              <w:rPr>
                <w:sz w:val="17"/>
              </w:rPr>
              <w:t>Helm correctness</w:t>
            </w:r>
          </w:p>
        </w:tc>
        <w:tc>
          <w:tcPr>
            <w:tcW w:type="dxa" w:w="3969"/>
            <w:shd w:val="clear" w:color="auto" w:fill="F2F5FA"/>
          </w:tcPr>
          <w:p>
            <w:pPr>
              <w:spacing w:after="20" w:line="240" w:lineRule="auto"/>
            </w:pPr>
            <w:r>
              <w:rPr>
                <w:sz w:val="17"/>
              </w:rPr>
              <w:t>Every values file renders against charts 4.13.0 and produces the intended objects</w:t>
            </w:r>
          </w:p>
        </w:tc>
        <w:tc>
          <w:tcPr>
            <w:tcW w:type="dxa" w:w="2891"/>
            <w:shd w:val="clear" w:color="auto" w:fill="F2F5FA"/>
          </w:tcPr>
          <w:p>
            <w:pPr>
              <w:spacing w:after="20" w:line="240" w:lineRule="auto"/>
            </w:pPr>
            <w:r>
              <w:rPr>
                <w:rFonts w:ascii="Consolas" w:hAnsi="Consolas"/>
                <w:color w:val="1F3864"/>
                <w:sz w:val="17"/>
              </w:rPr>
              <w:t>helm template</w:t>
            </w:r>
            <w:r>
              <w:rPr>
                <w:sz w:val="17"/>
              </w:rPr>
              <w:t xml:space="preserve"> of all values files; rendered manifests</w:t>
            </w:r>
          </w:p>
        </w:tc>
      </w:tr>
      <w:tr>
        <w:trPr>
          <w:cantSplit w:val="true"/>
        </w:trPr>
        <w:tc>
          <w:tcPr>
            <w:tcW w:type="dxa" w:w="624"/>
          </w:tcPr>
          <w:p>
            <w:pPr>
              <w:spacing w:after="20" w:line="240" w:lineRule="auto"/>
            </w:pPr>
            <w:r>
              <w:rPr>
                <w:sz w:val="17"/>
              </w:rPr>
              <w:t>D5</w:t>
            </w:r>
          </w:p>
        </w:tc>
        <w:tc>
          <w:tcPr>
            <w:tcW w:type="dxa" w:w="1928"/>
          </w:tcPr>
          <w:p>
            <w:pPr>
              <w:spacing w:after="20" w:line="240" w:lineRule="auto"/>
            </w:pPr>
            <w:r>
              <w:rPr>
                <w:sz w:val="17"/>
              </w:rPr>
              <w:t>Security and isolation</w:t>
            </w:r>
          </w:p>
        </w:tc>
        <w:tc>
          <w:tcPr>
            <w:tcW w:type="dxa" w:w="3969"/>
          </w:tcPr>
          <w:p>
            <w:pPr>
              <w:spacing w:after="20" w:line="240" w:lineRule="auto"/>
            </w:pPr>
            <w:r>
              <w:rPr>
                <w:sz w:val="17"/>
              </w:rPr>
              <w:t>Credentials, tokens, network paths and data are separated per environment, with tests</w:t>
            </w:r>
          </w:p>
        </w:tc>
        <w:tc>
          <w:tcPr>
            <w:tcW w:type="dxa" w:w="2891"/>
          </w:tcPr>
          <w:p>
            <w:pPr>
              <w:spacing w:after="20" w:line="240" w:lineRule="auto"/>
            </w:pPr>
            <w:r>
              <w:rPr>
                <w:sz w:val="17"/>
              </w:rPr>
              <w:t>Isolation tests IT-01 to IT-10; network policy render</w:t>
            </w:r>
          </w:p>
        </w:tc>
      </w:tr>
      <w:tr>
        <w:trPr>
          <w:cantSplit w:val="true"/>
        </w:trPr>
        <w:tc>
          <w:tcPr>
            <w:tcW w:type="dxa" w:w="624"/>
            <w:shd w:val="clear" w:color="auto" w:fill="F2F5FA"/>
          </w:tcPr>
          <w:p>
            <w:pPr>
              <w:spacing w:after="20" w:line="240" w:lineRule="auto"/>
            </w:pPr>
            <w:r>
              <w:rPr>
                <w:sz w:val="17"/>
              </w:rPr>
              <w:t>D6</w:t>
            </w:r>
          </w:p>
        </w:tc>
        <w:tc>
          <w:tcPr>
            <w:tcW w:type="dxa" w:w="1928"/>
            <w:shd w:val="clear" w:color="auto" w:fill="F2F5FA"/>
          </w:tcPr>
          <w:p>
            <w:pPr>
              <w:spacing w:after="20" w:line="240" w:lineRule="auto"/>
            </w:pPr>
            <w:r>
              <w:rPr>
                <w:sz w:val="17"/>
              </w:rPr>
              <w:t>Architecture and cloud design</w:t>
            </w:r>
          </w:p>
        </w:tc>
        <w:tc>
          <w:tcPr>
            <w:tcW w:type="dxa" w:w="3969"/>
            <w:shd w:val="clear" w:color="auto" w:fill="F2F5FA"/>
          </w:tcPr>
          <w:p>
            <w:pPr>
              <w:spacing w:after="20" w:line="240" w:lineRule="auto"/>
            </w:pPr>
            <w:r>
              <w:rPr>
                <w:sz w:val="17"/>
              </w:rPr>
              <w:t>Availability zones, failure domains, private networking, scaling and blast radius</w:t>
            </w:r>
          </w:p>
        </w:tc>
        <w:tc>
          <w:tcPr>
            <w:tcW w:type="dxa" w:w="2891"/>
            <w:shd w:val="clear" w:color="auto" w:fill="F2F5FA"/>
          </w:tcPr>
          <w:p>
            <w:pPr>
              <w:spacing w:after="20" w:line="240" w:lineRule="auto"/>
            </w:pPr>
            <w:r>
              <w:rPr>
                <w:sz w:val="17"/>
              </w:rPr>
              <w:t>R32, R47, R59; Azure design practice</w:t>
            </w:r>
          </w:p>
        </w:tc>
      </w:tr>
      <w:tr>
        <w:trPr>
          <w:cantSplit w:val="true"/>
        </w:trPr>
        <w:tc>
          <w:tcPr>
            <w:tcW w:type="dxa" w:w="624"/>
          </w:tcPr>
          <w:p>
            <w:pPr>
              <w:spacing w:after="20" w:line="240" w:lineRule="auto"/>
            </w:pPr>
            <w:r>
              <w:rPr>
                <w:sz w:val="17"/>
              </w:rPr>
              <w:t>D7</w:t>
            </w:r>
          </w:p>
        </w:tc>
        <w:tc>
          <w:tcPr>
            <w:tcW w:type="dxa" w:w="1928"/>
          </w:tcPr>
          <w:p>
            <w:pPr>
              <w:spacing w:after="20" w:line="240" w:lineRule="auto"/>
            </w:pPr>
            <w:r>
              <w:rPr>
                <w:sz w:val="17"/>
              </w:rPr>
              <w:t>Failure handling and remediation</w:t>
            </w:r>
          </w:p>
        </w:tc>
        <w:tc>
          <w:tcPr>
            <w:tcW w:type="dxa" w:w="3969"/>
          </w:tcPr>
          <w:p>
            <w:pPr>
              <w:spacing w:after="20" w:line="240" w:lineRule="auto"/>
            </w:pPr>
            <w:r>
              <w:rPr>
                <w:sz w:val="17"/>
              </w:rPr>
              <w:t>Known issues, failure scenarios and troubleshooting cover what goes wrong in practice</w:t>
            </w:r>
          </w:p>
        </w:tc>
        <w:tc>
          <w:tcPr>
            <w:tcW w:type="dxa" w:w="2891"/>
          </w:tcPr>
          <w:p>
            <w:pPr>
              <w:spacing w:after="20" w:line="240" w:lineRule="auto"/>
            </w:pPr>
            <w:r>
              <w:rPr>
                <w:sz w:val="17"/>
              </w:rPr>
              <w:t>Failure catalogue; known-issue tables</w:t>
            </w:r>
          </w:p>
        </w:tc>
      </w:tr>
      <w:tr>
        <w:trPr>
          <w:cantSplit w:val="true"/>
        </w:trPr>
        <w:tc>
          <w:tcPr>
            <w:tcW w:type="dxa" w:w="624"/>
            <w:shd w:val="clear" w:color="auto" w:fill="F2F5FA"/>
          </w:tcPr>
          <w:p>
            <w:pPr>
              <w:spacing w:after="20" w:line="240" w:lineRule="auto"/>
            </w:pPr>
            <w:r>
              <w:rPr>
                <w:sz w:val="17"/>
              </w:rPr>
              <w:t>D8</w:t>
            </w:r>
          </w:p>
        </w:tc>
        <w:tc>
          <w:tcPr>
            <w:tcW w:type="dxa" w:w="1928"/>
            <w:shd w:val="clear" w:color="auto" w:fill="F2F5FA"/>
          </w:tcPr>
          <w:p>
            <w:pPr>
              <w:spacing w:after="20" w:line="240" w:lineRule="auto"/>
            </w:pPr>
            <w:r>
              <w:rPr>
                <w:sz w:val="17"/>
              </w:rPr>
              <w:t>Testing methodology</w:t>
            </w:r>
          </w:p>
        </w:tc>
        <w:tc>
          <w:tcPr>
            <w:tcW w:type="dxa" w:w="3969"/>
            <w:shd w:val="clear" w:color="auto" w:fill="F2F5FA"/>
          </w:tcPr>
          <w:p>
            <w:pPr>
              <w:spacing w:after="20" w:line="240" w:lineRule="auto"/>
            </w:pPr>
            <w:r>
              <w:rPr>
                <w:sz w:val="17"/>
              </w:rPr>
              <w:t>Test stages, entry and exit criteria, evidence and rehearsals</w:t>
            </w:r>
          </w:p>
        </w:tc>
        <w:tc>
          <w:tcPr>
            <w:tcW w:type="dxa" w:w="2891"/>
            <w:shd w:val="clear" w:color="auto" w:fill="F2F5FA"/>
          </w:tcPr>
          <w:p>
            <w:pPr>
              <w:spacing w:after="20" w:line="240" w:lineRule="auto"/>
            </w:pPr>
            <w:r>
              <w:rPr>
                <w:sz w:val="17"/>
              </w:rPr>
              <w:t>Section 15</w:t>
            </w:r>
          </w:p>
        </w:tc>
      </w:tr>
      <w:tr>
        <w:trPr>
          <w:cantSplit w:val="true"/>
        </w:trPr>
        <w:tc>
          <w:tcPr>
            <w:tcW w:type="dxa" w:w="624"/>
          </w:tcPr>
          <w:p>
            <w:pPr>
              <w:spacing w:after="20" w:line="240" w:lineRule="auto"/>
            </w:pPr>
            <w:r>
              <w:rPr>
                <w:sz w:val="17"/>
              </w:rPr>
              <w:t>D9</w:t>
            </w:r>
          </w:p>
        </w:tc>
        <w:tc>
          <w:tcPr>
            <w:tcW w:type="dxa" w:w="1928"/>
          </w:tcPr>
          <w:p>
            <w:pPr>
              <w:spacing w:after="20" w:line="240" w:lineRule="auto"/>
            </w:pPr>
            <w:r>
              <w:rPr>
                <w:sz w:val="17"/>
              </w:rPr>
              <w:t>Performance testing</w:t>
            </w:r>
          </w:p>
        </w:tc>
        <w:tc>
          <w:tcPr>
            <w:tcW w:type="dxa" w:w="3969"/>
          </w:tcPr>
          <w:p>
            <w:pPr>
              <w:spacing w:after="20" w:line="240" w:lineRule="auto"/>
            </w:pPr>
            <w:r>
              <w:rPr>
                <w:sz w:val="17"/>
              </w:rPr>
              <w:t>Need, workload model, test types, harness, measurement points, pitfalls</w:t>
            </w:r>
          </w:p>
        </w:tc>
        <w:tc>
          <w:tcPr>
            <w:tcW w:type="dxa" w:w="2891"/>
          </w:tcPr>
          <w:p>
            <w:pPr>
              <w:spacing w:after="20" w:line="240" w:lineRule="auto"/>
            </w:pPr>
            <w:r>
              <w:rPr>
                <w:sz w:val="17"/>
              </w:rPr>
              <w:t>Section 16</w:t>
            </w:r>
          </w:p>
        </w:tc>
      </w:tr>
      <w:tr>
        <w:trPr>
          <w:cantSplit w:val="true"/>
        </w:trPr>
        <w:tc>
          <w:tcPr>
            <w:tcW w:type="dxa" w:w="624"/>
            <w:shd w:val="clear" w:color="auto" w:fill="F2F5FA"/>
          </w:tcPr>
          <w:p>
            <w:pPr>
              <w:spacing w:after="20" w:line="240" w:lineRule="auto"/>
            </w:pPr>
            <w:r>
              <w:rPr>
                <w:sz w:val="17"/>
              </w:rPr>
              <w:t>D10</w:t>
            </w:r>
          </w:p>
        </w:tc>
        <w:tc>
          <w:tcPr>
            <w:tcW w:type="dxa" w:w="1928"/>
            <w:shd w:val="clear" w:color="auto" w:fill="F2F5FA"/>
          </w:tcPr>
          <w:p>
            <w:pPr>
              <w:spacing w:after="20" w:line="240" w:lineRule="auto"/>
            </w:pPr>
            <w:r>
              <w:rPr>
                <w:sz w:val="17"/>
              </w:rPr>
              <w:t>Sizing</w:t>
            </w:r>
          </w:p>
        </w:tc>
        <w:tc>
          <w:tcPr>
            <w:tcW w:type="dxa" w:w="3969"/>
            <w:shd w:val="clear" w:color="auto" w:fill="F2F5FA"/>
          </w:tcPr>
          <w:p>
            <w:pPr>
              <w:spacing w:after="20" w:line="240" w:lineRule="auto"/>
            </w:pPr>
            <w:r>
              <w:rPr>
                <w:sz w:val="17"/>
              </w:rPr>
              <w:t>Method and formulas per layer, with a working calculator</w:t>
            </w:r>
          </w:p>
        </w:tc>
        <w:tc>
          <w:tcPr>
            <w:tcW w:type="dxa" w:w="2891"/>
            <w:shd w:val="clear" w:color="auto" w:fill="F2F5FA"/>
          </w:tcPr>
          <w:p>
            <w:pPr>
              <w:spacing w:after="20" w:line="240" w:lineRule="auto"/>
            </w:pPr>
            <w:r>
              <w:rPr>
                <w:sz w:val="17"/>
              </w:rPr>
              <w:t>R31, R49, R54, R55; calculator recalculated in LibreOffice</w:t>
            </w:r>
          </w:p>
        </w:tc>
      </w:tr>
      <w:tr>
        <w:trPr>
          <w:cantSplit w:val="true"/>
        </w:trPr>
        <w:tc>
          <w:tcPr>
            <w:tcW w:type="dxa" w:w="624"/>
          </w:tcPr>
          <w:p>
            <w:pPr>
              <w:spacing w:after="20" w:line="240" w:lineRule="auto"/>
            </w:pPr>
            <w:r>
              <w:rPr>
                <w:sz w:val="17"/>
              </w:rPr>
              <w:t>D11</w:t>
            </w:r>
          </w:p>
        </w:tc>
        <w:tc>
          <w:tcPr>
            <w:tcW w:type="dxa" w:w="1928"/>
          </w:tcPr>
          <w:p>
            <w:pPr>
              <w:spacing w:after="20" w:line="240" w:lineRule="auto"/>
            </w:pPr>
            <w:r>
              <w:rPr>
                <w:sz w:val="17"/>
              </w:rPr>
              <w:t>Monitoring, logging and observability</w:t>
            </w:r>
          </w:p>
        </w:tc>
        <w:tc>
          <w:tcPr>
            <w:tcW w:type="dxa" w:w="3969"/>
          </w:tcPr>
          <w:p>
            <w:pPr>
              <w:spacing w:after="20" w:line="240" w:lineRule="auto"/>
            </w:pPr>
            <w:r>
              <w:rPr>
                <w:sz w:val="17"/>
              </w:rPr>
              <w:t>Telemetry from every layer, alerting, dashboards, Pega Diagnostic Center, correlation</w:t>
            </w:r>
          </w:p>
        </w:tc>
        <w:tc>
          <w:tcPr>
            <w:tcW w:type="dxa" w:w="2891"/>
          </w:tcPr>
          <w:p>
            <w:pPr>
              <w:spacing w:after="20" w:line="240" w:lineRule="auto"/>
            </w:pPr>
            <w:r>
              <w:rPr>
                <w:sz w:val="17"/>
              </w:rPr>
              <w:t>R51, R52, R56 to R58, R60</w:t>
            </w:r>
          </w:p>
        </w:tc>
      </w:tr>
      <w:tr>
        <w:trPr>
          <w:cantSplit w:val="true"/>
        </w:trPr>
        <w:tc>
          <w:tcPr>
            <w:tcW w:type="dxa" w:w="624"/>
            <w:shd w:val="clear" w:color="auto" w:fill="F2F5FA"/>
          </w:tcPr>
          <w:p>
            <w:pPr>
              <w:spacing w:after="20" w:line="240" w:lineRule="auto"/>
            </w:pPr>
            <w:r>
              <w:rPr>
                <w:sz w:val="17"/>
              </w:rPr>
              <w:t>D12</w:t>
            </w:r>
          </w:p>
        </w:tc>
        <w:tc>
          <w:tcPr>
            <w:tcW w:type="dxa" w:w="1928"/>
            <w:shd w:val="clear" w:color="auto" w:fill="F2F5FA"/>
          </w:tcPr>
          <w:p>
            <w:pPr>
              <w:spacing w:after="20" w:line="240" w:lineRule="auto"/>
            </w:pPr>
            <w:r>
              <w:rPr>
                <w:sz w:val="17"/>
              </w:rPr>
              <w:t>Environment sequencing and configuration</w:t>
            </w:r>
          </w:p>
        </w:tc>
        <w:tc>
          <w:tcPr>
            <w:tcW w:type="dxa" w:w="3969"/>
            <w:shd w:val="clear" w:color="auto" w:fill="F2F5FA"/>
          </w:tcPr>
          <w:p>
            <w:pPr>
              <w:spacing w:after="20" w:line="240" w:lineRule="auto"/>
            </w:pPr>
            <w:r>
              <w:rPr>
                <w:sz w:val="17"/>
              </w:rPr>
              <w:t>Order of build, what is reused, per-environment checklist, refresh and retirement</w:t>
            </w:r>
          </w:p>
        </w:tc>
        <w:tc>
          <w:tcPr>
            <w:tcW w:type="dxa" w:w="2891"/>
            <w:shd w:val="clear" w:color="auto" w:fill="F2F5FA"/>
          </w:tcPr>
          <w:p>
            <w:pPr>
              <w:spacing w:after="20" w:line="240" w:lineRule="auto"/>
            </w:pPr>
            <w:r>
              <w:rPr>
                <w:sz w:val="17"/>
              </w:rPr>
              <w:t>Sections 13 and 20</w:t>
            </w:r>
          </w:p>
        </w:tc>
      </w:tr>
      <w:tr>
        <w:trPr>
          <w:cantSplit w:val="true"/>
        </w:trPr>
        <w:tc>
          <w:tcPr>
            <w:tcW w:type="dxa" w:w="624"/>
          </w:tcPr>
          <w:p>
            <w:pPr>
              <w:spacing w:after="20" w:line="240" w:lineRule="auto"/>
            </w:pPr>
            <w:r>
              <w:rPr>
                <w:sz w:val="17"/>
              </w:rPr>
              <w:t>D13</w:t>
            </w:r>
          </w:p>
        </w:tc>
        <w:tc>
          <w:tcPr>
            <w:tcW w:type="dxa" w:w="1928"/>
          </w:tcPr>
          <w:p>
            <w:pPr>
              <w:spacing w:after="20" w:line="240" w:lineRule="auto"/>
            </w:pPr>
            <w:r>
              <w:rPr>
                <w:sz w:val="17"/>
              </w:rPr>
              <w:t>Evidence and traceability</w:t>
            </w:r>
          </w:p>
        </w:tc>
        <w:tc>
          <w:tcPr>
            <w:tcW w:type="dxa" w:w="3969"/>
          </w:tcPr>
          <w:p>
            <w:pPr>
              <w:spacing w:after="20" w:line="240" w:lineRule="auto"/>
            </w:pPr>
            <w:r>
              <w:rPr>
                <w:sz w:val="17"/>
              </w:rPr>
              <w:t>Every statement sourced; conflicts logged; questions traced to sections</w:t>
            </w:r>
          </w:p>
        </w:tc>
        <w:tc>
          <w:tcPr>
            <w:tcW w:type="dxa" w:w="2891"/>
          </w:tcPr>
          <w:p>
            <w:pPr>
              <w:spacing w:after="20" w:line="240" w:lineRule="auto"/>
            </w:pPr>
            <w:r>
              <w:rPr>
                <w:sz w:val="17"/>
              </w:rPr>
              <w:t>Reference register; QA script</w:t>
            </w:r>
          </w:p>
        </w:tc>
      </w:tr>
      <w:tr>
        <w:trPr>
          <w:cantSplit w:val="true"/>
        </w:trPr>
        <w:tc>
          <w:tcPr>
            <w:tcW w:type="dxa" w:w="624"/>
            <w:shd w:val="clear" w:color="auto" w:fill="F2F5FA"/>
          </w:tcPr>
          <w:p>
            <w:pPr>
              <w:spacing w:after="20" w:line="240" w:lineRule="auto"/>
            </w:pPr>
            <w:r>
              <w:rPr>
                <w:sz w:val="17"/>
              </w:rPr>
              <w:t>D14</w:t>
            </w:r>
          </w:p>
        </w:tc>
        <w:tc>
          <w:tcPr>
            <w:tcW w:type="dxa" w:w="1928"/>
            <w:shd w:val="clear" w:color="auto" w:fill="F2F5FA"/>
          </w:tcPr>
          <w:p>
            <w:pPr>
              <w:spacing w:after="20" w:line="240" w:lineRule="auto"/>
            </w:pPr>
            <w:r>
              <w:rPr>
                <w:sz w:val="17"/>
              </w:rPr>
              <w:t>Readability for the customer</w:t>
            </w:r>
          </w:p>
        </w:tc>
        <w:tc>
          <w:tcPr>
            <w:tcW w:type="dxa" w:w="3969"/>
            <w:shd w:val="clear" w:color="auto" w:fill="F2F5FA"/>
          </w:tcPr>
          <w:p>
            <w:pPr>
              <w:spacing w:after="20" w:line="240" w:lineRule="auto"/>
            </w:pPr>
            <w:r>
              <w:rPr>
                <w:sz w:val="17"/>
              </w:rPr>
              <w:t>Plain English, consistent IDs, no unresolved cross-references</w:t>
            </w:r>
          </w:p>
        </w:tc>
        <w:tc>
          <w:tcPr>
            <w:tcW w:type="dxa" w:w="2891"/>
            <w:shd w:val="clear" w:color="auto" w:fill="F2F5FA"/>
          </w:tcPr>
          <w:p>
            <w:pPr>
              <w:spacing w:after="20" w:line="240" w:lineRule="auto"/>
            </w:pPr>
            <w:r>
              <w:rPr>
                <w:sz w:val="17"/>
              </w:rPr>
              <w:t>QA script; ID check; page review</w:t>
            </w:r>
          </w:p>
        </w:tc>
      </w:tr>
      <w:tr>
        <w:trPr>
          <w:cantSplit w:val="true"/>
        </w:trPr>
        <w:tc>
          <w:tcPr>
            <w:tcW w:type="dxa" w:w="624"/>
          </w:tcPr>
          <w:p>
            <w:pPr>
              <w:spacing w:after="20" w:line="240" w:lineRule="auto"/>
            </w:pPr>
            <w:r>
              <w:rPr>
                <w:sz w:val="17"/>
              </w:rPr>
              <w:t>D15</w:t>
            </w:r>
          </w:p>
        </w:tc>
        <w:tc>
          <w:tcPr>
            <w:tcW w:type="dxa" w:w="1928"/>
          </w:tcPr>
          <w:p>
            <w:pPr>
              <w:spacing w:after="20" w:line="240" w:lineRule="auto"/>
            </w:pPr>
            <w:r>
              <w:rPr>
                <w:sz w:val="17"/>
              </w:rPr>
              <w:t>Data flows and data protection</w:t>
            </w:r>
          </w:p>
        </w:tc>
        <w:tc>
          <w:tcPr>
            <w:tcW w:type="dxa" w:w="3969"/>
          </w:tcPr>
          <w:p>
            <w:pPr>
              <w:spacing w:after="20" w:line="240" w:lineRule="auto"/>
            </w:pPr>
            <w:r>
              <w:rPr>
                <w:sz w:val="17"/>
              </w:rPr>
              <w:t>What Pega puts on Kafka and into OpenSearch, its class, encryption in transit and at rest, operational copies, residency, retention, erasure and failure handling</w:t>
            </w:r>
          </w:p>
        </w:tc>
        <w:tc>
          <w:tcPr>
            <w:tcW w:type="dxa" w:w="2891"/>
          </w:tcPr>
          <w:p>
            <w:pPr>
              <w:spacing w:after="20" w:line="240" w:lineRule="auto"/>
            </w:pPr>
            <w:r>
              <w:rPr>
                <w:sz w:val="17"/>
              </w:rPr>
              <w:t>R7, R33, R58, R64 to R79; Section 9</w:t>
            </w:r>
          </w:p>
        </w:tc>
      </w:tr>
    </w:tbl>
    <w:p>
      <w:pPr>
        <w:spacing w:after="0" w:before="0" w:line="120" w:lineRule="exact"/>
      </w:pPr>
      <w:r>
        <w:rPr>
          <w:sz w:val="12"/>
        </w:rPr>
      </w:r>
    </w:p>
    <w:p>
      <w:pPr>
        <w:pStyle w:val="Heading1"/>
        <w:pageBreakBefore/>
      </w:pPr>
      <w:r>
        <w:t>4  Findings and corrections</w:t>
      </w:r>
    </w:p>
    <w:p>
      <w:r>
        <w:t>F-01 to F-24 were found in version 2.0 and corrected in 2.1; F-25 to F-35 were found in 2.1 and corrected in 2.2; F-36 to F-45 were found in 2.2 and corrected in 2.3. The evidence column names the version where the problem was found. Section numbers in the correction column are those of version 2.3, which are the same as in 2.2. In 2.2, Sections 9 to 20 of version 2.1 became Sections 10 to 21.</w:t>
      </w:r>
    </w:p>
    <w:p>
      <w:pPr>
        <w:pStyle w:val="Caption"/>
        <w:keepNext/>
        <w:spacing w:before="80"/>
      </w:pPr>
      <w:r>
        <w:t>Table 3. Findings register</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623"/>
        <w:gridCol w:w="680"/>
        <w:gridCol w:w="907"/>
        <w:gridCol w:w="3175"/>
        <w:gridCol w:w="1927"/>
        <w:gridCol w:w="2097"/>
      </w:tblGrid>
      <w:tr>
        <w:trPr>
          <w:tblHeader w:val="true"/>
          <w:cantSplit w:val="true"/>
        </w:trPr>
        <w:tc>
          <w:tcPr>
            <w:tcW w:type="dxa" w:w="624"/>
            <w:shd w:val="clear" w:color="auto" w:fill="1F3864"/>
          </w:tcPr>
          <w:p>
            <w:pPr>
              <w:spacing w:after="0"/>
            </w:pPr>
            <w:r>
              <w:rPr>
                <w:b/>
                <w:color w:val="FFFFFF"/>
                <w:sz w:val="15"/>
              </w:rPr>
              <w:t>ID</w:t>
            </w:r>
          </w:p>
        </w:tc>
        <w:tc>
          <w:tcPr>
            <w:tcW w:type="dxa" w:w="680"/>
            <w:shd w:val="clear" w:color="auto" w:fill="1F3864"/>
          </w:tcPr>
          <w:p>
            <w:pPr>
              <w:spacing w:after="0"/>
            </w:pPr>
            <w:r>
              <w:rPr>
                <w:b/>
                <w:color w:val="FFFFFF"/>
                <w:sz w:val="15"/>
              </w:rPr>
              <w:t>Dim.</w:t>
            </w:r>
          </w:p>
        </w:tc>
        <w:tc>
          <w:tcPr>
            <w:tcW w:type="dxa" w:w="907"/>
            <w:shd w:val="clear" w:color="auto" w:fill="1F3864"/>
          </w:tcPr>
          <w:p>
            <w:pPr>
              <w:spacing w:after="0"/>
            </w:pPr>
            <w:r>
              <w:rPr>
                <w:b/>
                <w:color w:val="FFFFFF"/>
                <w:sz w:val="15"/>
              </w:rPr>
              <w:t>Severity</w:t>
            </w:r>
          </w:p>
        </w:tc>
        <w:tc>
          <w:tcPr>
            <w:tcW w:type="dxa" w:w="3175"/>
            <w:shd w:val="clear" w:color="auto" w:fill="1F3864"/>
          </w:tcPr>
          <w:p>
            <w:pPr>
              <w:spacing w:after="0"/>
            </w:pPr>
            <w:r>
              <w:rPr>
                <w:b/>
                <w:color w:val="FFFFFF"/>
                <w:sz w:val="15"/>
              </w:rPr>
              <w:t>Finding</w:t>
            </w:r>
          </w:p>
        </w:tc>
        <w:tc>
          <w:tcPr>
            <w:tcW w:type="dxa" w:w="1928"/>
            <w:shd w:val="clear" w:color="auto" w:fill="1F3864"/>
          </w:tcPr>
          <w:p>
            <w:pPr>
              <w:spacing w:after="0"/>
            </w:pPr>
            <w:r>
              <w:rPr>
                <w:b/>
                <w:color w:val="FFFFFF"/>
                <w:sz w:val="15"/>
              </w:rPr>
              <w:t>Evidence</w:t>
            </w:r>
          </w:p>
        </w:tc>
        <w:tc>
          <w:tcPr>
            <w:tcW w:type="dxa" w:w="2098"/>
            <w:shd w:val="clear" w:color="auto" w:fill="1F3864"/>
          </w:tcPr>
          <w:p>
            <w:pPr>
              <w:spacing w:after="0"/>
            </w:pPr>
            <w:r>
              <w:rPr>
                <w:b/>
                <w:color w:val="FFFFFF"/>
                <w:sz w:val="15"/>
              </w:rPr>
              <w:t>Correction</w:t>
            </w:r>
          </w:p>
        </w:tc>
      </w:tr>
      <w:tr>
        <w:trPr>
          <w:cantSplit w:val="true"/>
        </w:trPr>
        <w:tc>
          <w:tcPr>
            <w:tcW w:type="dxa" w:w="624"/>
          </w:tcPr>
          <w:p>
            <w:pPr>
              <w:spacing w:after="20" w:line="240" w:lineRule="auto"/>
            </w:pPr>
            <w:r>
              <w:rPr>
                <w:sz w:val="15"/>
              </w:rPr>
              <w:t>F-01</w:t>
            </w:r>
          </w:p>
        </w:tc>
        <w:tc>
          <w:tcPr>
            <w:tcW w:type="dxa" w:w="680"/>
          </w:tcPr>
          <w:p>
            <w:pPr>
              <w:spacing w:after="20" w:line="240" w:lineRule="auto"/>
            </w:pPr>
            <w:r>
              <w:rPr>
                <w:sz w:val="15"/>
              </w:rPr>
              <w:t>D4</w:t>
            </w:r>
          </w:p>
        </w:tc>
        <w:tc>
          <w:tcPr>
            <w:tcW w:type="dxa" w:w="907"/>
          </w:tcPr>
          <w:p>
            <w:pPr>
              <w:spacing w:after="20" w:line="240" w:lineRule="auto"/>
            </w:pPr>
            <w:r>
              <w:rPr>
                <w:sz w:val="15"/>
              </w:rPr>
              <w:t>Critical</w:t>
            </w:r>
          </w:p>
        </w:tc>
        <w:tc>
          <w:tcPr>
            <w:tcW w:type="dxa" w:w="3175"/>
          </w:tcPr>
          <w:p>
            <w:pPr>
              <w:spacing w:after="20" w:line="240" w:lineRule="auto"/>
            </w:pPr>
            <w:r>
              <w:rPr>
                <w:sz w:val="15"/>
              </w:rPr>
              <w:t xml:space="preserve">The backingservices values set </w:t>
            </w:r>
            <w:r>
              <w:rPr>
                <w:rFonts w:ascii="Consolas" w:hAnsi="Consolas"/>
                <w:color w:val="1F3864"/>
                <w:sz w:val="15"/>
              </w:rPr>
              <w:t>srsStorage.tls.enabled: true</w:t>
            </w:r>
            <w:r>
              <w:rPr>
                <w:sz w:val="15"/>
              </w:rPr>
              <w:t xml:space="preserve"> together with basic authentication. In the SRS chart </w:t>
            </w:r>
            <w:r>
              <w:rPr>
                <w:rFonts w:ascii="Consolas" w:hAnsi="Consolas"/>
                <w:color w:val="1F3864"/>
                <w:sz w:val="15"/>
              </w:rPr>
              <w:t>tls</w:t>
            </w:r>
            <w:r>
              <w:rPr>
                <w:sz w:val="15"/>
              </w:rPr>
              <w:t xml:space="preserve"> means certificate authentication, and the chart refuses to render: "Only one authentication can be enabled".</w:t>
            </w:r>
          </w:p>
        </w:tc>
        <w:tc>
          <w:tcPr>
            <w:tcW w:type="dxa" w:w="1928"/>
          </w:tcPr>
          <w:p>
            <w:pPr>
              <w:spacing w:after="20" w:line="240" w:lineRule="auto"/>
            </w:pPr>
            <w:r>
              <w:rPr>
                <w:rFonts w:ascii="Consolas" w:hAnsi="Consolas"/>
                <w:color w:val="1F3864"/>
                <w:sz w:val="15"/>
              </w:rPr>
              <w:t>helm template</w:t>
            </w:r>
            <w:r>
              <w:rPr>
                <w:sz w:val="15"/>
              </w:rPr>
              <w:t xml:space="preserve"> of the v2.0 SIT and PROD files failed with that message </w:t>
            </w:r>
            <w:r>
              <w:rPr>
                <w:color w:val="2E75B6"/>
                <w:sz w:val="15"/>
              </w:rPr>
              <w:t>[R24]</w:t>
            </w:r>
          </w:p>
        </w:tc>
        <w:tc>
          <w:tcPr>
            <w:tcW w:type="dxa" w:w="2098"/>
          </w:tcPr>
          <w:p>
            <w:pPr>
              <w:spacing w:after="20" w:line="240" w:lineRule="auto"/>
            </w:pPr>
            <w:r>
              <w:rPr>
                <w:rFonts w:ascii="Consolas" w:hAnsi="Consolas"/>
                <w:color w:val="1F3864"/>
                <w:sz w:val="15"/>
              </w:rPr>
              <w:t>tls.enabled: false</w:t>
            </w:r>
            <w:r>
              <w:rPr>
                <w:sz w:val="15"/>
              </w:rPr>
              <w:t xml:space="preserve">; encryption from </w:t>
            </w:r>
            <w:r>
              <w:rPr>
                <w:rFonts w:ascii="Consolas" w:hAnsi="Consolas"/>
                <w:color w:val="1F3864"/>
                <w:sz w:val="15"/>
              </w:rPr>
              <w:t>protocol: https</w:t>
            </w:r>
            <w:r>
              <w:rPr>
                <w:sz w:val="15"/>
              </w:rPr>
              <w:t>. Sections 7.7 and 10.3, Appendix B</w:t>
            </w:r>
          </w:p>
        </w:tc>
      </w:tr>
      <w:tr>
        <w:trPr>
          <w:cantSplit w:val="true"/>
        </w:trPr>
        <w:tc>
          <w:tcPr>
            <w:tcW w:type="dxa" w:w="624"/>
            <w:shd w:val="clear" w:color="auto" w:fill="F2F5FA"/>
          </w:tcPr>
          <w:p>
            <w:pPr>
              <w:spacing w:after="20" w:line="240" w:lineRule="auto"/>
            </w:pPr>
            <w:r>
              <w:rPr>
                <w:sz w:val="15"/>
              </w:rPr>
              <w:t>F-02</w:t>
            </w:r>
          </w:p>
        </w:tc>
        <w:tc>
          <w:tcPr>
            <w:tcW w:type="dxa" w:w="680"/>
            <w:shd w:val="clear" w:color="auto" w:fill="F2F5FA"/>
          </w:tcPr>
          <w:p>
            <w:pPr>
              <w:spacing w:after="20" w:line="240" w:lineRule="auto"/>
            </w:pPr>
            <w:r>
              <w:rPr>
                <w:sz w:val="15"/>
              </w:rPr>
              <w:t>D4</w:t>
            </w:r>
          </w:p>
        </w:tc>
        <w:tc>
          <w:tcPr>
            <w:tcW w:type="dxa" w:w="907"/>
            <w:shd w:val="clear" w:color="auto" w:fill="F2F5FA"/>
          </w:tcPr>
          <w:p>
            <w:pPr>
              <w:spacing w:after="20" w:line="240" w:lineRule="auto"/>
            </w:pPr>
            <w:r>
              <w:rPr>
                <w:sz w:val="15"/>
              </w:rPr>
              <w:t>Critical</w:t>
            </w:r>
          </w:p>
        </w:tc>
        <w:tc>
          <w:tcPr>
            <w:tcW w:type="dxa" w:w="3175"/>
            <w:shd w:val="clear" w:color="auto" w:fill="F2F5FA"/>
          </w:tcPr>
          <w:p>
            <w:pPr>
              <w:spacing w:after="20" w:line="240" w:lineRule="auto"/>
            </w:pPr>
            <w:r>
              <w:rPr>
                <w:rFonts w:ascii="Consolas" w:hAnsi="Consolas"/>
                <w:color w:val="1F3864"/>
                <w:sz w:val="15"/>
              </w:rPr>
              <w:t>pegasearch.externalURL</w:t>
            </w:r>
            <w:r>
              <w:rPr>
                <w:sz w:val="15"/>
              </w:rPr>
              <w:t xml:space="preserve"> had no port. With SRS TLS enabled the SRS container listens on 8443 only, and its Service exposes 8080, 80 and 8443. An HTTPS URL without a port goes to 443, so search would fail at the first start.</w:t>
            </w:r>
          </w:p>
        </w:tc>
        <w:tc>
          <w:tcPr>
            <w:tcW w:type="dxa" w:w="1928"/>
            <w:shd w:val="clear" w:color="auto" w:fill="F2F5FA"/>
          </w:tcPr>
          <w:p>
            <w:pPr>
              <w:spacing w:after="20" w:line="240" w:lineRule="auto"/>
            </w:pPr>
            <w:r>
              <w:rPr>
                <w:sz w:val="15"/>
              </w:rPr>
              <w:t xml:space="preserve">Rendered SRS Deployment and Service: containerPort 8443, probes on </w:t>
            </w:r>
            <w:r>
              <w:rPr>
                <w:rFonts w:ascii="Consolas" w:hAnsi="Consolas"/>
                <w:color w:val="1F3864"/>
                <w:sz w:val="15"/>
              </w:rPr>
              <w:t>https://localhost:8443/health</w:t>
            </w:r>
            <w:r>
              <w:rPr>
                <w:sz w:val="15"/>
              </w:rPr>
              <w:t xml:space="preserve"> </w:t>
            </w:r>
            <w:r>
              <w:rPr>
                <w:color w:val="2E75B6"/>
                <w:sz w:val="15"/>
              </w:rPr>
              <w:t>[R62]</w:t>
            </w:r>
          </w:p>
        </w:tc>
        <w:tc>
          <w:tcPr>
            <w:tcW w:type="dxa" w:w="2098"/>
            <w:shd w:val="clear" w:color="auto" w:fill="F2F5FA"/>
          </w:tcPr>
          <w:p>
            <w:pPr>
              <w:spacing w:after="20" w:line="240" w:lineRule="auto"/>
            </w:pPr>
            <w:r>
              <w:rPr>
                <w:sz w:val="15"/>
              </w:rPr>
              <w:t xml:space="preserve">URL ends in </w:t>
            </w:r>
            <w:r>
              <w:rPr>
                <w:rFonts w:ascii="Consolas" w:hAnsi="Consolas"/>
                <w:color w:val="1F3864"/>
                <w:sz w:val="15"/>
              </w:rPr>
              <w:t>:8443</w:t>
            </w:r>
            <w:r>
              <w:rPr>
                <w:sz w:val="15"/>
              </w:rPr>
              <w:t xml:space="preserve"> in all six environments; flow table, S-5 and Appendix B updated</w:t>
            </w:r>
          </w:p>
        </w:tc>
      </w:tr>
      <w:tr>
        <w:trPr>
          <w:cantSplit w:val="true"/>
        </w:trPr>
        <w:tc>
          <w:tcPr>
            <w:tcW w:type="dxa" w:w="624"/>
          </w:tcPr>
          <w:p>
            <w:pPr>
              <w:spacing w:after="20" w:line="240" w:lineRule="auto"/>
            </w:pPr>
            <w:r>
              <w:rPr>
                <w:sz w:val="15"/>
              </w:rPr>
              <w:t>F-03</w:t>
            </w:r>
          </w:p>
        </w:tc>
        <w:tc>
          <w:tcPr>
            <w:tcW w:type="dxa" w:w="680"/>
          </w:tcPr>
          <w:p>
            <w:pPr>
              <w:spacing w:after="20" w:line="240" w:lineRule="auto"/>
            </w:pPr>
            <w:r>
              <w:rPr>
                <w:sz w:val="15"/>
              </w:rPr>
              <w:t>D4, D5</w:t>
            </w:r>
          </w:p>
        </w:tc>
        <w:tc>
          <w:tcPr>
            <w:tcW w:type="dxa" w:w="907"/>
          </w:tcPr>
          <w:p>
            <w:pPr>
              <w:spacing w:after="20" w:line="240" w:lineRule="auto"/>
            </w:pPr>
            <w:r>
              <w:rPr>
                <w:sz w:val="15"/>
              </w:rPr>
              <w:t>Critical</w:t>
            </w:r>
          </w:p>
        </w:tc>
        <w:tc>
          <w:tcPr>
            <w:tcW w:type="dxa" w:w="3175"/>
          </w:tcPr>
          <w:p>
            <w:pPr>
              <w:spacing w:after="20" w:line="240" w:lineRule="auto"/>
            </w:pPr>
            <w:r>
              <w:rPr>
                <w:sz w:val="15"/>
              </w:rPr>
              <w:t>The chart network policy (</w:t>
            </w:r>
            <w:r>
              <w:rPr>
                <w:rFonts w:ascii="Consolas" w:hAnsi="Consolas"/>
                <w:color w:val="1F3864"/>
                <w:sz w:val="15"/>
              </w:rPr>
              <w:t>srsStorage.networkPolicy.enabled: true</w:t>
            </w:r>
            <w:r>
              <w:rPr>
                <w:sz w:val="15"/>
              </w:rPr>
              <w:t xml:space="preserve">) allows SRS egress only to an in-cluster </w:t>
            </w:r>
            <w:r>
              <w:rPr>
                <w:rFonts w:ascii="Consolas" w:hAnsi="Consolas"/>
                <w:color w:val="1F3864"/>
                <w:sz w:val="15"/>
              </w:rPr>
              <w:t>elasticsearch-master</w:t>
            </w:r>
            <w:r>
              <w:rPr>
                <w:sz w:val="15"/>
              </w:rPr>
              <w:t xml:space="preserve"> on 9200 and DNS, and ingress from </w:t>
            </w:r>
            <w:r>
              <w:rPr>
                <w:rFonts w:ascii="Consolas" w:hAnsi="Consolas"/>
                <w:color w:val="1F3864"/>
                <w:sz w:val="15"/>
              </w:rPr>
              <w:t>0.0.0.0/0</w:t>
            </w:r>
            <w:r>
              <w:rPr>
                <w:sz w:val="15"/>
              </w:rPr>
              <w:t>. It blocks the external OpenSearch service and the Okta key set and lets any pod call SRS.</w:t>
            </w:r>
          </w:p>
        </w:tc>
        <w:tc>
          <w:tcPr>
            <w:tcW w:type="dxa" w:w="1928"/>
          </w:tcPr>
          <w:p>
            <w:pPr>
              <w:spacing w:after="20" w:line="240" w:lineRule="auto"/>
            </w:pPr>
            <w:r>
              <w:rPr>
                <w:sz w:val="15"/>
              </w:rPr>
              <w:t xml:space="preserve">Rendered NetworkPolicy from the v2.0 values </w:t>
            </w:r>
            <w:r>
              <w:rPr>
                <w:color w:val="2E75B6"/>
                <w:sz w:val="15"/>
              </w:rPr>
              <w:t>[R62]</w:t>
            </w:r>
          </w:p>
        </w:tc>
        <w:tc>
          <w:tcPr>
            <w:tcW w:type="dxa" w:w="2098"/>
          </w:tcPr>
          <w:p>
            <w:pPr>
              <w:spacing w:after="20" w:line="240" w:lineRule="auto"/>
            </w:pPr>
            <w:r>
              <w:rPr>
                <w:sz w:val="15"/>
              </w:rPr>
              <w:t>Chart policy off; replacement default-deny and allow policies per environment (Section 7.7, Appendix B, NW-5, SR-2)</w:t>
            </w:r>
          </w:p>
        </w:tc>
      </w:tr>
      <w:tr>
        <w:trPr>
          <w:cantSplit w:val="true"/>
        </w:trPr>
        <w:tc>
          <w:tcPr>
            <w:tcW w:type="dxa" w:w="624"/>
            <w:shd w:val="clear" w:color="auto" w:fill="F2F5FA"/>
          </w:tcPr>
          <w:p>
            <w:pPr>
              <w:spacing w:after="20" w:line="240" w:lineRule="auto"/>
            </w:pPr>
            <w:r>
              <w:rPr>
                <w:sz w:val="15"/>
              </w:rPr>
              <w:t>F-04</w:t>
            </w:r>
          </w:p>
        </w:tc>
        <w:tc>
          <w:tcPr>
            <w:tcW w:type="dxa" w:w="680"/>
            <w:shd w:val="clear" w:color="auto" w:fill="F2F5FA"/>
          </w:tcPr>
          <w:p>
            <w:pPr>
              <w:spacing w:after="20" w:line="240" w:lineRule="auto"/>
            </w:pPr>
            <w:r>
              <w:rPr>
                <w:sz w:val="15"/>
              </w:rPr>
              <w:t>D4</w:t>
            </w:r>
          </w:p>
        </w:tc>
        <w:tc>
          <w:tcPr>
            <w:tcW w:type="dxa" w:w="907"/>
            <w:shd w:val="clear" w:color="auto" w:fill="F2F5FA"/>
          </w:tcPr>
          <w:p>
            <w:pPr>
              <w:spacing w:after="20" w:line="240" w:lineRule="auto"/>
            </w:pPr>
            <w:r>
              <w:rPr>
                <w:sz w:val="15"/>
              </w:rPr>
              <w:t>Medium</w:t>
            </w:r>
          </w:p>
        </w:tc>
        <w:tc>
          <w:tcPr>
            <w:tcW w:type="dxa" w:w="3175"/>
            <w:shd w:val="clear" w:color="auto" w:fill="F2F5FA"/>
          </w:tcPr>
          <w:p>
            <w:pPr>
              <w:spacing w:after="20" w:line="240" w:lineRule="auto"/>
            </w:pPr>
            <w:r>
              <w:rPr>
                <w:sz w:val="15"/>
              </w:rPr>
              <w:t xml:space="preserve">Section 9.3 listed </w:t>
            </w:r>
            <w:r>
              <w:rPr>
                <w:rFonts w:ascii="Consolas" w:hAnsi="Consolas"/>
                <w:color w:val="1F3864"/>
                <w:sz w:val="15"/>
              </w:rPr>
              <w:t>srsStorage.tls.enabled</w:t>
            </w:r>
            <w:r>
              <w:rPr>
                <w:sz w:val="15"/>
              </w:rPr>
              <w:t xml:space="preserve"> and </w:t>
            </w:r>
            <w:r>
              <w:rPr>
                <w:rFonts w:ascii="Consolas" w:hAnsi="Consolas"/>
                <w:color w:val="1F3864"/>
                <w:sz w:val="15"/>
              </w:rPr>
              <w:t>networkPolicy.enabled</w:t>
            </w:r>
            <w:r>
              <w:rPr>
                <w:sz w:val="15"/>
              </w:rPr>
              <w:t xml:space="preserve"> as </w:t>
            </w:r>
            <w:r>
              <w:rPr>
                <w:rFonts w:ascii="Consolas" w:hAnsi="Consolas"/>
                <w:color w:val="1F3864"/>
                <w:sz w:val="15"/>
              </w:rPr>
              <w:t>true</w:t>
            </w:r>
            <w:r>
              <w:rPr>
                <w:sz w:val="15"/>
              </w:rPr>
              <w:t>, contradicting the corrected design once F-01 and F-03 are fixed.</w:t>
            </w:r>
          </w:p>
        </w:tc>
        <w:tc>
          <w:tcPr>
            <w:tcW w:type="dxa" w:w="1928"/>
            <w:shd w:val="clear" w:color="auto" w:fill="F2F5FA"/>
          </w:tcPr>
          <w:p>
            <w:pPr>
              <w:spacing w:after="20" w:line="240" w:lineRule="auto"/>
            </w:pPr>
            <w:r>
              <w:rPr>
                <w:sz w:val="15"/>
              </w:rPr>
              <w:t>Section 9.3 table in v2.0</w:t>
            </w:r>
          </w:p>
        </w:tc>
        <w:tc>
          <w:tcPr>
            <w:tcW w:type="dxa" w:w="2098"/>
            <w:shd w:val="clear" w:color="auto" w:fill="F2F5FA"/>
          </w:tcPr>
          <w:p>
            <w:pPr>
              <w:spacing w:after="20" w:line="240" w:lineRule="auto"/>
            </w:pPr>
            <w:r>
              <w:rPr>
                <w:sz w:val="15"/>
              </w:rPr>
              <w:t>Table corrected; new SRS chart behaviours table</w:t>
            </w:r>
          </w:p>
        </w:tc>
      </w:tr>
      <w:tr>
        <w:trPr>
          <w:cantSplit w:val="true"/>
        </w:trPr>
        <w:tc>
          <w:tcPr>
            <w:tcW w:type="dxa" w:w="624"/>
          </w:tcPr>
          <w:p>
            <w:pPr>
              <w:spacing w:after="20" w:line="240" w:lineRule="auto"/>
            </w:pPr>
            <w:r>
              <w:rPr>
                <w:sz w:val="15"/>
              </w:rPr>
              <w:t>F-05</w:t>
            </w:r>
          </w:p>
        </w:tc>
        <w:tc>
          <w:tcPr>
            <w:tcW w:type="dxa" w:w="680"/>
          </w:tcPr>
          <w:p>
            <w:pPr>
              <w:spacing w:after="20" w:line="240" w:lineRule="auto"/>
            </w:pPr>
            <w:r>
              <w:rPr>
                <w:sz w:val="15"/>
              </w:rPr>
              <w:t>D3</w:t>
            </w:r>
          </w:p>
        </w:tc>
        <w:tc>
          <w:tcPr>
            <w:tcW w:type="dxa" w:w="907"/>
          </w:tcPr>
          <w:p>
            <w:pPr>
              <w:spacing w:after="20" w:line="240" w:lineRule="auto"/>
            </w:pPr>
            <w:r>
              <w:rPr>
                <w:sz w:val="15"/>
              </w:rPr>
              <w:t>High</w:t>
            </w:r>
          </w:p>
        </w:tc>
        <w:tc>
          <w:tcPr>
            <w:tcW w:type="dxa" w:w="3175"/>
          </w:tcPr>
          <w:p>
            <w:pPr>
              <w:spacing w:after="20" w:line="240" w:lineRule="auto"/>
            </w:pPr>
            <w:r>
              <w:rPr>
                <w:sz w:val="15"/>
              </w:rPr>
              <w:t>One SRS replica in DEV, SIT and UAT. The SRS chart README states a minimum of 2 replicas and 3 as best practice, while Pega's sizing table shows 1 for test landscapes.</w:t>
            </w:r>
          </w:p>
        </w:tc>
        <w:tc>
          <w:tcPr>
            <w:tcW w:type="dxa" w:w="1928"/>
          </w:tcPr>
          <w:p>
            <w:pPr>
              <w:spacing w:after="20" w:line="240" w:lineRule="auto"/>
            </w:pPr>
            <w:r>
              <w:rPr>
                <w:sz w:val="15"/>
              </w:rPr>
              <w:t>R14 against R24</w:t>
            </w:r>
          </w:p>
        </w:tc>
        <w:tc>
          <w:tcPr>
            <w:tcW w:type="dxa" w:w="2098"/>
          </w:tcPr>
          <w:p>
            <w:pPr>
              <w:spacing w:after="20" w:line="240" w:lineRule="auto"/>
            </w:pPr>
            <w:r>
              <w:rPr>
                <w:sz w:val="15"/>
              </w:rPr>
              <w:t>2 replicas in DEV, SIT and UAT; conflict logged as RC-10</w:t>
            </w:r>
          </w:p>
        </w:tc>
      </w:tr>
      <w:tr>
        <w:trPr>
          <w:cantSplit w:val="true"/>
        </w:trPr>
        <w:tc>
          <w:tcPr>
            <w:tcW w:type="dxa" w:w="624"/>
            <w:shd w:val="clear" w:color="auto" w:fill="F2F5FA"/>
          </w:tcPr>
          <w:p>
            <w:pPr>
              <w:spacing w:after="20" w:line="240" w:lineRule="auto"/>
            </w:pPr>
            <w:r>
              <w:rPr>
                <w:sz w:val="15"/>
              </w:rPr>
              <w:t>F-06</w:t>
            </w:r>
          </w:p>
        </w:tc>
        <w:tc>
          <w:tcPr>
            <w:tcW w:type="dxa" w:w="680"/>
            <w:shd w:val="clear" w:color="auto" w:fill="F2F5FA"/>
          </w:tcPr>
          <w:p>
            <w:pPr>
              <w:spacing w:after="20" w:line="240" w:lineRule="auto"/>
            </w:pPr>
            <w:r>
              <w:rPr>
                <w:sz w:val="15"/>
              </w:rPr>
              <w:t>D3</w:t>
            </w:r>
          </w:p>
        </w:tc>
        <w:tc>
          <w:tcPr>
            <w:tcW w:type="dxa" w:w="907"/>
            <w:shd w:val="clear" w:color="auto" w:fill="F2F5FA"/>
          </w:tcPr>
          <w:p>
            <w:pPr>
              <w:spacing w:after="20" w:line="240" w:lineRule="auto"/>
            </w:pPr>
            <w:r>
              <w:rPr>
                <w:sz w:val="15"/>
              </w:rPr>
              <w:t>Medium</w:t>
            </w:r>
          </w:p>
        </w:tc>
        <w:tc>
          <w:tcPr>
            <w:tcW w:type="dxa" w:w="3175"/>
            <w:shd w:val="clear" w:color="auto" w:fill="F2F5FA"/>
          </w:tcPr>
          <w:p>
            <w:pPr>
              <w:spacing w:after="20" w:line="240" w:lineRule="auto"/>
            </w:pPr>
            <w:r>
              <w:rPr>
                <w:sz w:val="15"/>
              </w:rPr>
              <w:t>SRS resources were left at chart defaults (1.3 CPU limit, 4Gi) without noting that Pega's sizing table gives 2 CPU per SRS pod.</w:t>
            </w:r>
          </w:p>
        </w:tc>
        <w:tc>
          <w:tcPr>
            <w:tcW w:type="dxa" w:w="1928"/>
            <w:shd w:val="clear" w:color="auto" w:fill="F2F5FA"/>
          </w:tcPr>
          <w:p>
            <w:pPr>
              <w:spacing w:after="20" w:line="240" w:lineRule="auto"/>
            </w:pPr>
            <w:r>
              <w:rPr>
                <w:sz w:val="15"/>
              </w:rPr>
              <w:t>R14 against R24</w:t>
            </w:r>
          </w:p>
        </w:tc>
        <w:tc>
          <w:tcPr>
            <w:tcW w:type="dxa" w:w="2098"/>
            <w:shd w:val="clear" w:color="auto" w:fill="F2F5FA"/>
          </w:tcPr>
          <w:p>
            <w:pPr>
              <w:spacing w:after="20" w:line="240" w:lineRule="auto"/>
            </w:pPr>
            <w:r>
              <w:rPr>
                <w:sz w:val="15"/>
              </w:rPr>
              <w:t>Explicit resources: request 1 CPU, limit 2 CPU, 4Gi; RC-11</w:t>
            </w:r>
          </w:p>
        </w:tc>
      </w:tr>
      <w:tr>
        <w:trPr>
          <w:cantSplit w:val="true"/>
        </w:trPr>
        <w:tc>
          <w:tcPr>
            <w:tcW w:type="dxa" w:w="624"/>
          </w:tcPr>
          <w:p>
            <w:pPr>
              <w:spacing w:after="20" w:line="240" w:lineRule="auto"/>
            </w:pPr>
            <w:r>
              <w:rPr>
                <w:sz w:val="15"/>
              </w:rPr>
              <w:t>F-07</w:t>
            </w:r>
          </w:p>
        </w:tc>
        <w:tc>
          <w:tcPr>
            <w:tcW w:type="dxa" w:w="680"/>
          </w:tcPr>
          <w:p>
            <w:pPr>
              <w:spacing w:after="20" w:line="240" w:lineRule="auto"/>
            </w:pPr>
            <w:r>
              <w:rPr>
                <w:sz w:val="15"/>
              </w:rPr>
              <w:t>D6</w:t>
            </w:r>
          </w:p>
        </w:tc>
        <w:tc>
          <w:tcPr>
            <w:tcW w:type="dxa" w:w="907"/>
          </w:tcPr>
          <w:p>
            <w:pPr>
              <w:spacing w:after="20" w:line="240" w:lineRule="auto"/>
            </w:pPr>
            <w:r>
              <w:rPr>
                <w:sz w:val="15"/>
              </w:rPr>
              <w:t>High</w:t>
            </w:r>
          </w:p>
        </w:tc>
        <w:tc>
          <w:tcPr>
            <w:tcW w:type="dxa" w:w="3175"/>
          </w:tcPr>
          <w:p>
            <w:pPr>
              <w:spacing w:after="20" w:line="240" w:lineRule="auto"/>
            </w:pPr>
            <w:r>
              <w:rPr>
                <w:sz w:val="15"/>
              </w:rPr>
              <w:t>No availability zone design. Pega tiers had no zone spread, SRS no anti-affinity, node pools no zone headroom, and the Confluent and OpenSearch zone conditions were not stated.</w:t>
            </w:r>
          </w:p>
        </w:tc>
        <w:tc>
          <w:tcPr>
            <w:tcW w:type="dxa" w:w="1928"/>
          </w:tcPr>
          <w:p>
            <w:pPr>
              <w:spacing w:after="20" w:line="240" w:lineRule="auto"/>
            </w:pPr>
            <w:r>
              <w:rPr>
                <w:sz w:val="15"/>
              </w:rPr>
              <w:t>v2.0 Sections 4 and 9; R31, R59</w:t>
            </w:r>
          </w:p>
        </w:tc>
        <w:tc>
          <w:tcPr>
            <w:tcW w:type="dxa" w:w="2098"/>
          </w:tcPr>
          <w:p>
            <w:pPr>
              <w:spacing w:after="20" w:line="240" w:lineRule="auto"/>
            </w:pPr>
            <w:r>
              <w:rPr>
                <w:sz w:val="15"/>
              </w:rPr>
              <w:t xml:space="preserve">New Section 4.6 with figure; </w:t>
            </w:r>
            <w:r>
              <w:rPr>
                <w:rFonts w:ascii="Consolas" w:hAnsi="Consolas"/>
                <w:color w:val="1F3864"/>
                <w:sz w:val="15"/>
              </w:rPr>
              <w:t>topologySpreadConstraints</w:t>
            </w:r>
            <w:r>
              <w:rPr>
                <w:sz w:val="15"/>
              </w:rPr>
              <w:t xml:space="preserve"> per tier (rendered), SRS anti-affinity, 1.5 times node headroom; RC-12</w:t>
            </w:r>
          </w:p>
        </w:tc>
      </w:tr>
      <w:tr>
        <w:trPr>
          <w:cantSplit w:val="true"/>
        </w:trPr>
        <w:tc>
          <w:tcPr>
            <w:tcW w:type="dxa" w:w="624"/>
            <w:shd w:val="clear" w:color="auto" w:fill="F2F5FA"/>
          </w:tcPr>
          <w:p>
            <w:pPr>
              <w:spacing w:after="20" w:line="240" w:lineRule="auto"/>
            </w:pPr>
            <w:r>
              <w:rPr>
                <w:sz w:val="15"/>
              </w:rPr>
              <w:t>F-08</w:t>
            </w:r>
          </w:p>
        </w:tc>
        <w:tc>
          <w:tcPr>
            <w:tcW w:type="dxa" w:w="680"/>
            <w:shd w:val="clear" w:color="auto" w:fill="F2F5FA"/>
          </w:tcPr>
          <w:p>
            <w:pPr>
              <w:spacing w:after="20" w:line="240" w:lineRule="auto"/>
            </w:pPr>
            <w:r>
              <w:rPr>
                <w:sz w:val="15"/>
              </w:rPr>
              <w:t>D2</w:t>
            </w:r>
          </w:p>
        </w:tc>
        <w:tc>
          <w:tcPr>
            <w:tcW w:type="dxa" w:w="907"/>
            <w:shd w:val="clear" w:color="auto" w:fill="F2F5FA"/>
          </w:tcPr>
          <w:p>
            <w:pPr>
              <w:spacing w:after="20" w:line="240" w:lineRule="auto"/>
            </w:pPr>
            <w:r>
              <w:rPr>
                <w:sz w:val="15"/>
              </w:rPr>
              <w:t>High</w:t>
            </w:r>
          </w:p>
        </w:tc>
        <w:tc>
          <w:tcPr>
            <w:tcW w:type="dxa" w:w="3175"/>
            <w:shd w:val="clear" w:color="auto" w:fill="F2F5FA"/>
          </w:tcPr>
          <w:p>
            <w:pPr>
              <w:spacing w:after="20" w:line="240" w:lineRule="auto"/>
            </w:pPr>
            <w:r>
              <w:rPr>
                <w:sz w:val="15"/>
              </w:rPr>
              <w:t>Confluent connection, connection-attempt and request limits per eCKU, now enforced on Enterprise clusters, were missing. Rolling restarts of shared environments can be throttled.</w:t>
            </w:r>
          </w:p>
        </w:tc>
        <w:tc>
          <w:tcPr>
            <w:tcW w:type="dxa" w:w="1928"/>
            <w:shd w:val="clear" w:color="auto" w:fill="F2F5FA"/>
          </w:tcPr>
          <w:p>
            <w:pPr>
              <w:spacing w:after="20" w:line="240" w:lineRule="auto"/>
            </w:pPr>
            <w:r>
              <w:rPr>
                <w:sz w:val="15"/>
              </w:rPr>
              <w:t>R31, R56</w:t>
            </w:r>
          </w:p>
        </w:tc>
        <w:tc>
          <w:tcPr>
            <w:tcW w:type="dxa" w:w="2098"/>
            <w:shd w:val="clear" w:color="auto" w:fill="F2F5FA"/>
          </w:tcPr>
          <w:p>
            <w:pPr>
              <w:spacing w:after="20" w:line="240" w:lineRule="auto"/>
            </w:pPr>
            <w:r>
              <w:rPr>
                <w:sz w:val="15"/>
              </w:rPr>
              <w:t>Limits table extended; enforcement callout; FS-31; throttling alert; RK-13</w:t>
            </w:r>
          </w:p>
        </w:tc>
      </w:tr>
      <w:tr>
        <w:trPr>
          <w:cantSplit w:val="true"/>
        </w:trPr>
        <w:tc>
          <w:tcPr>
            <w:tcW w:type="dxa" w:w="624"/>
          </w:tcPr>
          <w:p>
            <w:pPr>
              <w:spacing w:after="20" w:line="240" w:lineRule="auto"/>
            </w:pPr>
            <w:r>
              <w:rPr>
                <w:sz w:val="15"/>
              </w:rPr>
              <w:t>F-09</w:t>
            </w:r>
          </w:p>
        </w:tc>
        <w:tc>
          <w:tcPr>
            <w:tcW w:type="dxa" w:w="680"/>
          </w:tcPr>
          <w:p>
            <w:pPr>
              <w:spacing w:after="20" w:line="240" w:lineRule="auto"/>
            </w:pPr>
            <w:r>
              <w:rPr>
                <w:sz w:val="15"/>
              </w:rPr>
              <w:t>D2</w:t>
            </w:r>
          </w:p>
        </w:tc>
        <w:tc>
          <w:tcPr>
            <w:tcW w:type="dxa" w:w="907"/>
          </w:tcPr>
          <w:p>
            <w:pPr>
              <w:spacing w:after="20" w:line="240" w:lineRule="auto"/>
            </w:pPr>
            <w:r>
              <w:rPr>
                <w:sz w:val="15"/>
              </w:rPr>
              <w:t>Medium</w:t>
            </w:r>
          </w:p>
        </w:tc>
        <w:tc>
          <w:tcPr>
            <w:tcW w:type="dxa" w:w="3175"/>
          </w:tcPr>
          <w:p>
            <w:pPr>
              <w:spacing w:after="20" w:line="240" w:lineRule="auto"/>
            </w:pPr>
            <w:r>
              <w:rPr>
                <w:sz w:val="15"/>
              </w:rPr>
              <w:t>Partition creation and deletion pacing (500 per five minutes on Enterprise) was missing. It lengthens first starts and refreshes in shared groups.</w:t>
            </w:r>
          </w:p>
        </w:tc>
        <w:tc>
          <w:tcPr>
            <w:tcW w:type="dxa" w:w="1928"/>
          </w:tcPr>
          <w:p>
            <w:pPr>
              <w:spacing w:after="20" w:line="240" w:lineRule="auto"/>
            </w:pPr>
            <w:r>
              <w:rPr>
                <w:sz w:val="15"/>
              </w:rPr>
              <w:t>R31</w:t>
            </w:r>
          </w:p>
        </w:tc>
        <w:tc>
          <w:tcPr>
            <w:tcW w:type="dxa" w:w="2098"/>
          </w:tcPr>
          <w:p>
            <w:pPr>
              <w:spacing w:after="20" w:line="240" w:lineRule="auto"/>
            </w:pPr>
            <w:r>
              <w:rPr>
                <w:sz w:val="15"/>
              </w:rPr>
              <w:t>Callout in Section 6.3; FS-32; one refresh per group at a time</w:t>
            </w:r>
          </w:p>
        </w:tc>
      </w:tr>
      <w:tr>
        <w:trPr>
          <w:cantSplit w:val="true"/>
        </w:trPr>
        <w:tc>
          <w:tcPr>
            <w:tcW w:type="dxa" w:w="624"/>
            <w:shd w:val="clear" w:color="auto" w:fill="F2F5FA"/>
          </w:tcPr>
          <w:p>
            <w:pPr>
              <w:spacing w:after="20" w:line="240" w:lineRule="auto"/>
            </w:pPr>
            <w:r>
              <w:rPr>
                <w:sz w:val="15"/>
              </w:rPr>
              <w:t>F-10</w:t>
            </w:r>
          </w:p>
        </w:tc>
        <w:tc>
          <w:tcPr>
            <w:tcW w:type="dxa" w:w="680"/>
            <w:shd w:val="clear" w:color="auto" w:fill="F2F5FA"/>
          </w:tcPr>
          <w:p>
            <w:pPr>
              <w:spacing w:after="20" w:line="240" w:lineRule="auto"/>
            </w:pPr>
            <w:r>
              <w:rPr>
                <w:sz w:val="15"/>
              </w:rPr>
              <w:t>D2</w:t>
            </w:r>
          </w:p>
        </w:tc>
        <w:tc>
          <w:tcPr>
            <w:tcW w:type="dxa" w:w="907"/>
            <w:shd w:val="clear" w:color="auto" w:fill="F2F5FA"/>
          </w:tcPr>
          <w:p>
            <w:pPr>
              <w:spacing w:after="20" w:line="240" w:lineRule="auto"/>
            </w:pPr>
            <w:r>
              <w:rPr>
                <w:sz w:val="15"/>
              </w:rPr>
              <w:t>High</w:t>
            </w:r>
          </w:p>
        </w:tc>
        <w:tc>
          <w:tcPr>
            <w:tcW w:type="dxa" w:w="3175"/>
            <w:shd w:val="clear" w:color="auto" w:fill="F2F5FA"/>
          </w:tcPr>
          <w:p>
            <w:pPr>
              <w:spacing w:after="20" w:line="240" w:lineRule="auto"/>
            </w:pPr>
            <w:r>
              <w:rPr>
                <w:sz w:val="15"/>
              </w:rPr>
              <w:t>The 99.99 % SLA conditions were missing: at least 2 eCKU on Enterprise; Dedicated only if created multi-zone, which cannot be changed later.</w:t>
            </w:r>
          </w:p>
        </w:tc>
        <w:tc>
          <w:tcPr>
            <w:tcW w:type="dxa" w:w="1928"/>
            <w:shd w:val="clear" w:color="auto" w:fill="F2F5FA"/>
          </w:tcPr>
          <w:p>
            <w:pPr>
              <w:spacing w:after="20" w:line="240" w:lineRule="auto"/>
            </w:pPr>
            <w:r>
              <w:rPr>
                <w:sz w:val="15"/>
              </w:rPr>
              <w:t>R31</w:t>
            </w:r>
          </w:p>
        </w:tc>
        <w:tc>
          <w:tcPr>
            <w:tcW w:type="dxa" w:w="2098"/>
            <w:shd w:val="clear" w:color="auto" w:fill="F2F5FA"/>
          </w:tcPr>
          <w:p>
            <w:pPr>
              <w:spacing w:after="20" w:line="240" w:lineRule="auto"/>
            </w:pPr>
            <w:r>
              <w:rPr>
                <w:sz w:val="15"/>
              </w:rPr>
              <w:t>Section 6.3 callout; minimum 2 units for NP2 and PROD; calculator applies the minimum</w:t>
            </w:r>
          </w:p>
        </w:tc>
      </w:tr>
      <w:tr>
        <w:trPr>
          <w:cantSplit w:val="true"/>
        </w:trPr>
        <w:tc>
          <w:tcPr>
            <w:tcW w:type="dxa" w:w="624"/>
          </w:tcPr>
          <w:p>
            <w:pPr>
              <w:spacing w:after="20" w:line="240" w:lineRule="auto"/>
            </w:pPr>
            <w:r>
              <w:rPr>
                <w:sz w:val="15"/>
              </w:rPr>
              <w:t>F-11</w:t>
            </w:r>
          </w:p>
        </w:tc>
        <w:tc>
          <w:tcPr>
            <w:tcW w:type="dxa" w:w="680"/>
          </w:tcPr>
          <w:p>
            <w:pPr>
              <w:spacing w:after="20" w:line="240" w:lineRule="auto"/>
            </w:pPr>
            <w:r>
              <w:rPr>
                <w:sz w:val="15"/>
              </w:rPr>
              <w:t>D1, D2</w:t>
            </w:r>
          </w:p>
        </w:tc>
        <w:tc>
          <w:tcPr>
            <w:tcW w:type="dxa" w:w="907"/>
          </w:tcPr>
          <w:p>
            <w:pPr>
              <w:spacing w:after="20" w:line="240" w:lineRule="auto"/>
            </w:pPr>
            <w:r>
              <w:rPr>
                <w:sz w:val="15"/>
              </w:rPr>
              <w:t>Medium</w:t>
            </w:r>
          </w:p>
        </w:tc>
        <w:tc>
          <w:tcPr>
            <w:tcW w:type="dxa" w:w="3175"/>
          </w:tcPr>
          <w:p>
            <w:pPr>
              <w:spacing w:after="20" w:line="240" w:lineRule="auto"/>
            </w:pPr>
            <w:r>
              <w:rPr>
                <w:sz w:val="15"/>
              </w:rPr>
              <w:t>The partition budget did not use Pega's default of 6 partitions per topic or the rule that queue processor threads beyond the partition count do no work. A clone can carry a changed partition DSS from 8.8.</w:t>
            </w:r>
          </w:p>
        </w:tc>
        <w:tc>
          <w:tcPr>
            <w:tcW w:type="dxa" w:w="1928"/>
          </w:tcPr>
          <w:p>
            <w:pPr>
              <w:spacing w:after="20" w:line="240" w:lineRule="auto"/>
            </w:pPr>
            <w:r>
              <w:rPr>
                <w:sz w:val="15"/>
              </w:rPr>
              <w:t>R49, R50</w:t>
            </w:r>
          </w:p>
        </w:tc>
        <w:tc>
          <w:tcPr>
            <w:tcW w:type="dxa" w:w="2098"/>
          </w:tcPr>
          <w:p>
            <w:pPr>
              <w:spacing w:after="20" w:line="240" w:lineRule="auto"/>
            </w:pPr>
            <w:r>
              <w:rPr>
                <w:sz w:val="15"/>
              </w:rPr>
              <w:t>Formulas in Section 6.7; CD-15; known issues; performance pitfalls</w:t>
            </w:r>
          </w:p>
        </w:tc>
      </w:tr>
      <w:tr>
        <w:trPr>
          <w:cantSplit w:val="true"/>
        </w:trPr>
        <w:tc>
          <w:tcPr>
            <w:tcW w:type="dxa" w:w="624"/>
            <w:shd w:val="clear" w:color="auto" w:fill="F2F5FA"/>
          </w:tcPr>
          <w:p>
            <w:pPr>
              <w:spacing w:after="20" w:line="240" w:lineRule="auto"/>
            </w:pPr>
            <w:r>
              <w:rPr>
                <w:sz w:val="15"/>
              </w:rPr>
              <w:t>F-12</w:t>
            </w:r>
          </w:p>
        </w:tc>
        <w:tc>
          <w:tcPr>
            <w:tcW w:type="dxa" w:w="680"/>
            <w:shd w:val="clear" w:color="auto" w:fill="F2F5FA"/>
          </w:tcPr>
          <w:p>
            <w:pPr>
              <w:spacing w:after="20" w:line="240" w:lineRule="auto"/>
            </w:pPr>
            <w:r>
              <w:rPr>
                <w:sz w:val="15"/>
              </w:rPr>
              <w:t>D1</w:t>
            </w:r>
          </w:p>
        </w:tc>
        <w:tc>
          <w:tcPr>
            <w:tcW w:type="dxa" w:w="907"/>
            <w:shd w:val="clear" w:color="auto" w:fill="F2F5FA"/>
          </w:tcPr>
          <w:p>
            <w:pPr>
              <w:spacing w:after="20" w:line="240" w:lineRule="auto"/>
            </w:pPr>
            <w:r>
              <w:rPr>
                <w:sz w:val="15"/>
              </w:rPr>
              <w:t>High</w:t>
            </w:r>
          </w:p>
        </w:tc>
        <w:tc>
          <w:tcPr>
            <w:tcW w:type="dxa" w:w="3175"/>
            <w:shd w:val="clear" w:color="auto" w:fill="F2F5FA"/>
          </w:tcPr>
          <w:p>
            <w:pPr>
              <w:spacing w:after="20" w:line="240" w:lineRule="auto"/>
            </w:pPr>
            <w:r>
              <w:rPr>
                <w:sz w:val="15"/>
              </w:rPr>
              <w:t>The upgrade path did not ask whether the installer needs Kafka. From '25 Pega command-line tooling needs Kafka, but chart 4.13.0 passes no stream settings to the installer job.</w:t>
            </w:r>
          </w:p>
        </w:tc>
        <w:tc>
          <w:tcPr>
            <w:tcW w:type="dxa" w:w="1928"/>
            <w:shd w:val="clear" w:color="auto" w:fill="F2F5FA"/>
          </w:tcPr>
          <w:p>
            <w:pPr>
              <w:spacing w:after="20" w:line="240" w:lineRule="auto"/>
            </w:pPr>
            <w:r>
              <w:rPr>
                <w:sz w:val="15"/>
              </w:rPr>
              <w:t xml:space="preserve">R8; rendered run U has no </w:t>
            </w:r>
            <w:r>
              <w:rPr>
                <w:rFonts w:ascii="Consolas" w:hAnsi="Consolas"/>
                <w:color w:val="1F3864"/>
                <w:sz w:val="15"/>
              </w:rPr>
              <w:t>STREAM_*</w:t>
            </w:r>
            <w:r>
              <w:rPr>
                <w:sz w:val="15"/>
              </w:rPr>
              <w:t xml:space="preserve"> values</w:t>
            </w:r>
          </w:p>
        </w:tc>
        <w:tc>
          <w:tcPr>
            <w:tcW w:type="dxa" w:w="2098"/>
            <w:shd w:val="clear" w:color="auto" w:fill="F2F5FA"/>
          </w:tcPr>
          <w:p>
            <w:pPr>
              <w:spacing w:after="20" w:line="240" w:lineRule="auto"/>
            </w:pPr>
            <w:r>
              <w:rPr>
                <w:sz w:val="15"/>
              </w:rPr>
              <w:t>GQ-08; callout in Section 6.9; RK-15; known issue</w:t>
            </w:r>
          </w:p>
        </w:tc>
      </w:tr>
      <w:tr>
        <w:trPr>
          <w:cantSplit w:val="true"/>
        </w:trPr>
        <w:tc>
          <w:tcPr>
            <w:tcW w:type="dxa" w:w="624"/>
          </w:tcPr>
          <w:p>
            <w:pPr>
              <w:spacing w:after="20" w:line="240" w:lineRule="auto"/>
            </w:pPr>
            <w:r>
              <w:rPr>
                <w:sz w:val="15"/>
              </w:rPr>
              <w:t>F-13</w:t>
            </w:r>
          </w:p>
        </w:tc>
        <w:tc>
          <w:tcPr>
            <w:tcW w:type="dxa" w:w="680"/>
          </w:tcPr>
          <w:p>
            <w:pPr>
              <w:spacing w:after="20" w:line="240" w:lineRule="auto"/>
            </w:pPr>
            <w:r>
              <w:rPr>
                <w:sz w:val="15"/>
              </w:rPr>
              <w:t>D5, D7</w:t>
            </w:r>
          </w:p>
        </w:tc>
        <w:tc>
          <w:tcPr>
            <w:tcW w:type="dxa" w:w="907"/>
          </w:tcPr>
          <w:p>
            <w:pPr>
              <w:spacing w:after="20" w:line="240" w:lineRule="auto"/>
            </w:pPr>
            <w:r>
              <w:rPr>
                <w:sz w:val="15"/>
              </w:rPr>
              <w:t>High</w:t>
            </w:r>
          </w:p>
        </w:tc>
        <w:tc>
          <w:tcPr>
            <w:tcW w:type="dxa" w:w="3175"/>
          </w:tcPr>
          <w:p>
            <w:pPr>
              <w:spacing w:after="20" w:line="240" w:lineRule="auto"/>
            </w:pPr>
            <w:r>
              <w:rPr>
                <w:sz w:val="15"/>
              </w:rPr>
              <w:t>Okta signing key rotation (about four times a year) and org-wide rate limits shared by all environments were not covered.</w:t>
            </w:r>
          </w:p>
        </w:tc>
        <w:tc>
          <w:tcPr>
            <w:tcW w:type="dxa" w:w="1928"/>
          </w:tcPr>
          <w:p>
            <w:pPr>
              <w:spacing w:after="20" w:line="240" w:lineRule="auto"/>
            </w:pPr>
            <w:r>
              <w:rPr>
                <w:sz w:val="15"/>
              </w:rPr>
              <w:t>R52, R53</w:t>
            </w:r>
          </w:p>
        </w:tc>
        <w:tc>
          <w:tcPr>
            <w:tcW w:type="dxa" w:w="2098"/>
          </w:tcPr>
          <w:p>
            <w:pPr>
              <w:spacing w:after="20" w:line="240" w:lineRule="auto"/>
            </w:pPr>
            <w:r>
              <w:rPr>
                <w:sz w:val="15"/>
              </w:rPr>
              <w:t>Section 7.6 subsection; FS-33, FS-35; rate-limit alert; RK-14</w:t>
            </w:r>
          </w:p>
        </w:tc>
      </w:tr>
      <w:tr>
        <w:trPr>
          <w:cantSplit w:val="true"/>
        </w:trPr>
        <w:tc>
          <w:tcPr>
            <w:tcW w:type="dxa" w:w="624"/>
            <w:shd w:val="clear" w:color="auto" w:fill="F2F5FA"/>
          </w:tcPr>
          <w:p>
            <w:pPr>
              <w:spacing w:after="20" w:line="240" w:lineRule="auto"/>
            </w:pPr>
            <w:r>
              <w:rPr>
                <w:sz w:val="15"/>
              </w:rPr>
              <w:t>F-14</w:t>
            </w:r>
          </w:p>
        </w:tc>
        <w:tc>
          <w:tcPr>
            <w:tcW w:type="dxa" w:w="680"/>
            <w:shd w:val="clear" w:color="auto" w:fill="F2F5FA"/>
          </w:tcPr>
          <w:p>
            <w:pPr>
              <w:spacing w:after="20" w:line="240" w:lineRule="auto"/>
            </w:pPr>
            <w:r>
              <w:rPr>
                <w:sz w:val="15"/>
              </w:rPr>
              <w:t>D5</w:t>
            </w:r>
          </w:p>
        </w:tc>
        <w:tc>
          <w:tcPr>
            <w:tcW w:type="dxa" w:w="907"/>
            <w:shd w:val="clear" w:color="auto" w:fill="F2F5FA"/>
          </w:tcPr>
          <w:p>
            <w:pPr>
              <w:spacing w:after="20" w:line="240" w:lineRule="auto"/>
            </w:pPr>
            <w:r>
              <w:rPr>
                <w:sz w:val="15"/>
              </w:rPr>
              <w:t>Medium</w:t>
            </w:r>
          </w:p>
        </w:tc>
        <w:tc>
          <w:tcPr>
            <w:tcW w:type="dxa" w:w="3175"/>
            <w:shd w:val="clear" w:color="auto" w:fill="F2F5FA"/>
          </w:tcPr>
          <w:p>
            <w:pPr>
              <w:spacing w:after="20" w:line="240" w:lineRule="auto"/>
            </w:pPr>
            <w:r>
              <w:rPr>
                <w:sz w:val="15"/>
              </w:rPr>
              <w:t xml:space="preserve">Client key rotation assumed Okta would pick the right key; Pega does not state whether its client assertion carries a </w:t>
            </w:r>
            <w:r>
              <w:rPr>
                <w:rFonts w:ascii="Consolas" w:hAnsi="Consolas"/>
                <w:color w:val="1F3864"/>
                <w:sz w:val="15"/>
              </w:rPr>
              <w:t>kid</w:t>
            </w:r>
            <w:r>
              <w:rPr>
                <w:sz w:val="15"/>
              </w:rPr>
              <w:t xml:space="preserve"> header.</w:t>
            </w:r>
          </w:p>
        </w:tc>
        <w:tc>
          <w:tcPr>
            <w:tcW w:type="dxa" w:w="1928"/>
            <w:shd w:val="clear" w:color="auto" w:fill="F2F5FA"/>
          </w:tcPr>
          <w:p>
            <w:pPr>
              <w:spacing w:after="20" w:line="240" w:lineRule="auto"/>
            </w:pPr>
            <w:r>
              <w:rPr>
                <w:sz w:val="15"/>
              </w:rPr>
              <w:t>R45; Pega pages silent</w:t>
            </w:r>
          </w:p>
        </w:tc>
        <w:tc>
          <w:tcPr>
            <w:tcW w:type="dxa" w:w="2098"/>
            <w:shd w:val="clear" w:color="auto" w:fill="F2F5FA"/>
          </w:tcPr>
          <w:p>
            <w:pPr>
              <w:spacing w:after="20" w:line="240" w:lineRule="auto"/>
            </w:pPr>
            <w:r>
              <w:rPr>
                <w:sz w:val="15"/>
              </w:rPr>
              <w:t>FS-34 with two registered keys before any production rotation</w:t>
            </w:r>
          </w:p>
        </w:tc>
      </w:tr>
      <w:tr>
        <w:trPr>
          <w:cantSplit w:val="true"/>
        </w:trPr>
        <w:tc>
          <w:tcPr>
            <w:tcW w:type="dxa" w:w="624"/>
          </w:tcPr>
          <w:p>
            <w:pPr>
              <w:spacing w:after="20" w:line="240" w:lineRule="auto"/>
            </w:pPr>
            <w:r>
              <w:rPr>
                <w:sz w:val="15"/>
              </w:rPr>
              <w:t>F-15</w:t>
            </w:r>
          </w:p>
        </w:tc>
        <w:tc>
          <w:tcPr>
            <w:tcW w:type="dxa" w:w="680"/>
          </w:tcPr>
          <w:p>
            <w:pPr>
              <w:spacing w:after="20" w:line="240" w:lineRule="auto"/>
            </w:pPr>
            <w:r>
              <w:rPr>
                <w:sz w:val="15"/>
              </w:rPr>
              <w:t>D3, D10</w:t>
            </w:r>
          </w:p>
        </w:tc>
        <w:tc>
          <w:tcPr>
            <w:tcW w:type="dxa" w:w="907"/>
          </w:tcPr>
          <w:p>
            <w:pPr>
              <w:spacing w:after="20" w:line="240" w:lineRule="auto"/>
            </w:pPr>
            <w:r>
              <w:rPr>
                <w:sz w:val="15"/>
              </w:rPr>
              <w:t>Medium</w:t>
            </w:r>
          </w:p>
        </w:tc>
        <w:tc>
          <w:tcPr>
            <w:tcW w:type="dxa" w:w="3175"/>
          </w:tcPr>
          <w:p>
            <w:pPr>
              <w:spacing w:after="20" w:line="240" w:lineRule="auto"/>
            </w:pPr>
            <w:r>
              <w:rPr>
                <w:sz w:val="15"/>
              </w:rPr>
              <w:t>OpenSearch sizing gave starting sizes only, with no storage, shard or node formulas.</w:t>
            </w:r>
          </w:p>
        </w:tc>
        <w:tc>
          <w:tcPr>
            <w:tcW w:type="dxa" w:w="1928"/>
          </w:tcPr>
          <w:p>
            <w:pPr>
              <w:spacing w:after="20" w:line="240" w:lineRule="auto"/>
            </w:pPr>
            <w:r>
              <w:rPr>
                <w:sz w:val="15"/>
              </w:rPr>
              <w:t>R54, R55</w:t>
            </w:r>
          </w:p>
        </w:tc>
        <w:tc>
          <w:tcPr>
            <w:tcW w:type="dxa" w:w="2098"/>
          </w:tcPr>
          <w:p>
            <w:pPr>
              <w:spacing w:after="20" w:line="240" w:lineRule="auto"/>
            </w:pPr>
            <w:r>
              <w:rPr>
                <w:sz w:val="15"/>
              </w:rPr>
              <w:t>Formulas table in Section 7.4; zone awareness; Appendix H; RC-13</w:t>
            </w:r>
          </w:p>
        </w:tc>
      </w:tr>
      <w:tr>
        <w:trPr>
          <w:cantSplit w:val="true"/>
        </w:trPr>
        <w:tc>
          <w:tcPr>
            <w:tcW w:type="dxa" w:w="624"/>
            <w:shd w:val="clear" w:color="auto" w:fill="F2F5FA"/>
          </w:tcPr>
          <w:p>
            <w:pPr>
              <w:spacing w:after="20" w:line="240" w:lineRule="auto"/>
            </w:pPr>
            <w:r>
              <w:rPr>
                <w:sz w:val="15"/>
              </w:rPr>
              <w:t>F-16</w:t>
            </w:r>
          </w:p>
        </w:tc>
        <w:tc>
          <w:tcPr>
            <w:tcW w:type="dxa" w:w="680"/>
            <w:shd w:val="clear" w:color="auto" w:fill="F2F5FA"/>
          </w:tcPr>
          <w:p>
            <w:pPr>
              <w:spacing w:after="20" w:line="240" w:lineRule="auto"/>
            </w:pPr>
            <w:r>
              <w:rPr>
                <w:sz w:val="15"/>
              </w:rPr>
              <w:t>D1, D11</w:t>
            </w:r>
          </w:p>
        </w:tc>
        <w:tc>
          <w:tcPr>
            <w:tcW w:type="dxa" w:w="907"/>
            <w:shd w:val="clear" w:color="auto" w:fill="F2F5FA"/>
          </w:tcPr>
          <w:p>
            <w:pPr>
              <w:spacing w:after="20" w:line="240" w:lineRule="auto"/>
            </w:pPr>
            <w:r>
              <w:rPr>
                <w:sz w:val="15"/>
              </w:rPr>
              <w:t>Medium</w:t>
            </w:r>
          </w:p>
        </w:tc>
        <w:tc>
          <w:tcPr>
            <w:tcW w:type="dxa" w:w="3175"/>
            <w:shd w:val="clear" w:color="auto" w:fill="F2F5FA"/>
          </w:tcPr>
          <w:p>
            <w:pPr>
              <w:spacing w:after="20" w:line="240" w:lineRule="auto"/>
            </w:pPr>
            <w:r>
              <w:rPr>
                <w:sz w:val="15"/>
              </w:rPr>
              <w:t>No JVM guidance: no GC logging, no metaspace cap, no time zone setting for a database cloned from a non-UTC 8.8 system.</w:t>
            </w:r>
          </w:p>
        </w:tc>
        <w:tc>
          <w:tcPr>
            <w:tcW w:type="dxa" w:w="1928"/>
            <w:shd w:val="clear" w:color="auto" w:fill="F2F5FA"/>
          </w:tcPr>
          <w:p>
            <w:pPr>
              <w:spacing w:after="20" w:line="240" w:lineRule="auto"/>
            </w:pPr>
            <w:r>
              <w:rPr>
                <w:sz w:val="15"/>
              </w:rPr>
              <w:t>R23, R63</w:t>
            </w:r>
          </w:p>
        </w:tc>
        <w:tc>
          <w:tcPr>
            <w:tcW w:type="dxa" w:w="2098"/>
            <w:shd w:val="clear" w:color="auto" w:fill="F2F5FA"/>
          </w:tcPr>
          <w:p>
            <w:pPr>
              <w:spacing w:after="20" w:line="240" w:lineRule="auto"/>
            </w:pPr>
            <w:r>
              <w:rPr>
                <w:sz w:val="15"/>
              </w:rPr>
              <w:t xml:space="preserve">Section 10.2 subsection; </w:t>
            </w:r>
            <w:r>
              <w:rPr>
                <w:rFonts w:ascii="Consolas" w:hAnsi="Consolas"/>
                <w:color w:val="1F3864"/>
                <w:sz w:val="15"/>
              </w:rPr>
              <w:t>javaOpts</w:t>
            </w:r>
            <w:r>
              <w:rPr>
                <w:sz w:val="15"/>
              </w:rPr>
              <w:t xml:space="preserve"> in values (rendered); known issues</w:t>
            </w:r>
          </w:p>
        </w:tc>
      </w:tr>
      <w:tr>
        <w:trPr>
          <w:cantSplit w:val="true"/>
        </w:trPr>
        <w:tc>
          <w:tcPr>
            <w:tcW w:type="dxa" w:w="624"/>
          </w:tcPr>
          <w:p>
            <w:pPr>
              <w:spacing w:after="20" w:line="240" w:lineRule="auto"/>
            </w:pPr>
            <w:r>
              <w:rPr>
                <w:sz w:val="15"/>
              </w:rPr>
              <w:t>F-17</w:t>
            </w:r>
          </w:p>
        </w:tc>
        <w:tc>
          <w:tcPr>
            <w:tcW w:type="dxa" w:w="680"/>
          </w:tcPr>
          <w:p>
            <w:pPr>
              <w:spacing w:after="20" w:line="240" w:lineRule="auto"/>
            </w:pPr>
            <w:r>
              <w:rPr>
                <w:sz w:val="15"/>
              </w:rPr>
              <w:t>D1, D11</w:t>
            </w:r>
          </w:p>
        </w:tc>
        <w:tc>
          <w:tcPr>
            <w:tcW w:type="dxa" w:w="907"/>
          </w:tcPr>
          <w:p>
            <w:pPr>
              <w:spacing w:after="20" w:line="240" w:lineRule="auto"/>
            </w:pPr>
            <w:r>
              <w:rPr>
                <w:sz w:val="15"/>
              </w:rPr>
              <w:t>Medium</w:t>
            </w:r>
          </w:p>
        </w:tc>
        <w:tc>
          <w:tcPr>
            <w:tcW w:type="dxa" w:w="3175"/>
          </w:tcPr>
          <w:p>
            <w:pPr>
              <w:spacing w:after="20" w:line="240" w:lineRule="auto"/>
            </w:pPr>
            <w:r>
              <w:rPr>
                <w:sz w:val="15"/>
              </w:rPr>
              <w:t>A clone carries production's Pega Diagnostic Center setting, so non-production alerts would reach the production PDC system.</w:t>
            </w:r>
          </w:p>
        </w:tc>
        <w:tc>
          <w:tcPr>
            <w:tcW w:type="dxa" w:w="1928"/>
          </w:tcPr>
          <w:p>
            <w:pPr>
              <w:spacing w:after="20" w:line="240" w:lineRule="auto"/>
            </w:pPr>
            <w:r>
              <w:rPr>
                <w:sz w:val="15"/>
              </w:rPr>
              <w:t>R51</w:t>
            </w:r>
          </w:p>
        </w:tc>
        <w:tc>
          <w:tcPr>
            <w:tcW w:type="dxa" w:w="2098"/>
          </w:tcPr>
          <w:p>
            <w:pPr>
              <w:spacing w:after="20" w:line="240" w:lineRule="auto"/>
            </w:pPr>
            <w:r>
              <w:rPr>
                <w:sz w:val="15"/>
              </w:rPr>
              <w:t>CD-16; Section 19.3</w:t>
            </w:r>
          </w:p>
        </w:tc>
      </w:tr>
      <w:tr>
        <w:trPr>
          <w:cantSplit w:val="true"/>
        </w:trPr>
        <w:tc>
          <w:tcPr>
            <w:tcW w:type="dxa" w:w="624"/>
            <w:shd w:val="clear" w:color="auto" w:fill="F2F5FA"/>
          </w:tcPr>
          <w:p>
            <w:pPr>
              <w:spacing w:after="20" w:line="240" w:lineRule="auto"/>
            </w:pPr>
            <w:r>
              <w:rPr>
                <w:sz w:val="15"/>
              </w:rPr>
              <w:t>F-18</w:t>
            </w:r>
          </w:p>
        </w:tc>
        <w:tc>
          <w:tcPr>
            <w:tcW w:type="dxa" w:w="680"/>
            <w:shd w:val="clear" w:color="auto" w:fill="F2F5FA"/>
          </w:tcPr>
          <w:p>
            <w:pPr>
              <w:spacing w:after="20" w:line="240" w:lineRule="auto"/>
            </w:pPr>
            <w:r>
              <w:rPr>
                <w:sz w:val="15"/>
              </w:rPr>
              <w:t>D9</w:t>
            </w:r>
          </w:p>
        </w:tc>
        <w:tc>
          <w:tcPr>
            <w:tcW w:type="dxa" w:w="907"/>
            <w:shd w:val="clear" w:color="auto" w:fill="F2F5FA"/>
          </w:tcPr>
          <w:p>
            <w:pPr>
              <w:spacing w:after="20" w:line="240" w:lineRule="auto"/>
            </w:pPr>
            <w:r>
              <w:rPr>
                <w:sz w:val="15"/>
              </w:rPr>
              <w:t>High</w:t>
            </w:r>
          </w:p>
        </w:tc>
        <w:tc>
          <w:tcPr>
            <w:tcW w:type="dxa" w:w="3175"/>
            <w:shd w:val="clear" w:color="auto" w:fill="F2F5FA"/>
          </w:tcPr>
          <w:p>
            <w:pPr>
              <w:spacing w:after="20" w:line="240" w:lineRule="auto"/>
            </w:pPr>
            <w:r>
              <w:rPr>
                <w:sz w:val="15"/>
              </w:rPr>
              <w:t>Performance testing was four rows in a table: no reason why it is needed, workload model, test types, harness, measurement points, entry and exit criteria or pitfalls.</w:t>
            </w:r>
          </w:p>
        </w:tc>
        <w:tc>
          <w:tcPr>
            <w:tcW w:type="dxa" w:w="1928"/>
            <w:shd w:val="clear" w:color="auto" w:fill="F2F5FA"/>
          </w:tcPr>
          <w:p>
            <w:pPr>
              <w:spacing w:after="20" w:line="240" w:lineRule="auto"/>
            </w:pPr>
            <w:r>
              <w:rPr>
                <w:sz w:val="15"/>
              </w:rPr>
              <w:t>v2.0 Section 14.5</w:t>
            </w:r>
          </w:p>
        </w:tc>
        <w:tc>
          <w:tcPr>
            <w:tcW w:type="dxa" w:w="2098"/>
            <w:shd w:val="clear" w:color="auto" w:fill="F2F5FA"/>
          </w:tcPr>
          <w:p>
            <w:pPr>
              <w:spacing w:after="20" w:line="240" w:lineRule="auto"/>
            </w:pPr>
            <w:r>
              <w:rPr>
                <w:sz w:val="15"/>
              </w:rPr>
              <w:t>New Section 16 with harness figure and six measurement points; RK-16</w:t>
            </w:r>
          </w:p>
        </w:tc>
      </w:tr>
      <w:tr>
        <w:trPr>
          <w:cantSplit w:val="true"/>
        </w:trPr>
        <w:tc>
          <w:tcPr>
            <w:tcW w:type="dxa" w:w="624"/>
          </w:tcPr>
          <w:p>
            <w:pPr>
              <w:spacing w:after="20" w:line="240" w:lineRule="auto"/>
            </w:pPr>
            <w:r>
              <w:rPr>
                <w:sz w:val="15"/>
              </w:rPr>
              <w:t>F-19</w:t>
            </w:r>
          </w:p>
        </w:tc>
        <w:tc>
          <w:tcPr>
            <w:tcW w:type="dxa" w:w="680"/>
          </w:tcPr>
          <w:p>
            <w:pPr>
              <w:spacing w:after="20" w:line="240" w:lineRule="auto"/>
            </w:pPr>
            <w:r>
              <w:rPr>
                <w:sz w:val="15"/>
              </w:rPr>
              <w:t>D10</w:t>
            </w:r>
          </w:p>
        </w:tc>
        <w:tc>
          <w:tcPr>
            <w:tcW w:type="dxa" w:w="907"/>
          </w:tcPr>
          <w:p>
            <w:pPr>
              <w:spacing w:after="20" w:line="240" w:lineRule="auto"/>
            </w:pPr>
            <w:r>
              <w:rPr>
                <w:sz w:val="15"/>
              </w:rPr>
              <w:t>High</w:t>
            </w:r>
          </w:p>
        </w:tc>
        <w:tc>
          <w:tcPr>
            <w:tcW w:type="dxa" w:w="3175"/>
          </w:tcPr>
          <w:p>
            <w:pPr>
              <w:spacing w:after="20" w:line="240" w:lineRule="auto"/>
            </w:pPr>
            <w:r>
              <w:rPr>
                <w:sz w:val="15"/>
              </w:rPr>
              <w:t>No sizing method across layers and no calculator.</w:t>
            </w:r>
          </w:p>
        </w:tc>
        <w:tc>
          <w:tcPr>
            <w:tcW w:type="dxa" w:w="1928"/>
          </w:tcPr>
          <w:p>
            <w:pPr>
              <w:spacing w:after="20" w:line="240" w:lineRule="auto"/>
            </w:pPr>
            <w:r>
              <w:rPr>
                <w:sz w:val="15"/>
              </w:rPr>
              <w:t>v2.0</w:t>
            </w:r>
          </w:p>
        </w:tc>
        <w:tc>
          <w:tcPr>
            <w:tcW w:type="dxa" w:w="2098"/>
          </w:tcPr>
          <w:p>
            <w:pPr>
              <w:spacing w:after="20" w:line="240" w:lineRule="auto"/>
            </w:pPr>
            <w:r>
              <w:rPr>
                <w:sz w:val="15"/>
              </w:rPr>
              <w:t>Sections 16.7 to 16.9; Excel calculator with live formulas, checked by recalculation</w:t>
            </w:r>
          </w:p>
        </w:tc>
      </w:tr>
      <w:tr>
        <w:trPr>
          <w:cantSplit w:val="true"/>
        </w:trPr>
        <w:tc>
          <w:tcPr>
            <w:tcW w:type="dxa" w:w="624"/>
            <w:shd w:val="clear" w:color="auto" w:fill="F2F5FA"/>
          </w:tcPr>
          <w:p>
            <w:pPr>
              <w:spacing w:after="20" w:line="240" w:lineRule="auto"/>
            </w:pPr>
            <w:r>
              <w:rPr>
                <w:sz w:val="15"/>
              </w:rPr>
              <w:t>F-20</w:t>
            </w:r>
          </w:p>
        </w:tc>
        <w:tc>
          <w:tcPr>
            <w:tcW w:type="dxa" w:w="680"/>
            <w:shd w:val="clear" w:color="auto" w:fill="F2F5FA"/>
          </w:tcPr>
          <w:p>
            <w:pPr>
              <w:spacing w:after="20" w:line="240" w:lineRule="auto"/>
            </w:pPr>
            <w:r>
              <w:rPr>
                <w:sz w:val="15"/>
              </w:rPr>
              <w:t>D11</w:t>
            </w:r>
          </w:p>
        </w:tc>
        <w:tc>
          <w:tcPr>
            <w:tcW w:type="dxa" w:w="907"/>
            <w:shd w:val="clear" w:color="auto" w:fill="F2F5FA"/>
          </w:tcPr>
          <w:p>
            <w:pPr>
              <w:spacing w:after="20" w:line="240" w:lineRule="auto"/>
            </w:pPr>
            <w:r>
              <w:rPr>
                <w:sz w:val="15"/>
              </w:rPr>
              <w:t>High</w:t>
            </w:r>
          </w:p>
        </w:tc>
        <w:tc>
          <w:tcPr>
            <w:tcW w:type="dxa" w:w="3175"/>
            <w:shd w:val="clear" w:color="auto" w:fill="F2F5FA"/>
          </w:tcPr>
          <w:p>
            <w:pPr>
              <w:spacing w:after="20" w:line="240" w:lineRule="auto"/>
            </w:pPr>
            <w:r>
              <w:rPr>
                <w:sz w:val="15"/>
              </w:rPr>
              <w:t>Monitoring was one table and a small figure. No logging design, no Confluent Metrics API or audit log specifics, no OpenSearch slow logs, no PDC, dashboards, synthetic checks or correlation method.</w:t>
            </w:r>
          </w:p>
        </w:tc>
        <w:tc>
          <w:tcPr>
            <w:tcW w:type="dxa" w:w="1928"/>
            <w:shd w:val="clear" w:color="auto" w:fill="F2F5FA"/>
          </w:tcPr>
          <w:p>
            <w:pPr>
              <w:spacing w:after="20" w:line="240" w:lineRule="auto"/>
            </w:pPr>
            <w:r>
              <w:rPr>
                <w:sz w:val="15"/>
              </w:rPr>
              <w:t>v2.0 Section 17.1</w:t>
            </w:r>
          </w:p>
        </w:tc>
        <w:tc>
          <w:tcPr>
            <w:tcW w:type="dxa" w:w="2098"/>
            <w:shd w:val="clear" w:color="auto" w:fill="F2F5FA"/>
          </w:tcPr>
          <w:p>
            <w:pPr>
              <w:spacing w:after="20" w:line="240" w:lineRule="auto"/>
            </w:pPr>
            <w:r>
              <w:rPr>
                <w:sz w:val="15"/>
              </w:rPr>
              <w:t>New Section 19 with telemetry pipeline figure; alert table extended from 12 to 19 signals</w:t>
            </w:r>
          </w:p>
        </w:tc>
      </w:tr>
      <w:tr>
        <w:trPr>
          <w:cantSplit w:val="true"/>
        </w:trPr>
        <w:tc>
          <w:tcPr>
            <w:tcW w:type="dxa" w:w="624"/>
          </w:tcPr>
          <w:p>
            <w:pPr>
              <w:spacing w:after="20" w:line="240" w:lineRule="auto"/>
            </w:pPr>
            <w:r>
              <w:rPr>
                <w:sz w:val="15"/>
              </w:rPr>
              <w:t>F-21</w:t>
            </w:r>
          </w:p>
        </w:tc>
        <w:tc>
          <w:tcPr>
            <w:tcW w:type="dxa" w:w="680"/>
          </w:tcPr>
          <w:p>
            <w:pPr>
              <w:spacing w:after="20" w:line="240" w:lineRule="auto"/>
            </w:pPr>
            <w:r>
              <w:rPr>
                <w:sz w:val="15"/>
              </w:rPr>
              <w:t>D12</w:t>
            </w:r>
          </w:p>
        </w:tc>
        <w:tc>
          <w:tcPr>
            <w:tcW w:type="dxa" w:w="907"/>
          </w:tcPr>
          <w:p>
            <w:pPr>
              <w:spacing w:after="20" w:line="240" w:lineRule="auto"/>
            </w:pPr>
            <w:r>
              <w:rPr>
                <w:sz w:val="15"/>
              </w:rPr>
              <w:t>Medium</w:t>
            </w:r>
          </w:p>
        </w:tc>
        <w:tc>
          <w:tcPr>
            <w:tcW w:type="dxa" w:w="3175"/>
          </w:tcPr>
          <w:p>
            <w:pPr>
              <w:spacing w:after="20" w:line="240" w:lineRule="auto"/>
            </w:pPr>
            <w:r>
              <w:rPr>
                <w:sz w:val="15"/>
              </w:rPr>
              <w:t>No explicit order for building the six environments and no per-environment configuration checklist.</w:t>
            </w:r>
          </w:p>
        </w:tc>
        <w:tc>
          <w:tcPr>
            <w:tcW w:type="dxa" w:w="1928"/>
          </w:tcPr>
          <w:p>
            <w:pPr>
              <w:spacing w:after="20" w:line="240" w:lineRule="auto"/>
            </w:pPr>
            <w:r>
              <w:rPr>
                <w:sz w:val="15"/>
              </w:rPr>
              <w:t>v2.0 Section 12</w:t>
            </w:r>
          </w:p>
        </w:tc>
        <w:tc>
          <w:tcPr>
            <w:tcW w:type="dxa" w:w="2098"/>
          </w:tcPr>
          <w:p>
            <w:pPr>
              <w:spacing w:after="20" w:line="240" w:lineRule="auto"/>
            </w:pPr>
            <w:r>
              <w:rPr>
                <w:sz w:val="15"/>
              </w:rPr>
              <w:t>Section 13.10 with build waves figure, exit check per wave and a 13-item checklist</w:t>
            </w:r>
          </w:p>
        </w:tc>
      </w:tr>
      <w:tr>
        <w:trPr>
          <w:cantSplit w:val="true"/>
        </w:trPr>
        <w:tc>
          <w:tcPr>
            <w:tcW w:type="dxa" w:w="624"/>
            <w:shd w:val="clear" w:color="auto" w:fill="F2F5FA"/>
          </w:tcPr>
          <w:p>
            <w:pPr>
              <w:spacing w:after="20" w:line="240" w:lineRule="auto"/>
            </w:pPr>
            <w:r>
              <w:rPr>
                <w:sz w:val="15"/>
              </w:rPr>
              <w:t>F-22</w:t>
            </w:r>
          </w:p>
        </w:tc>
        <w:tc>
          <w:tcPr>
            <w:tcW w:type="dxa" w:w="680"/>
            <w:shd w:val="clear" w:color="auto" w:fill="F2F5FA"/>
          </w:tcPr>
          <w:p>
            <w:pPr>
              <w:spacing w:after="20" w:line="240" w:lineRule="auto"/>
            </w:pPr>
            <w:r>
              <w:rPr>
                <w:sz w:val="15"/>
              </w:rPr>
              <w:t>D7</w:t>
            </w:r>
          </w:p>
        </w:tc>
        <w:tc>
          <w:tcPr>
            <w:tcW w:type="dxa" w:w="907"/>
            <w:shd w:val="clear" w:color="auto" w:fill="F2F5FA"/>
          </w:tcPr>
          <w:p>
            <w:pPr>
              <w:spacing w:after="20" w:line="240" w:lineRule="auto"/>
            </w:pPr>
            <w:r>
              <w:rPr>
                <w:sz w:val="15"/>
              </w:rPr>
              <w:t>Low</w:t>
            </w:r>
          </w:p>
        </w:tc>
        <w:tc>
          <w:tcPr>
            <w:tcW w:type="dxa" w:w="3175"/>
            <w:shd w:val="clear" w:color="auto" w:fill="F2F5FA"/>
          </w:tcPr>
          <w:p>
            <w:pPr>
              <w:spacing w:after="20" w:line="240" w:lineRule="auto"/>
            </w:pPr>
            <w:r>
              <w:rPr>
                <w:sz w:val="15"/>
              </w:rPr>
              <w:t>Command S-5 called the SRS HTTPS endpoint without the private CA, so it would fail on TLS before testing the token.</w:t>
            </w:r>
          </w:p>
        </w:tc>
        <w:tc>
          <w:tcPr>
            <w:tcW w:type="dxa" w:w="1928"/>
            <w:shd w:val="clear" w:color="auto" w:fill="F2F5FA"/>
          </w:tcPr>
          <w:p>
            <w:pPr>
              <w:spacing w:after="20" w:line="240" w:lineRule="auto"/>
            </w:pPr>
            <w:r>
              <w:rPr>
                <w:sz w:val="15"/>
              </w:rPr>
              <w:t>Appendix C in v2.0</w:t>
            </w:r>
          </w:p>
        </w:tc>
        <w:tc>
          <w:tcPr>
            <w:tcW w:type="dxa" w:w="2098"/>
            <w:shd w:val="clear" w:color="auto" w:fill="F2F5FA"/>
          </w:tcPr>
          <w:p>
            <w:pPr>
              <w:spacing w:after="20" w:line="240" w:lineRule="auto"/>
            </w:pPr>
            <w:r>
              <w:rPr>
                <w:rFonts w:ascii="Consolas" w:hAnsi="Consolas"/>
                <w:color w:val="1F3864"/>
                <w:sz w:val="15"/>
              </w:rPr>
              <w:t>--cacert</w:t>
            </w:r>
            <w:r>
              <w:rPr>
                <w:sz w:val="15"/>
              </w:rPr>
              <w:t xml:space="preserve"> added; health call added</w:t>
            </w:r>
          </w:p>
        </w:tc>
      </w:tr>
      <w:tr>
        <w:trPr>
          <w:cantSplit w:val="true"/>
        </w:trPr>
        <w:tc>
          <w:tcPr>
            <w:tcW w:type="dxa" w:w="624"/>
          </w:tcPr>
          <w:p>
            <w:pPr>
              <w:spacing w:after="20" w:line="240" w:lineRule="auto"/>
            </w:pPr>
            <w:r>
              <w:rPr>
                <w:sz w:val="15"/>
              </w:rPr>
              <w:t>F-23</w:t>
            </w:r>
          </w:p>
        </w:tc>
        <w:tc>
          <w:tcPr>
            <w:tcW w:type="dxa" w:w="680"/>
          </w:tcPr>
          <w:p>
            <w:pPr>
              <w:spacing w:after="20" w:line="240" w:lineRule="auto"/>
            </w:pPr>
            <w:r>
              <w:rPr>
                <w:sz w:val="15"/>
              </w:rPr>
              <w:t>D13</w:t>
            </w:r>
          </w:p>
        </w:tc>
        <w:tc>
          <w:tcPr>
            <w:tcW w:type="dxa" w:w="907"/>
          </w:tcPr>
          <w:p>
            <w:pPr>
              <w:spacing w:after="20" w:line="240" w:lineRule="auto"/>
            </w:pPr>
            <w:r>
              <w:rPr>
                <w:sz w:val="15"/>
              </w:rPr>
              <w:t>Low</w:t>
            </w:r>
          </w:p>
        </w:tc>
        <w:tc>
          <w:tcPr>
            <w:tcW w:type="dxa" w:w="3175"/>
          </w:tcPr>
          <w:p>
            <w:pPr>
              <w:spacing w:after="20" w:line="240" w:lineRule="auto"/>
            </w:pPr>
            <w:r>
              <w:rPr>
                <w:sz w:val="15"/>
              </w:rPr>
              <w:t>The telemetry figure showed GC logs on stdout, while Pega's recommended setting writes them to a file.</w:t>
            </w:r>
          </w:p>
        </w:tc>
        <w:tc>
          <w:tcPr>
            <w:tcW w:type="dxa" w:w="1928"/>
          </w:tcPr>
          <w:p>
            <w:pPr>
              <w:spacing w:after="20" w:line="240" w:lineRule="auto"/>
            </w:pPr>
            <w:r>
              <w:rPr>
                <w:sz w:val="15"/>
              </w:rPr>
              <w:t>R63</w:t>
            </w:r>
          </w:p>
        </w:tc>
        <w:tc>
          <w:tcPr>
            <w:tcW w:type="dxa" w:w="2098"/>
          </w:tcPr>
          <w:p>
            <w:pPr>
              <w:spacing w:after="20" w:line="240" w:lineRule="auto"/>
            </w:pPr>
            <w:r>
              <w:rPr>
                <w:sz w:val="15"/>
              </w:rPr>
              <w:t>Figure redrawn</w:t>
            </w:r>
          </w:p>
        </w:tc>
      </w:tr>
      <w:tr>
        <w:trPr>
          <w:cantSplit w:val="true"/>
        </w:trPr>
        <w:tc>
          <w:tcPr>
            <w:tcW w:type="dxa" w:w="624"/>
            <w:shd w:val="clear" w:color="auto" w:fill="F2F5FA"/>
          </w:tcPr>
          <w:p>
            <w:pPr>
              <w:spacing w:after="20" w:line="240" w:lineRule="auto"/>
            </w:pPr>
            <w:r>
              <w:rPr>
                <w:sz w:val="15"/>
              </w:rPr>
              <w:t>F-24</w:t>
            </w:r>
          </w:p>
        </w:tc>
        <w:tc>
          <w:tcPr>
            <w:tcW w:type="dxa" w:w="680"/>
            <w:shd w:val="clear" w:color="auto" w:fill="F2F5FA"/>
          </w:tcPr>
          <w:p>
            <w:pPr>
              <w:spacing w:after="20" w:line="240" w:lineRule="auto"/>
            </w:pPr>
            <w:r>
              <w:rPr>
                <w:sz w:val="15"/>
              </w:rPr>
              <w:t>D7</w:t>
            </w:r>
          </w:p>
        </w:tc>
        <w:tc>
          <w:tcPr>
            <w:tcW w:type="dxa" w:w="907"/>
            <w:shd w:val="clear" w:color="auto" w:fill="F2F5FA"/>
          </w:tcPr>
          <w:p>
            <w:pPr>
              <w:spacing w:after="20" w:line="240" w:lineRule="auto"/>
            </w:pPr>
            <w:r>
              <w:rPr>
                <w:sz w:val="15"/>
              </w:rPr>
              <w:t>Medium</w:t>
            </w:r>
          </w:p>
        </w:tc>
        <w:tc>
          <w:tcPr>
            <w:tcW w:type="dxa" w:w="3175"/>
            <w:shd w:val="clear" w:color="auto" w:fill="F2F5FA"/>
          </w:tcPr>
          <w:p>
            <w:pPr>
              <w:spacing w:after="20" w:line="240" w:lineRule="auto"/>
            </w:pPr>
            <w:r>
              <w:rPr>
                <w:sz w:val="15"/>
              </w:rPr>
              <w:t>Known issues did not cover the defects above, or platform issues such as uneven zone spread, out-of-memory kills and time zone drift.</w:t>
            </w:r>
          </w:p>
        </w:tc>
        <w:tc>
          <w:tcPr>
            <w:tcW w:type="dxa" w:w="1928"/>
            <w:shd w:val="clear" w:color="auto" w:fill="F2F5FA"/>
          </w:tcPr>
          <w:p>
            <w:pPr>
              <w:spacing w:after="20" w:line="240" w:lineRule="auto"/>
            </w:pPr>
            <w:r>
              <w:rPr>
                <w:sz w:val="15"/>
              </w:rPr>
              <w:t>v2.0 Section 15</w:t>
            </w:r>
          </w:p>
        </w:tc>
        <w:tc>
          <w:tcPr>
            <w:tcW w:type="dxa" w:w="2098"/>
            <w:shd w:val="clear" w:color="auto" w:fill="F2F5FA"/>
          </w:tcPr>
          <w:p>
            <w:pPr>
              <w:spacing w:after="20" w:line="240" w:lineRule="auto"/>
            </w:pPr>
            <w:r>
              <w:rPr>
                <w:sz w:val="15"/>
              </w:rPr>
              <w:t>14 new known-issue rows, including a new Platform table; 5 new failure scenarios</w:t>
            </w:r>
          </w:p>
        </w:tc>
      </w:tr>
      <w:tr>
        <w:trPr>
          <w:cantSplit w:val="true"/>
        </w:trPr>
        <w:tc>
          <w:tcPr>
            <w:tcW w:type="dxa" w:w="624"/>
          </w:tcPr>
          <w:p>
            <w:pPr>
              <w:spacing w:after="20" w:line="240" w:lineRule="auto"/>
            </w:pPr>
            <w:r>
              <w:rPr>
                <w:sz w:val="15"/>
              </w:rPr>
              <w:t>F-25</w:t>
            </w:r>
          </w:p>
        </w:tc>
        <w:tc>
          <w:tcPr>
            <w:tcW w:type="dxa" w:w="680"/>
          </w:tcPr>
          <w:p>
            <w:pPr>
              <w:spacing w:after="20" w:line="240" w:lineRule="auto"/>
            </w:pPr>
            <w:r>
              <w:rPr>
                <w:sz w:val="15"/>
              </w:rPr>
              <w:t>D15</w:t>
            </w:r>
          </w:p>
        </w:tc>
        <w:tc>
          <w:tcPr>
            <w:tcW w:type="dxa" w:w="907"/>
          </w:tcPr>
          <w:p>
            <w:pPr>
              <w:spacing w:after="20" w:line="240" w:lineRule="auto"/>
            </w:pPr>
            <w:r>
              <w:rPr>
                <w:sz w:val="15"/>
              </w:rPr>
              <w:t>High</w:t>
            </w:r>
          </w:p>
        </w:tc>
        <w:tc>
          <w:tcPr>
            <w:tcW w:type="dxa" w:w="3175"/>
          </w:tcPr>
          <w:p>
            <w:pPr>
              <w:spacing w:after="20" w:line="240" w:lineRule="auto"/>
            </w:pPr>
            <w:r>
              <w:rPr>
                <w:sz w:val="15"/>
              </w:rPr>
              <w:t>No statement of what Pega actually sends to Kafka and OpenSearch. Queue messages carry the producer's operator, access group and application, and either a record key or the whole page; SRS indexes only listed properties unless a DSS widens it.</w:t>
            </w:r>
          </w:p>
        </w:tc>
        <w:tc>
          <w:tcPr>
            <w:tcW w:type="dxa" w:w="1928"/>
          </w:tcPr>
          <w:p>
            <w:pPr>
              <w:spacing w:after="20" w:line="240" w:lineRule="auto"/>
            </w:pPr>
            <w:r>
              <w:rPr>
                <w:sz w:val="15"/>
              </w:rPr>
              <w:t>v2.1; R64, R65, R67, R68</w:t>
            </w:r>
          </w:p>
        </w:tc>
        <w:tc>
          <w:tcPr>
            <w:tcW w:type="dxa" w:w="2098"/>
          </w:tcPr>
          <w:p>
            <w:pPr>
              <w:spacing w:after="20" w:line="240" w:lineRule="auto"/>
            </w:pPr>
            <w:r>
              <w:rPr>
                <w:sz w:val="15"/>
              </w:rPr>
              <w:t>Section 9.1 with data flow figure and a 14-item data inventory</w:t>
            </w:r>
          </w:p>
        </w:tc>
      </w:tr>
      <w:tr>
        <w:trPr>
          <w:cantSplit w:val="true"/>
        </w:trPr>
        <w:tc>
          <w:tcPr>
            <w:tcW w:type="dxa" w:w="624"/>
            <w:shd w:val="clear" w:color="auto" w:fill="F2F5FA"/>
          </w:tcPr>
          <w:p>
            <w:pPr>
              <w:spacing w:after="20" w:line="240" w:lineRule="auto"/>
            </w:pPr>
            <w:r>
              <w:rPr>
                <w:sz w:val="15"/>
              </w:rPr>
              <w:t>F-26</w:t>
            </w:r>
          </w:p>
        </w:tc>
        <w:tc>
          <w:tcPr>
            <w:tcW w:type="dxa" w:w="680"/>
            <w:shd w:val="clear" w:color="auto" w:fill="F2F5FA"/>
          </w:tcPr>
          <w:p>
            <w:pPr>
              <w:spacing w:after="20" w:line="240" w:lineRule="auto"/>
            </w:pPr>
            <w:r>
              <w:rPr>
                <w:sz w:val="15"/>
              </w:rPr>
              <w:t>D15</w:t>
            </w:r>
          </w:p>
        </w:tc>
        <w:tc>
          <w:tcPr>
            <w:tcW w:type="dxa" w:w="907"/>
            <w:shd w:val="clear" w:color="auto" w:fill="F2F5FA"/>
          </w:tcPr>
          <w:p>
            <w:pPr>
              <w:spacing w:after="20" w:line="240" w:lineRule="auto"/>
            </w:pPr>
            <w:r>
              <w:rPr>
                <w:sz w:val="15"/>
              </w:rPr>
              <w:t>High</w:t>
            </w:r>
          </w:p>
        </w:tc>
        <w:tc>
          <w:tcPr>
            <w:tcW w:type="dxa" w:w="3175"/>
            <w:shd w:val="clear" w:color="auto" w:fill="F2F5FA"/>
          </w:tcPr>
          <w:p>
            <w:pPr>
              <w:spacing w:after="20" w:line="240" w:lineRule="auto"/>
            </w:pPr>
            <w:r>
              <w:rPr>
                <w:sz w:val="15"/>
              </w:rPr>
              <w:t>No data class per environment group. NP2 is shared by PERF and PREPROD; an unmasked PREPROD would put production personal data on a shared service reachable by its administrators.</w:t>
            </w:r>
          </w:p>
        </w:tc>
        <w:tc>
          <w:tcPr>
            <w:tcW w:type="dxa" w:w="1928"/>
            <w:shd w:val="clear" w:color="auto" w:fill="F2F5FA"/>
          </w:tcPr>
          <w:p>
            <w:pPr>
              <w:spacing w:after="20" w:line="240" w:lineRule="auto"/>
            </w:pPr>
            <w:r>
              <w:rPr>
                <w:sz w:val="15"/>
              </w:rPr>
              <w:t>v2.1 Sections 5 and 10.5</w:t>
            </w:r>
          </w:p>
        </w:tc>
        <w:tc>
          <w:tcPr>
            <w:tcW w:type="dxa" w:w="2098"/>
            <w:shd w:val="clear" w:color="auto" w:fill="F2F5FA"/>
          </w:tcPr>
          <w:p>
            <w:pPr>
              <w:spacing w:after="20" w:line="240" w:lineRule="auto"/>
            </w:pPr>
            <w:r>
              <w:rPr>
                <w:sz w:val="15"/>
              </w:rPr>
              <w:t>Section 9.2; OD-15 (mask both); RK-18</w:t>
            </w:r>
          </w:p>
        </w:tc>
      </w:tr>
      <w:tr>
        <w:trPr>
          <w:cantSplit w:val="true"/>
        </w:trPr>
        <w:tc>
          <w:tcPr>
            <w:tcW w:type="dxa" w:w="624"/>
          </w:tcPr>
          <w:p>
            <w:pPr>
              <w:spacing w:after="20" w:line="240" w:lineRule="auto"/>
            </w:pPr>
            <w:r>
              <w:rPr>
                <w:sz w:val="15"/>
              </w:rPr>
              <w:t>F-27</w:t>
            </w:r>
          </w:p>
        </w:tc>
        <w:tc>
          <w:tcPr>
            <w:tcW w:type="dxa" w:w="680"/>
          </w:tcPr>
          <w:p>
            <w:pPr>
              <w:spacing w:after="20" w:line="240" w:lineRule="auto"/>
            </w:pPr>
            <w:r>
              <w:rPr>
                <w:sz w:val="15"/>
              </w:rPr>
              <w:t>D15</w:t>
            </w:r>
          </w:p>
        </w:tc>
        <w:tc>
          <w:tcPr>
            <w:tcW w:type="dxa" w:w="907"/>
          </w:tcPr>
          <w:p>
            <w:pPr>
              <w:spacing w:after="20" w:line="240" w:lineRule="auto"/>
            </w:pPr>
            <w:r>
              <w:rPr>
                <w:sz w:val="15"/>
              </w:rPr>
              <w:t>Medium</w:t>
            </w:r>
          </w:p>
        </w:tc>
        <w:tc>
          <w:tcPr>
            <w:tcW w:type="dxa" w:w="3175"/>
          </w:tcPr>
          <w:p>
            <w:pPr>
              <w:spacing w:after="20" w:line="240" w:lineRule="auto"/>
            </w:pPr>
            <w:r>
              <w:rPr>
                <w:sz w:val="15"/>
              </w:rPr>
              <w:t xml:space="preserve">No controls to limit the data copied: the queue snapshot option, the indexed property list, </w:t>
            </w:r>
            <w:r>
              <w:rPr>
                <w:rFonts w:ascii="Consolas" w:hAnsi="Consolas"/>
                <w:color w:val="1F3864"/>
                <w:sz w:val="15"/>
              </w:rPr>
              <w:t>indexer/srs/indexAllFieldsForFTS</w:t>
            </w:r>
            <w:r>
              <w:rPr>
                <w:sz w:val="15"/>
              </w:rPr>
              <w:t xml:space="preserve"> and PropertyEncrypt policies.</w:t>
            </w:r>
          </w:p>
        </w:tc>
        <w:tc>
          <w:tcPr>
            <w:tcW w:type="dxa" w:w="1928"/>
          </w:tcPr>
          <w:p>
            <w:pPr>
              <w:spacing w:after="20" w:line="240" w:lineRule="auto"/>
            </w:pPr>
            <w:r>
              <w:rPr>
                <w:sz w:val="15"/>
              </w:rPr>
              <w:t>R64, R67, R68, R71</w:t>
            </w:r>
          </w:p>
        </w:tc>
        <w:tc>
          <w:tcPr>
            <w:tcW w:type="dxa" w:w="2098"/>
          </w:tcPr>
          <w:p>
            <w:pPr>
              <w:spacing w:after="20" w:line="240" w:lineRule="auto"/>
            </w:pPr>
            <w:r>
              <w:rPr>
                <w:sz w:val="15"/>
              </w:rPr>
              <w:t>Section 9.3; DT-01, DT-03, DT-04; GQ-09</w:t>
            </w:r>
          </w:p>
        </w:tc>
      </w:tr>
      <w:tr>
        <w:trPr>
          <w:cantSplit w:val="true"/>
        </w:trPr>
        <w:tc>
          <w:tcPr>
            <w:tcW w:type="dxa" w:w="624"/>
            <w:shd w:val="clear" w:color="auto" w:fill="F2F5FA"/>
          </w:tcPr>
          <w:p>
            <w:pPr>
              <w:spacing w:after="20" w:line="240" w:lineRule="auto"/>
            </w:pPr>
            <w:r>
              <w:rPr>
                <w:sz w:val="15"/>
              </w:rPr>
              <w:t>F-28</w:t>
            </w:r>
          </w:p>
        </w:tc>
        <w:tc>
          <w:tcPr>
            <w:tcW w:type="dxa" w:w="680"/>
            <w:shd w:val="clear" w:color="auto" w:fill="F2F5FA"/>
          </w:tcPr>
          <w:p>
            <w:pPr>
              <w:spacing w:after="20" w:line="240" w:lineRule="auto"/>
            </w:pPr>
            <w:r>
              <w:rPr>
                <w:sz w:val="15"/>
              </w:rPr>
              <w:t>D15, D6</w:t>
            </w:r>
          </w:p>
        </w:tc>
        <w:tc>
          <w:tcPr>
            <w:tcW w:type="dxa" w:w="907"/>
            <w:shd w:val="clear" w:color="auto" w:fill="F2F5FA"/>
          </w:tcPr>
          <w:p>
            <w:pPr>
              <w:spacing w:after="20" w:line="240" w:lineRule="auto"/>
            </w:pPr>
            <w:r>
              <w:rPr>
                <w:sz w:val="15"/>
              </w:rPr>
              <w:t>High</w:t>
            </w:r>
          </w:p>
        </w:tc>
        <w:tc>
          <w:tcPr>
            <w:tcW w:type="dxa" w:w="3175"/>
            <w:shd w:val="clear" w:color="auto" w:fill="F2F5FA"/>
          </w:tcPr>
          <w:p>
            <w:pPr>
              <w:spacing w:after="20" w:line="240" w:lineRule="auto"/>
            </w:pPr>
            <w:r>
              <w:rPr>
                <w:sz w:val="15"/>
              </w:rPr>
              <w:t>Confluent self-managed keys not considered. The mode is fixed at cluster creation, and on Enterprise the Key Vault must allow public access from all networks, which conflicts with step SI-1.</w:t>
            </w:r>
          </w:p>
        </w:tc>
        <w:tc>
          <w:tcPr>
            <w:tcW w:type="dxa" w:w="1928"/>
            <w:shd w:val="clear" w:color="auto" w:fill="F2F5FA"/>
          </w:tcPr>
          <w:p>
            <w:pPr>
              <w:spacing w:after="20" w:line="240" w:lineRule="auto"/>
            </w:pPr>
            <w:r>
              <w:rPr>
                <w:sz w:val="15"/>
              </w:rPr>
              <w:t>R73, R74</w:t>
            </w:r>
          </w:p>
        </w:tc>
        <w:tc>
          <w:tcPr>
            <w:tcW w:type="dxa" w:w="2098"/>
            <w:shd w:val="clear" w:color="auto" w:fill="F2F5FA"/>
          </w:tcPr>
          <w:p>
            <w:pPr>
              <w:spacing w:after="20" w:line="240" w:lineRule="auto"/>
            </w:pPr>
            <w:r>
              <w:rPr>
                <w:sz w:val="15"/>
              </w:rPr>
              <w:t>Section 9.5; OD-14; DA-3; SI-1 note; known issue</w:t>
            </w:r>
          </w:p>
        </w:tc>
      </w:tr>
      <w:tr>
        <w:trPr>
          <w:cantSplit w:val="true"/>
        </w:trPr>
        <w:tc>
          <w:tcPr>
            <w:tcW w:type="dxa" w:w="624"/>
          </w:tcPr>
          <w:p>
            <w:pPr>
              <w:spacing w:after="20" w:line="240" w:lineRule="auto"/>
            </w:pPr>
            <w:r>
              <w:rPr>
                <w:sz w:val="15"/>
              </w:rPr>
              <w:t>F-29</w:t>
            </w:r>
          </w:p>
        </w:tc>
        <w:tc>
          <w:tcPr>
            <w:tcW w:type="dxa" w:w="680"/>
          </w:tcPr>
          <w:p>
            <w:pPr>
              <w:spacing w:after="20" w:line="240" w:lineRule="auto"/>
            </w:pPr>
            <w:r>
              <w:rPr>
                <w:sz w:val="15"/>
              </w:rPr>
              <w:t>D15, D6</w:t>
            </w:r>
          </w:p>
        </w:tc>
        <w:tc>
          <w:tcPr>
            <w:tcW w:type="dxa" w:w="907"/>
          </w:tcPr>
          <w:p>
            <w:pPr>
              <w:spacing w:after="20" w:line="240" w:lineRule="auto"/>
            </w:pPr>
            <w:r>
              <w:rPr>
                <w:sz w:val="15"/>
              </w:rPr>
              <w:t>High</w:t>
            </w:r>
          </w:p>
        </w:tc>
        <w:tc>
          <w:tcPr>
            <w:tcW w:type="dxa" w:w="3175"/>
          </w:tcPr>
          <w:p>
            <w:pPr>
              <w:spacing w:after="20" w:line="240" w:lineRule="auto"/>
            </w:pPr>
            <w:r>
              <w:rPr>
                <w:sz w:val="15"/>
              </w:rPr>
              <w:t>AKS node storage not covered. Ephemeral OS disks, temp disks and caches are encrypted only with encryption at host, set at node pool creation, and the v2.1 JVM settings write heap dumps there.</w:t>
            </w:r>
          </w:p>
        </w:tc>
        <w:tc>
          <w:tcPr>
            <w:tcW w:type="dxa" w:w="1928"/>
          </w:tcPr>
          <w:p>
            <w:pPr>
              <w:spacing w:after="20" w:line="240" w:lineRule="auto"/>
            </w:pPr>
            <w:r>
              <w:rPr>
                <w:sz w:val="15"/>
              </w:rPr>
              <w:t>R78, R79</w:t>
            </w:r>
          </w:p>
        </w:tc>
        <w:tc>
          <w:tcPr>
            <w:tcW w:type="dxa" w:w="2098"/>
          </w:tcPr>
          <w:p>
            <w:pPr>
              <w:spacing w:after="20" w:line="240" w:lineRule="auto"/>
            </w:pPr>
            <w:r>
              <w:rPr>
                <w:sz w:val="15"/>
              </w:rPr>
              <w:t>Section 9.5; OD-18; DA-2; DP-6; Section 4.6 row</w:t>
            </w:r>
          </w:p>
        </w:tc>
      </w:tr>
      <w:tr>
        <w:trPr>
          <w:cantSplit w:val="true"/>
        </w:trPr>
        <w:tc>
          <w:tcPr>
            <w:tcW w:type="dxa" w:w="624"/>
            <w:shd w:val="clear" w:color="auto" w:fill="F2F5FA"/>
          </w:tcPr>
          <w:p>
            <w:pPr>
              <w:spacing w:after="20" w:line="240" w:lineRule="auto"/>
            </w:pPr>
            <w:r>
              <w:rPr>
                <w:sz w:val="15"/>
              </w:rPr>
              <w:t>F-30</w:t>
            </w:r>
          </w:p>
        </w:tc>
        <w:tc>
          <w:tcPr>
            <w:tcW w:type="dxa" w:w="680"/>
            <w:shd w:val="clear" w:color="auto" w:fill="F2F5FA"/>
          </w:tcPr>
          <w:p>
            <w:pPr>
              <w:spacing w:after="20" w:line="240" w:lineRule="auto"/>
            </w:pPr>
            <w:r>
              <w:rPr>
                <w:sz w:val="15"/>
              </w:rPr>
              <w:t>D15</w:t>
            </w:r>
          </w:p>
        </w:tc>
        <w:tc>
          <w:tcPr>
            <w:tcW w:type="dxa" w:w="907"/>
            <w:shd w:val="clear" w:color="auto" w:fill="F2F5FA"/>
          </w:tcPr>
          <w:p>
            <w:pPr>
              <w:spacing w:after="20" w:line="240" w:lineRule="auto"/>
            </w:pPr>
            <w:r>
              <w:rPr>
                <w:sz w:val="15"/>
              </w:rPr>
              <w:t>High</w:t>
            </w:r>
          </w:p>
        </w:tc>
        <w:tc>
          <w:tcPr>
            <w:tcW w:type="dxa" w:w="3175"/>
            <w:shd w:val="clear" w:color="auto" w:fill="F2F5FA"/>
          </w:tcPr>
          <w:p>
            <w:pPr>
              <w:spacing w:after="20" w:line="240" w:lineRule="auto"/>
            </w:pPr>
            <w:r>
              <w:rPr>
                <w:sz w:val="15"/>
              </w:rPr>
              <w:t>No rules for operational copies: heap dumps hold decrypted values and secrets, broken items hold the payload, slow logs hold search terms, and console consumers copy PROD messages.</w:t>
            </w:r>
          </w:p>
        </w:tc>
        <w:tc>
          <w:tcPr>
            <w:tcW w:type="dxa" w:w="1928"/>
            <w:shd w:val="clear" w:color="auto" w:fill="F2F5FA"/>
          </w:tcPr>
          <w:p>
            <w:pPr>
              <w:spacing w:after="20" w:line="240" w:lineRule="auto"/>
            </w:pPr>
            <w:r>
              <w:rPr>
                <w:sz w:val="15"/>
              </w:rPr>
              <w:t>R58, R64</w:t>
            </w:r>
          </w:p>
        </w:tc>
        <w:tc>
          <w:tcPr>
            <w:tcW w:type="dxa" w:w="2098"/>
            <w:shd w:val="clear" w:color="auto" w:fill="F2F5FA"/>
          </w:tcPr>
          <w:p>
            <w:pPr>
              <w:spacing w:after="20" w:line="240" w:lineRule="auto"/>
            </w:pPr>
            <w:r>
              <w:rPr>
                <w:sz w:val="15"/>
              </w:rPr>
              <w:t>Section 9.6 rules table; DT-09, DT-10; RK-19</w:t>
            </w:r>
          </w:p>
        </w:tc>
      </w:tr>
      <w:tr>
        <w:trPr>
          <w:cantSplit w:val="true"/>
        </w:trPr>
        <w:tc>
          <w:tcPr>
            <w:tcW w:type="dxa" w:w="624"/>
          </w:tcPr>
          <w:p>
            <w:pPr>
              <w:spacing w:after="20" w:line="240" w:lineRule="auto"/>
            </w:pPr>
            <w:r>
              <w:rPr>
                <w:sz w:val="15"/>
              </w:rPr>
              <w:t>F-31</w:t>
            </w:r>
          </w:p>
        </w:tc>
        <w:tc>
          <w:tcPr>
            <w:tcW w:type="dxa" w:w="680"/>
          </w:tcPr>
          <w:p>
            <w:pPr>
              <w:spacing w:after="20" w:line="240" w:lineRule="auto"/>
            </w:pPr>
            <w:r>
              <w:rPr>
                <w:sz w:val="15"/>
              </w:rPr>
              <w:t>D15</w:t>
            </w:r>
          </w:p>
        </w:tc>
        <w:tc>
          <w:tcPr>
            <w:tcW w:type="dxa" w:w="907"/>
          </w:tcPr>
          <w:p>
            <w:pPr>
              <w:spacing w:after="20" w:line="240" w:lineRule="auto"/>
            </w:pPr>
            <w:r>
              <w:rPr>
                <w:sz w:val="15"/>
              </w:rPr>
              <w:t>Medium</w:t>
            </w:r>
          </w:p>
        </w:tc>
        <w:tc>
          <w:tcPr>
            <w:tcW w:type="dxa" w:w="3175"/>
          </w:tcPr>
          <w:p>
            <w:pPr>
              <w:spacing w:after="20" w:line="240" w:lineRule="auto"/>
            </w:pPr>
            <w:r>
              <w:rPr>
                <w:sz w:val="15"/>
              </w:rPr>
              <w:t>Retention and erasure missing. Confluent keeps messages 7 days by default and cannot delete a single record; Pega's removal of index documents on purge is not documented; snapshots keep erased data.</w:t>
            </w:r>
          </w:p>
        </w:tc>
        <w:tc>
          <w:tcPr>
            <w:tcW w:type="dxa" w:w="1928"/>
          </w:tcPr>
          <w:p>
            <w:pPr>
              <w:spacing w:after="20" w:line="240" w:lineRule="auto"/>
            </w:pPr>
            <w:r>
              <w:rPr>
                <w:sz w:val="15"/>
              </w:rPr>
              <w:t>R33; Pega pages silent</w:t>
            </w:r>
          </w:p>
        </w:tc>
        <w:tc>
          <w:tcPr>
            <w:tcW w:type="dxa" w:w="2098"/>
          </w:tcPr>
          <w:p>
            <w:pPr>
              <w:spacing w:after="20" w:line="240" w:lineRule="auto"/>
            </w:pPr>
            <w:r>
              <w:rPr>
                <w:sz w:val="15"/>
              </w:rPr>
              <w:t>Section 9.7; OD-16, OD-17; GQ-11; DT-05, DT-06</w:t>
            </w:r>
          </w:p>
        </w:tc>
      </w:tr>
      <w:tr>
        <w:trPr>
          <w:cantSplit w:val="true"/>
        </w:trPr>
        <w:tc>
          <w:tcPr>
            <w:tcW w:type="dxa" w:w="624"/>
            <w:shd w:val="clear" w:color="auto" w:fill="F2F5FA"/>
          </w:tcPr>
          <w:p>
            <w:pPr>
              <w:spacing w:after="20" w:line="240" w:lineRule="auto"/>
            </w:pPr>
            <w:r>
              <w:rPr>
                <w:sz w:val="15"/>
              </w:rPr>
              <w:t>F-32</w:t>
            </w:r>
          </w:p>
        </w:tc>
        <w:tc>
          <w:tcPr>
            <w:tcW w:type="dxa" w:w="680"/>
            <w:shd w:val="clear" w:color="auto" w:fill="F2F5FA"/>
          </w:tcPr>
          <w:p>
            <w:pPr>
              <w:spacing w:after="20" w:line="240" w:lineRule="auto"/>
            </w:pPr>
            <w:r>
              <w:rPr>
                <w:sz w:val="15"/>
              </w:rPr>
              <w:t>D7, D15</w:t>
            </w:r>
          </w:p>
        </w:tc>
        <w:tc>
          <w:tcPr>
            <w:tcW w:type="dxa" w:w="907"/>
            <w:shd w:val="clear" w:color="auto" w:fill="F2F5FA"/>
          </w:tcPr>
          <w:p>
            <w:pPr>
              <w:spacing w:after="20" w:line="240" w:lineRule="auto"/>
            </w:pPr>
            <w:r>
              <w:rPr>
                <w:sz w:val="15"/>
              </w:rPr>
              <w:t>Medium</w:t>
            </w:r>
          </w:p>
        </w:tc>
        <w:tc>
          <w:tcPr>
            <w:tcW w:type="dxa" w:w="3175"/>
            <w:shd w:val="clear" w:color="auto" w:fill="F2F5FA"/>
          </w:tcPr>
          <w:p>
            <w:pPr>
              <w:spacing w:after="20" w:line="240" w:lineRule="auto"/>
            </w:pPr>
            <w:r>
              <w:rPr>
                <w:sz w:val="15"/>
              </w:rPr>
              <w:t xml:space="preserve">Data behaviour under failure not described: database fallback when Kafka is down, broken queue, repeat delivery, 100-item bulk failure, fields skipped by </w:t>
            </w:r>
            <w:r>
              <w:rPr>
                <w:rFonts w:ascii="Consolas" w:hAnsi="Consolas"/>
                <w:color w:val="1F3864"/>
                <w:sz w:val="15"/>
              </w:rPr>
              <w:t>failOnUnrecognisedValue</w:t>
            </w:r>
            <w:r>
              <w:rPr>
                <w:sz w:val="15"/>
              </w:rPr>
              <w:t>, and loss when lag exceeds retention.</w:t>
            </w:r>
          </w:p>
        </w:tc>
        <w:tc>
          <w:tcPr>
            <w:tcW w:type="dxa" w:w="1928"/>
            <w:shd w:val="clear" w:color="auto" w:fill="F2F5FA"/>
          </w:tcPr>
          <w:p>
            <w:pPr>
              <w:spacing w:after="20" w:line="240" w:lineRule="auto"/>
            </w:pPr>
            <w:r>
              <w:rPr>
                <w:sz w:val="15"/>
              </w:rPr>
              <w:t>R33, R64, R66, R69, R70</w:t>
            </w:r>
          </w:p>
        </w:tc>
        <w:tc>
          <w:tcPr>
            <w:tcW w:type="dxa" w:w="2098"/>
            <w:shd w:val="clear" w:color="auto" w:fill="F2F5FA"/>
          </w:tcPr>
          <w:p>
            <w:pPr>
              <w:spacing w:after="20" w:line="240" w:lineRule="auto"/>
            </w:pPr>
            <w:r>
              <w:rPr>
                <w:sz w:val="15"/>
              </w:rPr>
              <w:t>Section 9.8 with figure and DF-01 to DF-11; three new alerts; RK-21</w:t>
            </w:r>
          </w:p>
        </w:tc>
      </w:tr>
      <w:tr>
        <w:trPr>
          <w:cantSplit w:val="true"/>
        </w:trPr>
        <w:tc>
          <w:tcPr>
            <w:tcW w:type="dxa" w:w="624"/>
          </w:tcPr>
          <w:p>
            <w:pPr>
              <w:spacing w:after="20" w:line="240" w:lineRule="auto"/>
            </w:pPr>
            <w:r>
              <w:rPr>
                <w:sz w:val="15"/>
              </w:rPr>
              <w:t>F-33</w:t>
            </w:r>
          </w:p>
        </w:tc>
        <w:tc>
          <w:tcPr>
            <w:tcW w:type="dxa" w:w="680"/>
          </w:tcPr>
          <w:p>
            <w:pPr>
              <w:spacing w:after="20" w:line="240" w:lineRule="auto"/>
            </w:pPr>
            <w:r>
              <w:rPr>
                <w:sz w:val="15"/>
              </w:rPr>
              <w:t>D3, D15</w:t>
            </w:r>
          </w:p>
        </w:tc>
        <w:tc>
          <w:tcPr>
            <w:tcW w:type="dxa" w:w="907"/>
          </w:tcPr>
          <w:p>
            <w:pPr>
              <w:spacing w:after="20" w:line="240" w:lineRule="auto"/>
            </w:pPr>
            <w:r>
              <w:rPr>
                <w:sz w:val="15"/>
              </w:rPr>
              <w:t>Medium</w:t>
            </w:r>
          </w:p>
        </w:tc>
        <w:tc>
          <w:tcPr>
            <w:tcW w:type="dxa" w:w="3175"/>
          </w:tcPr>
          <w:p>
            <w:pPr>
              <w:spacing w:after="20" w:line="240" w:lineRule="auto"/>
            </w:pPr>
            <w:r>
              <w:rPr>
                <w:sz w:val="15"/>
              </w:rPr>
              <w:t>Provider criteria lacked encryption at rest, HTTPS-only REST, node-to-node TLS and audit logging. OpenSearch allows plain HTTP on the REST layer.</w:t>
            </w:r>
          </w:p>
        </w:tc>
        <w:tc>
          <w:tcPr>
            <w:tcW w:type="dxa" w:w="1928"/>
          </w:tcPr>
          <w:p>
            <w:pPr>
              <w:spacing w:after="20" w:line="240" w:lineRule="auto"/>
            </w:pPr>
            <w:r>
              <w:rPr>
                <w:sz w:val="15"/>
              </w:rPr>
              <w:t>R76, R77</w:t>
            </w:r>
          </w:p>
        </w:tc>
        <w:tc>
          <w:tcPr>
            <w:tcW w:type="dxa" w:w="2098"/>
          </w:tcPr>
          <w:p>
            <w:pPr>
              <w:spacing w:after="20" w:line="240" w:lineRule="auto"/>
            </w:pPr>
            <w:r>
              <w:rPr>
                <w:sz w:val="15"/>
              </w:rPr>
              <w:t>Three rows added to the provider worksheet (Section 7.3); AS-12</w:t>
            </w:r>
          </w:p>
        </w:tc>
      </w:tr>
      <w:tr>
        <w:trPr>
          <w:cantSplit w:val="true"/>
        </w:trPr>
        <w:tc>
          <w:tcPr>
            <w:tcW w:type="dxa" w:w="624"/>
            <w:shd w:val="clear" w:color="auto" w:fill="F2F5FA"/>
          </w:tcPr>
          <w:p>
            <w:pPr>
              <w:spacing w:after="20" w:line="240" w:lineRule="auto"/>
            </w:pPr>
            <w:r>
              <w:rPr>
                <w:sz w:val="15"/>
              </w:rPr>
              <w:t>F-34</w:t>
            </w:r>
          </w:p>
        </w:tc>
        <w:tc>
          <w:tcPr>
            <w:tcW w:type="dxa" w:w="680"/>
            <w:shd w:val="clear" w:color="auto" w:fill="F2F5FA"/>
          </w:tcPr>
          <w:p>
            <w:pPr>
              <w:spacing w:after="20" w:line="240" w:lineRule="auto"/>
            </w:pPr>
            <w:r>
              <w:rPr>
                <w:sz w:val="15"/>
              </w:rPr>
              <w:t>D8, D15</w:t>
            </w:r>
          </w:p>
        </w:tc>
        <w:tc>
          <w:tcPr>
            <w:tcW w:type="dxa" w:w="907"/>
            <w:shd w:val="clear" w:color="auto" w:fill="F2F5FA"/>
          </w:tcPr>
          <w:p>
            <w:pPr>
              <w:spacing w:after="20" w:line="240" w:lineRule="auto"/>
            </w:pPr>
            <w:r>
              <w:rPr>
                <w:sz w:val="15"/>
              </w:rPr>
              <w:t>Medium</w:t>
            </w:r>
          </w:p>
        </w:tc>
        <w:tc>
          <w:tcPr>
            <w:tcW w:type="dxa" w:w="3175"/>
            <w:shd w:val="clear" w:color="auto" w:fill="F2F5FA"/>
          </w:tcPr>
          <w:p>
            <w:pPr>
              <w:spacing w:after="20" w:line="240" w:lineRule="auto"/>
            </w:pPr>
            <w:r>
              <w:rPr>
                <w:sz w:val="15"/>
              </w:rPr>
              <w:t>No data tests and no data evidence in the acceptance criteria.</w:t>
            </w:r>
          </w:p>
        </w:tc>
        <w:tc>
          <w:tcPr>
            <w:tcW w:type="dxa" w:w="1928"/>
            <w:shd w:val="clear" w:color="auto" w:fill="F2F5FA"/>
          </w:tcPr>
          <w:p>
            <w:pPr>
              <w:spacing w:after="20" w:line="240" w:lineRule="auto"/>
            </w:pPr>
            <w:r>
              <w:rPr>
                <w:sz w:val="15"/>
              </w:rPr>
              <w:t>v2.1 Section 14</w:t>
            </w:r>
          </w:p>
        </w:tc>
        <w:tc>
          <w:tcPr>
            <w:tcW w:type="dxa" w:w="2098"/>
            <w:shd w:val="clear" w:color="auto" w:fill="F2F5FA"/>
          </w:tcPr>
          <w:p>
            <w:pPr>
              <w:spacing w:after="20" w:line="240" w:lineRule="auto"/>
            </w:pPr>
            <w:r>
              <w:rPr>
                <w:sz w:val="15"/>
              </w:rPr>
              <w:t>DT-01 to DT-12 with commands DP-1 to DP-6; AC-7; evidence item E-11; DA steps</w:t>
            </w:r>
          </w:p>
        </w:tc>
      </w:tr>
      <w:tr>
        <w:trPr>
          <w:cantSplit w:val="true"/>
        </w:trPr>
        <w:tc>
          <w:tcPr>
            <w:tcW w:type="dxa" w:w="624"/>
          </w:tcPr>
          <w:p>
            <w:pPr>
              <w:spacing w:after="20" w:line="240" w:lineRule="auto"/>
            </w:pPr>
            <w:r>
              <w:rPr>
                <w:sz w:val="15"/>
              </w:rPr>
              <w:t>F-35</w:t>
            </w:r>
          </w:p>
        </w:tc>
        <w:tc>
          <w:tcPr>
            <w:tcW w:type="dxa" w:w="680"/>
          </w:tcPr>
          <w:p>
            <w:pPr>
              <w:spacing w:after="20" w:line="240" w:lineRule="auto"/>
            </w:pPr>
            <w:r>
              <w:rPr>
                <w:sz w:val="15"/>
              </w:rPr>
              <w:t>D2</w:t>
            </w:r>
          </w:p>
        </w:tc>
        <w:tc>
          <w:tcPr>
            <w:tcW w:type="dxa" w:w="907"/>
          </w:tcPr>
          <w:p>
            <w:pPr>
              <w:spacing w:after="20" w:line="240" w:lineRule="auto"/>
            </w:pPr>
            <w:r>
              <w:rPr>
                <w:sz w:val="15"/>
              </w:rPr>
              <w:t>Low</w:t>
            </w:r>
          </w:p>
        </w:tc>
        <w:tc>
          <w:tcPr>
            <w:tcW w:type="dxa" w:w="3175"/>
          </w:tcPr>
          <w:p>
            <w:pPr>
              <w:spacing w:after="20" w:line="240" w:lineRule="auto"/>
            </w:pPr>
            <w:r>
              <w:rPr>
                <w:sz w:val="15"/>
              </w:rPr>
              <w:t>TLS versions on Confluent not stated: TLS 1.3 preferred with TLS 1.2 fallback, and Dedicated clusters created before 30 April 2026 need TLS 1.3 enabled.</w:t>
            </w:r>
          </w:p>
        </w:tc>
        <w:tc>
          <w:tcPr>
            <w:tcW w:type="dxa" w:w="1928"/>
          </w:tcPr>
          <w:p>
            <w:pPr>
              <w:spacing w:after="20" w:line="240" w:lineRule="auto"/>
            </w:pPr>
            <w:r>
              <w:rPr>
                <w:sz w:val="15"/>
              </w:rPr>
              <w:t>R75</w:t>
            </w:r>
          </w:p>
        </w:tc>
        <w:tc>
          <w:tcPr>
            <w:tcW w:type="dxa" w:w="2098"/>
          </w:tcPr>
          <w:p>
            <w:pPr>
              <w:spacing w:after="20" w:line="240" w:lineRule="auto"/>
            </w:pPr>
            <w:r>
              <w:rPr>
                <w:sz w:val="15"/>
              </w:rPr>
              <w:t>Section 9.4</w:t>
            </w:r>
          </w:p>
        </w:tc>
      </w:tr>
      <w:tr>
        <w:trPr>
          <w:cantSplit w:val="true"/>
        </w:trPr>
        <w:tc>
          <w:tcPr>
            <w:tcW w:type="dxa" w:w="624"/>
            <w:shd w:val="clear" w:color="auto" w:fill="F2F5FA"/>
          </w:tcPr>
          <w:p>
            <w:pPr>
              <w:spacing w:after="20" w:line="240" w:lineRule="auto"/>
            </w:pPr>
            <w:r>
              <w:rPr>
                <w:sz w:val="15"/>
              </w:rPr>
              <w:t>F-36</w:t>
            </w:r>
          </w:p>
        </w:tc>
        <w:tc>
          <w:tcPr>
            <w:tcW w:type="dxa" w:w="680"/>
            <w:shd w:val="clear" w:color="auto" w:fill="F2F5FA"/>
          </w:tcPr>
          <w:p>
            <w:pPr>
              <w:spacing w:after="20" w:line="240" w:lineRule="auto"/>
            </w:pPr>
            <w:r>
              <w:rPr>
                <w:sz w:val="15"/>
              </w:rPr>
              <w:t>D2, D13</w:t>
            </w:r>
          </w:p>
        </w:tc>
        <w:tc>
          <w:tcPr>
            <w:tcW w:type="dxa" w:w="907"/>
            <w:shd w:val="clear" w:color="auto" w:fill="F2F5FA"/>
          </w:tcPr>
          <w:p>
            <w:pPr>
              <w:spacing w:after="20" w:line="240" w:lineRule="auto"/>
            </w:pPr>
            <w:r>
              <w:rPr>
                <w:sz w:val="15"/>
              </w:rPr>
              <w:t>Medium</w:t>
            </w:r>
          </w:p>
        </w:tc>
        <w:tc>
          <w:tcPr>
            <w:tcW w:type="dxa" w:w="3175"/>
            <w:shd w:val="clear" w:color="auto" w:fill="F2F5FA"/>
          </w:tcPr>
          <w:p>
            <w:pPr>
              <w:spacing w:after="20" w:line="240" w:lineRule="auto"/>
            </w:pPr>
            <w:r>
              <w:rPr>
                <w:sz w:val="15"/>
              </w:rPr>
              <w:t>The correction for F-08 said Confluent now enforces the limits. The same Confluent page also says the limits are not yet strictly enforced and are not a hard cutoff, and that exceeding them may cause throttling, delayed connections or unpredictable performance. The runbook stated only half of the source.</w:t>
            </w:r>
          </w:p>
        </w:tc>
        <w:tc>
          <w:tcPr>
            <w:tcW w:type="dxa" w:w="1928"/>
            <w:shd w:val="clear" w:color="auto" w:fill="F2F5FA"/>
          </w:tcPr>
          <w:p>
            <w:pPr>
              <w:spacing w:after="20" w:line="240" w:lineRule="auto"/>
            </w:pPr>
            <w:r>
              <w:rPr>
                <w:sz w:val="15"/>
              </w:rPr>
              <w:t>v2.2 Section 6.3 callout and facts table; R31 re-read on 2 October 2026</w:t>
            </w:r>
          </w:p>
        </w:tc>
        <w:tc>
          <w:tcPr>
            <w:tcW w:type="dxa" w:w="2098"/>
            <w:shd w:val="clear" w:color="auto" w:fill="F2F5FA"/>
          </w:tcPr>
          <w:p>
            <w:pPr>
              <w:spacing w:after="20" w:line="240" w:lineRule="auto"/>
            </w:pPr>
            <w:r>
              <w:rPr>
                <w:sz w:val="15"/>
              </w:rPr>
              <w:t>Callout states both statements; plan as if hard; RC-14 added; facts row, failure table and Section 16.1 reworded</w:t>
            </w:r>
          </w:p>
        </w:tc>
      </w:tr>
      <w:tr>
        <w:trPr>
          <w:cantSplit w:val="true"/>
        </w:trPr>
        <w:tc>
          <w:tcPr>
            <w:tcW w:type="dxa" w:w="624"/>
          </w:tcPr>
          <w:p>
            <w:pPr>
              <w:spacing w:after="20" w:line="240" w:lineRule="auto"/>
            </w:pPr>
            <w:r>
              <w:rPr>
                <w:sz w:val="15"/>
              </w:rPr>
              <w:t>F-37</w:t>
            </w:r>
          </w:p>
        </w:tc>
        <w:tc>
          <w:tcPr>
            <w:tcW w:type="dxa" w:w="680"/>
          </w:tcPr>
          <w:p>
            <w:pPr>
              <w:spacing w:after="20" w:line="240" w:lineRule="auto"/>
            </w:pPr>
            <w:r>
              <w:rPr>
                <w:sz w:val="15"/>
              </w:rPr>
              <w:t>D6</w:t>
            </w:r>
          </w:p>
        </w:tc>
        <w:tc>
          <w:tcPr>
            <w:tcW w:type="dxa" w:w="907"/>
          </w:tcPr>
          <w:p>
            <w:pPr>
              <w:spacing w:after="20" w:line="240" w:lineRule="auto"/>
            </w:pPr>
            <w:r>
              <w:rPr>
                <w:sz w:val="15"/>
              </w:rPr>
              <w:t>Medium</w:t>
            </w:r>
          </w:p>
        </w:tc>
        <w:tc>
          <w:tcPr>
            <w:tcW w:type="dxa" w:w="3175"/>
          </w:tcPr>
          <w:p>
            <w:pPr>
              <w:spacing w:after="20" w:line="240" w:lineRule="auto"/>
            </w:pPr>
            <w:r>
              <w:rPr>
                <w:sz w:val="15"/>
              </w:rPr>
              <w:t>Section 4.6 contradicted itself: the text let DEV, SIT and UAT run in fewer zones, the table required three zones for every node pool. Zones cannot be changed after a pool is created, and the zone tests run first in DEV.</w:t>
            </w:r>
          </w:p>
        </w:tc>
        <w:tc>
          <w:tcPr>
            <w:tcW w:type="dxa" w:w="1928"/>
          </w:tcPr>
          <w:p>
            <w:pPr>
              <w:spacing w:after="20" w:line="240" w:lineRule="auto"/>
            </w:pPr>
            <w:r>
              <w:rPr>
                <w:sz w:val="15"/>
              </w:rPr>
              <w:t>v2.2 Section 4.6; R59</w:t>
            </w:r>
          </w:p>
        </w:tc>
        <w:tc>
          <w:tcPr>
            <w:tcW w:type="dxa" w:w="2098"/>
          </w:tcPr>
          <w:p>
            <w:pPr>
              <w:spacing w:after="20" w:line="240" w:lineRule="auto"/>
            </w:pPr>
            <w:r>
              <w:rPr>
                <w:sz w:val="15"/>
              </w:rPr>
              <w:t>One three-zone policy for all environments; zone headroom 1.5 for PERF, PREPROD and PROD and 1.0 for DEV, SIT and UAT; headroom is now a calculator input per pool</w:t>
            </w:r>
          </w:p>
        </w:tc>
      </w:tr>
      <w:tr>
        <w:trPr>
          <w:cantSplit w:val="true"/>
        </w:trPr>
        <w:tc>
          <w:tcPr>
            <w:tcW w:type="dxa" w:w="624"/>
            <w:shd w:val="clear" w:color="auto" w:fill="F2F5FA"/>
          </w:tcPr>
          <w:p>
            <w:pPr>
              <w:spacing w:after="20" w:line="240" w:lineRule="auto"/>
            </w:pPr>
            <w:r>
              <w:rPr>
                <w:sz w:val="15"/>
              </w:rPr>
              <w:t>F-38</w:t>
            </w:r>
          </w:p>
        </w:tc>
        <w:tc>
          <w:tcPr>
            <w:tcW w:type="dxa" w:w="680"/>
            <w:shd w:val="clear" w:color="auto" w:fill="F2F5FA"/>
          </w:tcPr>
          <w:p>
            <w:pPr>
              <w:spacing w:after="20" w:line="240" w:lineRule="auto"/>
            </w:pPr>
            <w:r>
              <w:rPr>
                <w:sz w:val="15"/>
              </w:rPr>
              <w:t>D3, D6</w:t>
            </w:r>
          </w:p>
        </w:tc>
        <w:tc>
          <w:tcPr>
            <w:tcW w:type="dxa" w:w="907"/>
            <w:shd w:val="clear" w:color="auto" w:fill="F2F5FA"/>
          </w:tcPr>
          <w:p>
            <w:pPr>
              <w:spacing w:after="20" w:line="240" w:lineRule="auto"/>
            </w:pPr>
            <w:r>
              <w:rPr>
                <w:sz w:val="15"/>
              </w:rPr>
              <w:t>Medium</w:t>
            </w:r>
          </w:p>
        </w:tc>
        <w:tc>
          <w:tcPr>
            <w:tcW w:type="dxa" w:w="3175"/>
            <w:shd w:val="clear" w:color="auto" w:fill="F2F5FA"/>
          </w:tcPr>
          <w:p>
            <w:pPr>
              <w:spacing w:after="20" w:line="240" w:lineRule="auto"/>
            </w:pPr>
            <w:r>
              <w:rPr>
                <w:sz w:val="15"/>
              </w:rPr>
              <w:t>Section 7.4 relies on provider zone awareness, but the provider worksheet did not require nodes in three zones with shard allocation awareness. A provider could pass without it.</w:t>
            </w:r>
          </w:p>
        </w:tc>
        <w:tc>
          <w:tcPr>
            <w:tcW w:type="dxa" w:w="1928"/>
            <w:shd w:val="clear" w:color="auto" w:fill="F2F5FA"/>
          </w:tcPr>
          <w:p>
            <w:pPr>
              <w:spacing w:after="20" w:line="240" w:lineRule="auto"/>
            </w:pPr>
            <w:r>
              <w:rPr>
                <w:sz w:val="15"/>
              </w:rPr>
              <w:t>v2.2 Section 7.3; R37</w:t>
            </w:r>
          </w:p>
        </w:tc>
        <w:tc>
          <w:tcPr>
            <w:tcW w:type="dxa" w:w="2098"/>
            <w:shd w:val="clear" w:color="auto" w:fill="F2F5FA"/>
          </w:tcPr>
          <w:p>
            <w:pPr>
              <w:spacing w:after="20" w:line="240" w:lineRule="auto"/>
            </w:pPr>
            <w:r>
              <w:rPr>
                <w:sz w:val="15"/>
              </w:rPr>
              <w:t>Mandatory criterion added</w:t>
            </w:r>
          </w:p>
        </w:tc>
      </w:tr>
      <w:tr>
        <w:trPr>
          <w:cantSplit w:val="true"/>
        </w:trPr>
        <w:tc>
          <w:tcPr>
            <w:tcW w:type="dxa" w:w="624"/>
          </w:tcPr>
          <w:p>
            <w:pPr>
              <w:spacing w:after="20" w:line="240" w:lineRule="auto"/>
            </w:pPr>
            <w:r>
              <w:rPr>
                <w:sz w:val="15"/>
              </w:rPr>
              <w:t>F-39</w:t>
            </w:r>
          </w:p>
        </w:tc>
        <w:tc>
          <w:tcPr>
            <w:tcW w:type="dxa" w:w="680"/>
          </w:tcPr>
          <w:p>
            <w:pPr>
              <w:spacing w:after="20" w:line="240" w:lineRule="auto"/>
            </w:pPr>
            <w:r>
              <w:rPr>
                <w:sz w:val="15"/>
              </w:rPr>
              <w:t>D11</w:t>
            </w:r>
          </w:p>
        </w:tc>
        <w:tc>
          <w:tcPr>
            <w:tcW w:type="dxa" w:w="907"/>
          </w:tcPr>
          <w:p>
            <w:pPr>
              <w:spacing w:after="20" w:line="240" w:lineRule="auto"/>
            </w:pPr>
            <w:r>
              <w:rPr>
                <w:sz w:val="15"/>
              </w:rPr>
              <w:t>Medium</w:t>
            </w:r>
          </w:p>
        </w:tc>
        <w:tc>
          <w:tcPr>
            <w:tcW w:type="dxa" w:w="3175"/>
          </w:tcPr>
          <w:p>
            <w:pPr>
              <w:spacing w:after="20" w:line="240" w:lineRule="auto"/>
            </w:pPr>
            <w:r>
              <w:rPr>
                <w:sz w:val="15"/>
              </w:rPr>
              <w:t>Provider log export was only a scored item for metrics, and no route to a SIEM was given. Okta log streaming supports only Amazon EventBridge and Splunk Cloud, so "log streaming to the SIEM" was not possible for most SIEMs.</w:t>
            </w:r>
          </w:p>
        </w:tc>
        <w:tc>
          <w:tcPr>
            <w:tcW w:type="dxa" w:w="1928"/>
          </w:tcPr>
          <w:p>
            <w:pPr>
              <w:spacing w:after="20" w:line="240" w:lineRule="auto"/>
            </w:pPr>
            <w:r>
              <w:rPr>
                <w:sz w:val="15"/>
              </w:rPr>
              <w:t>v2.2 Sections 7.3 and 19.1; R80, R81, R82</w:t>
            </w:r>
          </w:p>
        </w:tc>
        <w:tc>
          <w:tcPr>
            <w:tcW w:type="dxa" w:w="2098"/>
          </w:tcPr>
          <w:p>
            <w:pPr>
              <w:spacing w:after="20" w:line="240" w:lineRule="auto"/>
            </w:pPr>
            <w:r>
              <w:rPr>
                <w:sz w:val="15"/>
              </w:rPr>
              <w:t>Mandatory criterion for metrics and logs; SIEM route table for Azure, Confluent and Okta with a test of each route; scored weights rebalanced</w:t>
            </w:r>
          </w:p>
        </w:tc>
      </w:tr>
      <w:tr>
        <w:trPr>
          <w:cantSplit w:val="true"/>
        </w:trPr>
        <w:tc>
          <w:tcPr>
            <w:tcW w:type="dxa" w:w="624"/>
            <w:shd w:val="clear" w:color="auto" w:fill="F2F5FA"/>
          </w:tcPr>
          <w:p>
            <w:pPr>
              <w:spacing w:after="20" w:line="240" w:lineRule="auto"/>
            </w:pPr>
            <w:r>
              <w:rPr>
                <w:sz w:val="15"/>
              </w:rPr>
              <w:t>F-40</w:t>
            </w:r>
          </w:p>
        </w:tc>
        <w:tc>
          <w:tcPr>
            <w:tcW w:type="dxa" w:w="680"/>
            <w:shd w:val="clear" w:color="auto" w:fill="F2F5FA"/>
          </w:tcPr>
          <w:p>
            <w:pPr>
              <w:spacing w:after="20" w:line="240" w:lineRule="auto"/>
            </w:pPr>
            <w:r>
              <w:rPr>
                <w:sz w:val="15"/>
              </w:rPr>
              <w:t>D8</w:t>
            </w:r>
          </w:p>
        </w:tc>
        <w:tc>
          <w:tcPr>
            <w:tcW w:type="dxa" w:w="907"/>
            <w:shd w:val="clear" w:color="auto" w:fill="F2F5FA"/>
          </w:tcPr>
          <w:p>
            <w:pPr>
              <w:spacing w:after="20" w:line="240" w:lineRule="auto"/>
            </w:pPr>
            <w:r>
              <w:rPr>
                <w:sz w:val="15"/>
              </w:rPr>
              <w:t>Medium</w:t>
            </w:r>
          </w:p>
        </w:tc>
        <w:tc>
          <w:tcPr>
            <w:tcW w:type="dxa" w:w="3175"/>
            <w:shd w:val="clear" w:color="auto" w:fill="F2F5FA"/>
          </w:tcPr>
          <w:p>
            <w:pPr>
              <w:spacing w:after="20" w:line="240" w:lineRule="auto"/>
            </w:pPr>
            <w:r>
              <w:rPr>
                <w:sz w:val="15"/>
              </w:rPr>
              <w:t>Tests whose behaviour no document settles had no record format and no planned response if the result was unfavourable, so a result could stop the programme with no plan.</w:t>
            </w:r>
          </w:p>
        </w:tc>
        <w:tc>
          <w:tcPr>
            <w:tcW w:type="dxa" w:w="1928"/>
            <w:shd w:val="clear" w:color="auto" w:fill="F2F5FA"/>
          </w:tcPr>
          <w:p>
            <w:pPr>
              <w:spacing w:after="20" w:line="240" w:lineRule="auto"/>
            </w:pPr>
            <w:r>
              <w:rPr>
                <w:sz w:val="15"/>
              </w:rPr>
              <w:t>v2.2 Section 15</w:t>
            </w:r>
          </w:p>
        </w:tc>
        <w:tc>
          <w:tcPr>
            <w:tcW w:type="dxa" w:w="2098"/>
            <w:shd w:val="clear" w:color="auto" w:fill="F2F5FA"/>
          </w:tcPr>
          <w:p>
            <w:pPr>
              <w:spacing w:after="20" w:line="240" w:lineRule="auto"/>
            </w:pPr>
            <w:r>
              <w:rPr>
                <w:sz w:val="15"/>
              </w:rPr>
              <w:t>Section 15.9: test result record and a planned response for FS-12, FS-24, FS-33, FS-34, IT-06, DT-04, DT-06 and DT-07</w:t>
            </w:r>
          </w:p>
        </w:tc>
      </w:tr>
      <w:tr>
        <w:trPr>
          <w:cantSplit w:val="true"/>
        </w:trPr>
        <w:tc>
          <w:tcPr>
            <w:tcW w:type="dxa" w:w="624"/>
          </w:tcPr>
          <w:p>
            <w:pPr>
              <w:spacing w:after="20" w:line="240" w:lineRule="auto"/>
            </w:pPr>
            <w:r>
              <w:rPr>
                <w:sz w:val="15"/>
              </w:rPr>
              <w:t>F-41</w:t>
            </w:r>
          </w:p>
        </w:tc>
        <w:tc>
          <w:tcPr>
            <w:tcW w:type="dxa" w:w="680"/>
          </w:tcPr>
          <w:p>
            <w:pPr>
              <w:spacing w:after="20" w:line="240" w:lineRule="auto"/>
            </w:pPr>
            <w:r>
              <w:rPr>
                <w:sz w:val="15"/>
              </w:rPr>
              <w:t>D9</w:t>
            </w:r>
          </w:p>
        </w:tc>
        <w:tc>
          <w:tcPr>
            <w:tcW w:type="dxa" w:w="907"/>
          </w:tcPr>
          <w:p>
            <w:pPr>
              <w:spacing w:after="20" w:line="240" w:lineRule="auto"/>
            </w:pPr>
            <w:r>
              <w:rPr>
                <w:sz w:val="15"/>
              </w:rPr>
              <w:t>Medium</w:t>
            </w:r>
          </w:p>
        </w:tc>
        <w:tc>
          <w:tcPr>
            <w:tcW w:type="dxa" w:w="3175"/>
          </w:tcPr>
          <w:p>
            <w:pPr>
              <w:spacing w:after="20" w:line="240" w:lineRule="auto"/>
            </w:pPr>
            <w:r>
              <w:rPr>
                <w:sz w:val="15"/>
              </w:rPr>
              <w:t>The workload model listed inputs but no procedure: no observation period, no rule for choosing the design peak hour, no targets to agree and no record to approve.</w:t>
            </w:r>
          </w:p>
        </w:tc>
        <w:tc>
          <w:tcPr>
            <w:tcW w:type="dxa" w:w="1928"/>
          </w:tcPr>
          <w:p>
            <w:pPr>
              <w:spacing w:after="20" w:line="240" w:lineRule="auto"/>
            </w:pPr>
            <w:r>
              <w:rPr>
                <w:sz w:val="15"/>
              </w:rPr>
              <w:t>v2.2 Section 16.2</w:t>
            </w:r>
          </w:p>
        </w:tc>
        <w:tc>
          <w:tcPr>
            <w:tcW w:type="dxa" w:w="2098"/>
          </w:tcPr>
          <w:p>
            <w:pPr>
              <w:spacing w:after="20" w:line="240" w:lineRule="auto"/>
            </w:pPr>
            <w:r>
              <w:rPr>
                <w:sz w:val="15"/>
              </w:rPr>
              <w:t>Six-step procedure and a workload model record for the business owner's approval</w:t>
            </w:r>
          </w:p>
        </w:tc>
      </w:tr>
      <w:tr>
        <w:trPr>
          <w:cantSplit w:val="true"/>
        </w:trPr>
        <w:tc>
          <w:tcPr>
            <w:tcW w:type="dxa" w:w="624"/>
            <w:shd w:val="clear" w:color="auto" w:fill="F2F5FA"/>
          </w:tcPr>
          <w:p>
            <w:pPr>
              <w:spacing w:after="20" w:line="240" w:lineRule="auto"/>
            </w:pPr>
            <w:r>
              <w:rPr>
                <w:sz w:val="15"/>
              </w:rPr>
              <w:t>F-42</w:t>
            </w:r>
          </w:p>
        </w:tc>
        <w:tc>
          <w:tcPr>
            <w:tcW w:type="dxa" w:w="680"/>
            <w:shd w:val="clear" w:color="auto" w:fill="F2F5FA"/>
          </w:tcPr>
          <w:p>
            <w:pPr>
              <w:spacing w:after="20" w:line="240" w:lineRule="auto"/>
            </w:pPr>
            <w:r>
              <w:rPr>
                <w:sz w:val="15"/>
              </w:rPr>
              <w:t>D10</w:t>
            </w:r>
          </w:p>
        </w:tc>
        <w:tc>
          <w:tcPr>
            <w:tcW w:type="dxa" w:w="907"/>
            <w:shd w:val="clear" w:color="auto" w:fill="F2F5FA"/>
          </w:tcPr>
          <w:p>
            <w:pPr>
              <w:spacing w:after="20" w:line="240" w:lineRule="auto"/>
            </w:pPr>
            <w:r>
              <w:rPr>
                <w:sz w:val="15"/>
              </w:rPr>
              <w:t>Low</w:t>
            </w:r>
          </w:p>
        </w:tc>
        <w:tc>
          <w:tcPr>
            <w:tcW w:type="dxa" w:w="3175"/>
            <w:shd w:val="clear" w:color="auto" w:fill="F2F5FA"/>
          </w:tcPr>
          <w:p>
            <w:pPr>
              <w:spacing w:after="20" w:line="240" w:lineRule="auto"/>
            </w:pPr>
            <w:r>
              <w:rPr>
                <w:sz w:val="15"/>
              </w:rPr>
              <w:t>The calculator's illustrative inputs were not mapped to the measurement that replaces each one, so the M3 sign-off condition could not be checked.</w:t>
            </w:r>
          </w:p>
        </w:tc>
        <w:tc>
          <w:tcPr>
            <w:tcW w:type="dxa" w:w="1928"/>
            <w:shd w:val="clear" w:color="auto" w:fill="F2F5FA"/>
          </w:tcPr>
          <w:p>
            <w:pPr>
              <w:spacing w:after="20" w:line="240" w:lineRule="auto"/>
            </w:pPr>
            <w:r>
              <w:rPr>
                <w:sz w:val="15"/>
              </w:rPr>
              <w:t>v2.2 Section 16.9 and Appendix H</w:t>
            </w:r>
          </w:p>
        </w:tc>
        <w:tc>
          <w:tcPr>
            <w:tcW w:type="dxa" w:w="2098"/>
            <w:shd w:val="clear" w:color="auto" w:fill="F2F5FA"/>
          </w:tcPr>
          <w:p>
            <w:pPr>
              <w:spacing w:after="20" w:line="240" w:lineRule="auto"/>
            </w:pPr>
            <w:r>
              <w:rPr>
                <w:sz w:val="15"/>
              </w:rPr>
              <w:t>Section 16.9.1 maps every input to a test, a method and an owner</w:t>
            </w:r>
          </w:p>
        </w:tc>
      </w:tr>
      <w:tr>
        <w:trPr>
          <w:cantSplit w:val="true"/>
        </w:trPr>
        <w:tc>
          <w:tcPr>
            <w:tcW w:type="dxa" w:w="624"/>
          </w:tcPr>
          <w:p>
            <w:pPr>
              <w:spacing w:after="20" w:line="240" w:lineRule="auto"/>
            </w:pPr>
            <w:r>
              <w:rPr>
                <w:sz w:val="15"/>
              </w:rPr>
              <w:t>F-43</w:t>
            </w:r>
          </w:p>
        </w:tc>
        <w:tc>
          <w:tcPr>
            <w:tcW w:type="dxa" w:w="680"/>
          </w:tcPr>
          <w:p>
            <w:pPr>
              <w:spacing w:after="20" w:line="240" w:lineRule="auto"/>
            </w:pPr>
            <w:r>
              <w:rPr>
                <w:sz w:val="15"/>
              </w:rPr>
              <w:t>D14</w:t>
            </w:r>
          </w:p>
        </w:tc>
        <w:tc>
          <w:tcPr>
            <w:tcW w:type="dxa" w:w="907"/>
          </w:tcPr>
          <w:p>
            <w:pPr>
              <w:spacing w:after="20" w:line="240" w:lineRule="auto"/>
            </w:pPr>
            <w:r>
              <w:rPr>
                <w:sz w:val="15"/>
              </w:rPr>
              <w:t>Low</w:t>
            </w:r>
          </w:p>
        </w:tc>
        <w:tc>
          <w:tcPr>
            <w:tcW w:type="dxa" w:w="3175"/>
          </w:tcPr>
          <w:p>
            <w:pPr>
              <w:spacing w:after="20" w:line="240" w:lineRule="auto"/>
            </w:pPr>
            <w:r>
              <w:rPr>
                <w:sz w:val="15"/>
              </w:rPr>
              <w:t>Two 36-row tables (chart keys and failure catalogue) spanned several pages; the SRS chart-default row sat between two Pega sizing rows.</w:t>
            </w:r>
          </w:p>
        </w:tc>
        <w:tc>
          <w:tcPr>
            <w:tcW w:type="dxa" w:w="1928"/>
          </w:tcPr>
          <w:p>
            <w:pPr>
              <w:spacing w:after="20" w:line="240" w:lineRule="auto"/>
            </w:pPr>
            <w:r>
              <w:rPr>
                <w:sz w:val="15"/>
              </w:rPr>
              <w:t>v2.2 Sections 10.3 and 15.6; Table in Section 7.4</w:t>
            </w:r>
          </w:p>
        </w:tc>
        <w:tc>
          <w:tcPr>
            <w:tcW w:type="dxa" w:w="2098"/>
          </w:tcPr>
          <w:p>
            <w:pPr>
              <w:spacing w:after="20" w:line="240" w:lineRule="auto"/>
            </w:pPr>
            <w:r>
              <w:rPr>
                <w:sz w:val="15"/>
              </w:rPr>
              <w:t>Chart keys split into platform and Kafka-search tables; failure catalogue split by layer; row moved and its source named</w:t>
            </w:r>
          </w:p>
        </w:tc>
      </w:tr>
      <w:tr>
        <w:trPr>
          <w:cantSplit w:val="true"/>
        </w:trPr>
        <w:tc>
          <w:tcPr>
            <w:tcW w:type="dxa" w:w="624"/>
            <w:shd w:val="clear" w:color="auto" w:fill="F2F5FA"/>
          </w:tcPr>
          <w:p>
            <w:pPr>
              <w:spacing w:after="20" w:line="240" w:lineRule="auto"/>
            </w:pPr>
            <w:r>
              <w:rPr>
                <w:sz w:val="15"/>
              </w:rPr>
              <w:t>F-44</w:t>
            </w:r>
          </w:p>
        </w:tc>
        <w:tc>
          <w:tcPr>
            <w:tcW w:type="dxa" w:w="680"/>
            <w:shd w:val="clear" w:color="auto" w:fill="F2F5FA"/>
          </w:tcPr>
          <w:p>
            <w:pPr>
              <w:spacing w:after="20" w:line="240" w:lineRule="auto"/>
            </w:pPr>
            <w:r>
              <w:rPr>
                <w:sz w:val="15"/>
              </w:rPr>
              <w:t>D5, D15</w:t>
            </w:r>
          </w:p>
        </w:tc>
        <w:tc>
          <w:tcPr>
            <w:tcW w:type="dxa" w:w="907"/>
            <w:shd w:val="clear" w:color="auto" w:fill="F2F5FA"/>
          </w:tcPr>
          <w:p>
            <w:pPr>
              <w:spacing w:after="20" w:line="240" w:lineRule="auto"/>
            </w:pPr>
            <w:r>
              <w:rPr>
                <w:sz w:val="15"/>
              </w:rPr>
              <w:t>Low</w:t>
            </w:r>
          </w:p>
        </w:tc>
        <w:tc>
          <w:tcPr>
            <w:tcW w:type="dxa" w:w="3175"/>
            <w:shd w:val="clear" w:color="auto" w:fill="F2F5FA"/>
          </w:tcPr>
          <w:p>
            <w:pPr>
              <w:spacing w:after="20" w:line="240" w:lineRule="auto"/>
            </w:pPr>
            <w:r>
              <w:rPr>
                <w:sz w:val="15"/>
              </w:rPr>
              <w:t>AC-7 needs the data security officer to accept Section 9, but the approvals table had no such role.</w:t>
            </w:r>
          </w:p>
        </w:tc>
        <w:tc>
          <w:tcPr>
            <w:tcW w:type="dxa" w:w="1928"/>
            <w:shd w:val="clear" w:color="auto" w:fill="F2F5FA"/>
          </w:tcPr>
          <w:p>
            <w:pPr>
              <w:spacing w:after="20" w:line="240" w:lineRule="auto"/>
            </w:pPr>
            <w:r>
              <w:rPr>
                <w:sz w:val="15"/>
              </w:rPr>
              <w:t>v2.2 approvals table</w:t>
            </w:r>
          </w:p>
        </w:tc>
        <w:tc>
          <w:tcPr>
            <w:tcW w:type="dxa" w:w="2098"/>
            <w:shd w:val="clear" w:color="auto" w:fill="F2F5FA"/>
          </w:tcPr>
          <w:p>
            <w:pPr>
              <w:spacing w:after="20" w:line="240" w:lineRule="auto"/>
            </w:pPr>
            <w:r>
              <w:rPr>
                <w:sz w:val="15"/>
              </w:rPr>
              <w:t>Role added to the approvals</w:t>
            </w:r>
          </w:p>
        </w:tc>
      </w:tr>
      <w:tr>
        <w:trPr>
          <w:cantSplit w:val="true"/>
        </w:trPr>
        <w:tc>
          <w:tcPr>
            <w:tcW w:type="dxa" w:w="624"/>
          </w:tcPr>
          <w:p>
            <w:pPr>
              <w:spacing w:after="20" w:line="240" w:lineRule="auto"/>
            </w:pPr>
            <w:r>
              <w:rPr>
                <w:sz w:val="15"/>
              </w:rPr>
              <w:t>F-45</w:t>
            </w:r>
          </w:p>
        </w:tc>
        <w:tc>
          <w:tcPr>
            <w:tcW w:type="dxa" w:w="680"/>
          </w:tcPr>
          <w:p>
            <w:pPr>
              <w:spacing w:after="20" w:line="240" w:lineRule="auto"/>
            </w:pPr>
            <w:r>
              <w:rPr>
                <w:sz w:val="15"/>
              </w:rPr>
              <w:t>D3</w:t>
            </w:r>
          </w:p>
        </w:tc>
        <w:tc>
          <w:tcPr>
            <w:tcW w:type="dxa" w:w="907"/>
          </w:tcPr>
          <w:p>
            <w:pPr>
              <w:spacing w:after="20" w:line="240" w:lineRule="auto"/>
            </w:pPr>
            <w:r>
              <w:rPr>
                <w:sz w:val="15"/>
              </w:rPr>
              <w:t>Low</w:t>
            </w:r>
          </w:p>
        </w:tc>
        <w:tc>
          <w:tcPr>
            <w:tcW w:type="dxa" w:w="3175"/>
          </w:tcPr>
          <w:p>
            <w:pPr>
              <w:spacing w:after="20" w:line="240" w:lineRule="auto"/>
            </w:pPr>
            <w:r>
              <w:rPr>
                <w:sz w:val="15"/>
              </w:rPr>
              <w:t>After the customer-managed key row was added in 2.2, the scored provider weights totalled 110.</w:t>
            </w:r>
          </w:p>
        </w:tc>
        <w:tc>
          <w:tcPr>
            <w:tcW w:type="dxa" w:w="1928"/>
          </w:tcPr>
          <w:p>
            <w:pPr>
              <w:spacing w:after="20" w:line="240" w:lineRule="auto"/>
            </w:pPr>
            <w:r>
              <w:rPr>
                <w:sz w:val="15"/>
              </w:rPr>
              <w:t>v2.2 Section 7.3</w:t>
            </w:r>
          </w:p>
        </w:tc>
        <w:tc>
          <w:tcPr>
            <w:tcW w:type="dxa" w:w="2098"/>
          </w:tcPr>
          <w:p>
            <w:pPr>
              <w:spacing w:after="20" w:line="240" w:lineRule="auto"/>
            </w:pPr>
            <w:r>
              <w:rPr>
                <w:sz w:val="15"/>
              </w:rPr>
              <w:t>Weights total 100; caption states it</w:t>
            </w:r>
          </w:p>
        </w:tc>
      </w:tr>
    </w:tbl>
    <w:p>
      <w:pPr>
        <w:spacing w:after="0" w:before="0" w:line="120" w:lineRule="exact"/>
      </w:pPr>
      <w:r>
        <w:rPr>
          <w:sz w:val="12"/>
        </w:rPr>
      </w:r>
    </w:p>
    <w:p>
      <w:pPr>
        <w:pStyle w:val="Heading2"/>
      </w:pPr>
      <w:r>
        <w:t>4.1  Confirmed as correct</w:t>
      </w:r>
    </w:p>
    <w:p>
      <w:r>
        <w:t>These design points were checked and needed no change.</w:t>
      </w:r>
    </w:p>
    <w:p>
      <w:pPr>
        <w:pStyle w:val="Caption"/>
        <w:keepNext/>
        <w:spacing w:before="80"/>
      </w:pPr>
      <w:r>
        <w:t>Table 4. Design points confirmed</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041"/>
        <w:gridCol w:w="6010"/>
        <w:gridCol w:w="1360"/>
      </w:tblGrid>
      <w:tr>
        <w:trPr>
          <w:tblHeader w:val="true"/>
          <w:cantSplit w:val="true"/>
        </w:trPr>
        <w:tc>
          <w:tcPr>
            <w:tcW w:type="dxa" w:w="2041"/>
            <w:shd w:val="clear" w:color="auto" w:fill="1F3864"/>
          </w:tcPr>
          <w:p>
            <w:pPr>
              <w:spacing w:after="0"/>
            </w:pPr>
            <w:r>
              <w:rPr>
                <w:b/>
                <w:color w:val="FFFFFF"/>
                <w:sz w:val="17"/>
              </w:rPr>
              <w:t>Area</w:t>
            </w:r>
          </w:p>
        </w:tc>
        <w:tc>
          <w:tcPr>
            <w:tcW w:type="dxa" w:w="6009"/>
            <w:shd w:val="clear" w:color="auto" w:fill="1F3864"/>
          </w:tcPr>
          <w:p>
            <w:pPr>
              <w:spacing w:after="0"/>
            </w:pPr>
            <w:r>
              <w:rPr>
                <w:b/>
                <w:color w:val="FFFFFF"/>
                <w:sz w:val="17"/>
              </w:rPr>
              <w:t>Design point</w:t>
            </w:r>
          </w:p>
        </w:tc>
        <w:tc>
          <w:tcPr>
            <w:tcW w:type="dxa" w:w="1361"/>
            <w:shd w:val="clear" w:color="auto" w:fill="1F3864"/>
          </w:tcPr>
          <w:p>
            <w:pPr>
              <w:spacing w:after="0"/>
            </w:pPr>
            <w:r>
              <w:rPr>
                <w:b/>
                <w:color w:val="FFFFFF"/>
                <w:sz w:val="17"/>
              </w:rPr>
              <w:t>Source</w:t>
            </w:r>
          </w:p>
        </w:tc>
      </w:tr>
      <w:tr>
        <w:trPr>
          <w:cantSplit w:val="true"/>
        </w:trPr>
        <w:tc>
          <w:tcPr>
            <w:tcW w:type="dxa" w:w="2041"/>
          </w:tcPr>
          <w:p>
            <w:pPr>
              <w:spacing w:after="20" w:line="240" w:lineRule="auto"/>
            </w:pPr>
            <w:r>
              <w:rPr>
                <w:sz w:val="17"/>
              </w:rPr>
              <w:t>Kafka ACLs</w:t>
            </w:r>
          </w:p>
        </w:tc>
        <w:tc>
          <w:tcPr>
            <w:tcW w:type="dxa" w:w="6009"/>
          </w:tcPr>
          <w:p>
            <w:pPr>
              <w:spacing w:after="20" w:line="240" w:lineRule="auto"/>
            </w:pPr>
            <w:r>
              <w:rPr>
                <w:sz w:val="17"/>
              </w:rPr>
              <w:t xml:space="preserve">TOPIC and GROUP ALL PREFIXED on the environment prefix; TRANSACTIONAL_ID </w:t>
            </w:r>
            <w:r>
              <w:rPr>
                <w:rFonts w:ascii="Consolas" w:hAnsi="Consolas"/>
                <w:color w:val="1F3864"/>
                <w:sz w:val="17"/>
              </w:rPr>
              <w:t>*</w:t>
            </w:r>
            <w:r>
              <w:rPr>
                <w:sz w:val="17"/>
              </w:rPr>
              <w:t>; CLUSTER IDEMPOTENT_WRITE</w:t>
            </w:r>
          </w:p>
        </w:tc>
        <w:tc>
          <w:tcPr>
            <w:tcW w:type="dxa" w:w="1361"/>
          </w:tcPr>
          <w:p>
            <w:pPr>
              <w:spacing w:after="20" w:line="240" w:lineRule="auto"/>
            </w:pPr>
            <w:r>
              <w:rPr>
                <w:sz w:val="17"/>
              </w:rPr>
              <w:t>R11</w:t>
            </w:r>
          </w:p>
        </w:tc>
      </w:tr>
      <w:tr>
        <w:trPr>
          <w:cantSplit w:val="true"/>
        </w:trPr>
        <w:tc>
          <w:tcPr>
            <w:tcW w:type="dxa" w:w="2041"/>
            <w:shd w:val="clear" w:color="auto" w:fill="F2F5FA"/>
          </w:tcPr>
          <w:p>
            <w:pPr>
              <w:spacing w:after="20" w:line="240" w:lineRule="auto"/>
            </w:pPr>
            <w:r>
              <w:rPr>
                <w:sz w:val="17"/>
              </w:rPr>
              <w:t>Kafka settings</w:t>
            </w:r>
          </w:p>
        </w:tc>
        <w:tc>
          <w:tcPr>
            <w:tcW w:type="dxa" w:w="6009"/>
            <w:shd w:val="clear" w:color="auto" w:fill="F2F5FA"/>
          </w:tcPr>
          <w:p>
            <w:pPr>
              <w:spacing w:after="20" w:line="240" w:lineRule="auto"/>
            </w:pPr>
            <w:r>
              <w:rPr>
                <w:sz w:val="17"/>
              </w:rPr>
              <w:t xml:space="preserve">Replication factor 3; topic </w:t>
            </w:r>
            <w:r>
              <w:rPr>
                <w:rFonts w:ascii="Consolas" w:hAnsi="Consolas"/>
                <w:color w:val="1F3864"/>
                <w:sz w:val="17"/>
              </w:rPr>
              <w:t>max.message.bytes</w:t>
            </w:r>
            <w:r>
              <w:rPr>
                <w:sz w:val="17"/>
              </w:rPr>
              <w:t xml:space="preserve"> 5,000,000; broker settings that are not editable on Confluent Cloud logged as RC-03</w:t>
            </w:r>
          </w:p>
        </w:tc>
        <w:tc>
          <w:tcPr>
            <w:tcW w:type="dxa" w:w="1361"/>
            <w:shd w:val="clear" w:color="auto" w:fill="F2F5FA"/>
          </w:tcPr>
          <w:p>
            <w:pPr>
              <w:spacing w:after="20" w:line="240" w:lineRule="auto"/>
            </w:pPr>
            <w:r>
              <w:rPr>
                <w:sz w:val="17"/>
              </w:rPr>
              <w:t>R11, R33, R34</w:t>
            </w:r>
          </w:p>
        </w:tc>
      </w:tr>
      <w:tr>
        <w:trPr>
          <w:cantSplit w:val="true"/>
        </w:trPr>
        <w:tc>
          <w:tcPr>
            <w:tcW w:type="dxa" w:w="2041"/>
          </w:tcPr>
          <w:p>
            <w:pPr>
              <w:spacing w:after="20" w:line="240" w:lineRule="auto"/>
            </w:pPr>
            <w:r>
              <w:rPr>
                <w:sz w:val="17"/>
              </w:rPr>
              <w:t>No stream or index migration from 8.8</w:t>
            </w:r>
          </w:p>
        </w:tc>
        <w:tc>
          <w:tcPr>
            <w:tcW w:type="dxa" w:w="6009"/>
          </w:tcPr>
          <w:p>
            <w:pPr>
              <w:spacing w:after="20" w:line="240" w:lineRule="auto"/>
            </w:pPr>
            <w:r>
              <w:rPr>
                <w:sz w:val="17"/>
              </w:rPr>
              <w:t>Embedded Kafka and Elasticsearch data cannot be moved; indexes are rebuilt through SRS</w:t>
            </w:r>
          </w:p>
        </w:tc>
        <w:tc>
          <w:tcPr>
            <w:tcW w:type="dxa" w:w="1361"/>
          </w:tcPr>
          <w:p>
            <w:pPr>
              <w:spacing w:after="20" w:line="240" w:lineRule="auto"/>
            </w:pPr>
            <w:r>
              <w:rPr>
                <w:sz w:val="17"/>
              </w:rPr>
              <w:t>R13, R15</w:t>
            </w:r>
          </w:p>
        </w:tc>
      </w:tr>
      <w:tr>
        <w:trPr>
          <w:cantSplit w:val="true"/>
        </w:trPr>
        <w:tc>
          <w:tcPr>
            <w:tcW w:type="dxa" w:w="2041"/>
            <w:shd w:val="clear" w:color="auto" w:fill="F2F5FA"/>
          </w:tcPr>
          <w:p>
            <w:pPr>
              <w:spacing w:after="20" w:line="240" w:lineRule="auto"/>
            </w:pPr>
            <w:r>
              <w:rPr>
                <w:sz w:val="17"/>
              </w:rPr>
              <w:t>Run sequence</w:t>
            </w:r>
          </w:p>
        </w:tc>
        <w:tc>
          <w:tcPr>
            <w:tcW w:type="dxa" w:w="6009"/>
            <w:shd w:val="clear" w:color="auto" w:fill="F2F5FA"/>
          </w:tcPr>
          <w:p>
            <w:pPr>
              <w:spacing w:after="20" w:line="240" w:lineRule="auto"/>
            </w:pPr>
            <w:r>
              <w:rPr>
                <w:rFonts w:ascii="Consolas" w:hAnsi="Consolas"/>
                <w:color w:val="1F3864"/>
                <w:sz w:val="17"/>
              </w:rPr>
              <w:t>upgrade</w:t>
            </w:r>
            <w:r>
              <w:rPr>
                <w:sz w:val="17"/>
              </w:rPr>
              <w:t xml:space="preserve"> run, then first start with the batch tier at zero, then deploy; </w:t>
            </w:r>
            <w:r>
              <w:rPr>
                <w:rFonts w:ascii="Consolas" w:hAnsi="Consolas"/>
                <w:color w:val="1F3864"/>
                <w:sz w:val="17"/>
              </w:rPr>
              <w:t>upgrade-deploy</w:t>
            </w:r>
            <w:r>
              <w:rPr>
                <w:sz w:val="17"/>
              </w:rPr>
              <w:t xml:space="preserve"> avoided</w:t>
            </w:r>
          </w:p>
        </w:tc>
        <w:tc>
          <w:tcPr>
            <w:tcW w:type="dxa" w:w="1361"/>
            <w:shd w:val="clear" w:color="auto" w:fill="F2F5FA"/>
          </w:tcPr>
          <w:p>
            <w:pPr>
              <w:spacing w:after="20" w:line="240" w:lineRule="auto"/>
            </w:pPr>
            <w:r>
              <w:rPr>
                <w:sz w:val="17"/>
              </w:rPr>
              <w:t>R23</w:t>
            </w:r>
          </w:p>
        </w:tc>
      </w:tr>
      <w:tr>
        <w:trPr>
          <w:cantSplit w:val="true"/>
        </w:trPr>
        <w:tc>
          <w:tcPr>
            <w:tcW w:type="dxa" w:w="2041"/>
          </w:tcPr>
          <w:p>
            <w:pPr>
              <w:spacing w:after="20" w:line="240" w:lineRule="auto"/>
            </w:pPr>
            <w:r>
              <w:rPr>
                <w:sz w:val="17"/>
              </w:rPr>
              <w:t>Hazelcast</w:t>
            </w:r>
          </w:p>
        </w:tc>
        <w:tc>
          <w:tcPr>
            <w:tcW w:type="dxa" w:w="6009"/>
          </w:tcPr>
          <w:p>
            <w:pPr>
              <w:spacing w:after="20" w:line="240" w:lineRule="auto"/>
            </w:pPr>
            <w:r>
              <w:rPr>
                <w:sz w:val="17"/>
              </w:rPr>
              <w:t>Disabled; removal question raised for an offline-upgraded clone (GQ-03)</w:t>
            </w:r>
          </w:p>
        </w:tc>
        <w:tc>
          <w:tcPr>
            <w:tcW w:type="dxa" w:w="1361"/>
          </w:tcPr>
          <w:p>
            <w:pPr>
              <w:spacing w:after="20" w:line="240" w:lineRule="auto"/>
            </w:pPr>
            <w:r>
              <w:rPr>
                <w:sz w:val="17"/>
              </w:rPr>
              <w:t>R5, R6</w:t>
            </w:r>
          </w:p>
        </w:tc>
      </w:tr>
      <w:tr>
        <w:trPr>
          <w:cantSplit w:val="true"/>
        </w:trPr>
        <w:tc>
          <w:tcPr>
            <w:tcW w:type="dxa" w:w="2041"/>
            <w:shd w:val="clear" w:color="auto" w:fill="F2F5FA"/>
          </w:tcPr>
          <w:p>
            <w:pPr>
              <w:spacing w:after="20" w:line="240" w:lineRule="auto"/>
            </w:pPr>
            <w:r>
              <w:rPr>
                <w:sz w:val="17"/>
              </w:rPr>
              <w:t>customerDeploymentId</w:t>
            </w:r>
          </w:p>
        </w:tc>
        <w:tc>
          <w:tcPr>
            <w:tcW w:type="dxa" w:w="6009"/>
            <w:shd w:val="clear" w:color="auto" w:fill="F2F5FA"/>
          </w:tcPr>
          <w:p>
            <w:pPr>
              <w:spacing w:after="20" w:line="240" w:lineRule="auto"/>
            </w:pPr>
            <w:r>
              <w:rPr>
                <w:sz w:val="17"/>
              </w:rPr>
              <w:t xml:space="preserve">Set explicitly per environment and matched to the Okta </w:t>
            </w:r>
            <w:r>
              <w:rPr>
                <w:rFonts w:ascii="Consolas" w:hAnsi="Consolas"/>
                <w:color w:val="1F3864"/>
                <w:sz w:val="17"/>
              </w:rPr>
              <w:t>guid</w:t>
            </w:r>
            <w:r>
              <w:rPr>
                <w:sz w:val="17"/>
              </w:rPr>
              <w:t xml:space="preserve"> claim</w:t>
            </w:r>
          </w:p>
        </w:tc>
        <w:tc>
          <w:tcPr>
            <w:tcW w:type="dxa" w:w="1361"/>
            <w:shd w:val="clear" w:color="auto" w:fill="F2F5FA"/>
          </w:tcPr>
          <w:p>
            <w:pPr>
              <w:spacing w:after="20" w:line="240" w:lineRule="auto"/>
            </w:pPr>
            <w:r>
              <w:rPr>
                <w:sz w:val="17"/>
              </w:rPr>
              <w:t>R23</w:t>
            </w:r>
          </w:p>
        </w:tc>
      </w:tr>
      <w:tr>
        <w:trPr>
          <w:cantSplit w:val="true"/>
        </w:trPr>
        <w:tc>
          <w:tcPr>
            <w:tcW w:type="dxa" w:w="2041"/>
          </w:tcPr>
          <w:p>
            <w:pPr>
              <w:spacing w:after="20" w:line="240" w:lineRule="auto"/>
            </w:pPr>
            <w:r>
              <w:rPr>
                <w:sz w:val="17"/>
              </w:rPr>
              <w:t>Okta</w:t>
            </w:r>
          </w:p>
        </w:tc>
        <w:tc>
          <w:tcPr>
            <w:tcW w:type="dxa" w:w="6009"/>
          </w:tcPr>
          <w:p>
            <w:pPr>
              <w:spacing w:after="20" w:line="240" w:lineRule="auto"/>
            </w:pPr>
            <w:r>
              <w:rPr>
                <w:sz w:val="17"/>
              </w:rPr>
              <w:t>Custom authorization server needed for the custom scope and claim</w:t>
            </w:r>
          </w:p>
        </w:tc>
        <w:tc>
          <w:tcPr>
            <w:tcW w:type="dxa" w:w="1361"/>
          </w:tcPr>
          <w:p>
            <w:pPr>
              <w:spacing w:after="20" w:line="240" w:lineRule="auto"/>
            </w:pPr>
            <w:r>
              <w:rPr>
                <w:sz w:val="17"/>
              </w:rPr>
              <w:t>R42 to R44</w:t>
            </w:r>
          </w:p>
        </w:tc>
      </w:tr>
      <w:tr>
        <w:trPr>
          <w:cantSplit w:val="true"/>
        </w:trPr>
        <w:tc>
          <w:tcPr>
            <w:tcW w:type="dxa" w:w="2041"/>
            <w:shd w:val="clear" w:color="auto" w:fill="F2F5FA"/>
          </w:tcPr>
          <w:p>
            <w:pPr>
              <w:spacing w:after="20" w:line="240" w:lineRule="auto"/>
            </w:pPr>
            <w:r>
              <w:rPr>
                <w:sz w:val="17"/>
              </w:rPr>
              <w:t>Cluster settings for SRS</w:t>
            </w:r>
          </w:p>
        </w:tc>
        <w:tc>
          <w:tcPr>
            <w:tcW w:type="dxa" w:w="6009"/>
            <w:shd w:val="clear" w:color="auto" w:fill="F2F5FA"/>
          </w:tcPr>
          <w:p>
            <w:pPr>
              <w:spacing w:after="20" w:line="240" w:lineRule="auto"/>
            </w:pPr>
            <w:r>
              <w:rPr>
                <w:sz w:val="17"/>
              </w:rPr>
              <w:t xml:space="preserve">Index auto-creation off; </w:t>
            </w:r>
            <w:r>
              <w:rPr>
                <w:rFonts w:ascii="Consolas" w:hAnsi="Consolas"/>
                <w:color w:val="1F3864"/>
                <w:sz w:val="17"/>
              </w:rPr>
              <w:t>destructive_requires_name</w:t>
            </w:r>
            <w:r>
              <w:rPr>
                <w:sz w:val="17"/>
              </w:rPr>
              <w:t xml:space="preserve"> false</w:t>
            </w:r>
          </w:p>
        </w:tc>
        <w:tc>
          <w:tcPr>
            <w:tcW w:type="dxa" w:w="1361"/>
            <w:shd w:val="clear" w:color="auto" w:fill="F2F5FA"/>
          </w:tcPr>
          <w:p>
            <w:pPr>
              <w:spacing w:after="20" w:line="240" w:lineRule="auto"/>
            </w:pPr>
            <w:r>
              <w:rPr>
                <w:sz w:val="17"/>
              </w:rPr>
              <w:t>R14</w:t>
            </w:r>
          </w:p>
        </w:tc>
      </w:tr>
      <w:tr>
        <w:trPr>
          <w:cantSplit w:val="true"/>
        </w:trPr>
        <w:tc>
          <w:tcPr>
            <w:tcW w:type="dxa" w:w="2041"/>
          </w:tcPr>
          <w:p>
            <w:pPr>
              <w:spacing w:after="20" w:line="240" w:lineRule="auto"/>
            </w:pPr>
            <w:r>
              <w:rPr>
                <w:sz w:val="17"/>
              </w:rPr>
              <w:t>Private Link DNS</w:t>
            </w:r>
          </w:p>
        </w:tc>
        <w:tc>
          <w:tcPr>
            <w:tcW w:type="dxa" w:w="6009"/>
          </w:tcPr>
          <w:p>
            <w:pPr>
              <w:spacing w:after="20" w:line="240" w:lineRule="auto"/>
            </w:pPr>
            <w:r>
              <w:rPr>
                <w:sz w:val="17"/>
              </w:rPr>
              <w:t>Wildcard and zonal records; checks K-1 to K-3</w:t>
            </w:r>
          </w:p>
        </w:tc>
        <w:tc>
          <w:tcPr>
            <w:tcW w:type="dxa" w:w="1361"/>
          </w:tcPr>
          <w:p>
            <w:pPr>
              <w:spacing w:after="20" w:line="240" w:lineRule="auto"/>
            </w:pPr>
            <w:r>
              <w:rPr>
                <w:sz w:val="17"/>
              </w:rPr>
              <w:t>R32</w:t>
            </w:r>
          </w:p>
        </w:tc>
      </w:tr>
      <w:tr>
        <w:trPr>
          <w:cantSplit w:val="true"/>
        </w:trPr>
        <w:tc>
          <w:tcPr>
            <w:tcW w:type="dxa" w:w="2041"/>
            <w:shd w:val="clear" w:color="auto" w:fill="F2F5FA"/>
          </w:tcPr>
          <w:p>
            <w:pPr>
              <w:spacing w:after="20" w:line="240" w:lineRule="auto"/>
            </w:pPr>
            <w:r>
              <w:rPr>
                <w:sz w:val="17"/>
              </w:rPr>
              <w:t>Secrets</w:t>
            </w:r>
          </w:p>
        </w:tc>
        <w:tc>
          <w:tcPr>
            <w:tcW w:type="dxa" w:w="6009"/>
            <w:shd w:val="clear" w:color="auto" w:fill="F2F5FA"/>
          </w:tcPr>
          <w:p>
            <w:pPr>
              <w:spacing w:after="20" w:line="240" w:lineRule="auto"/>
            </w:pPr>
            <w:r>
              <w:rPr>
                <w:sz w:val="17"/>
              </w:rPr>
              <w:t>External secrets only; keys named as the chart requires</w:t>
            </w:r>
          </w:p>
        </w:tc>
        <w:tc>
          <w:tcPr>
            <w:tcW w:type="dxa" w:w="1361"/>
            <w:shd w:val="clear" w:color="auto" w:fill="F2F5FA"/>
          </w:tcPr>
          <w:p>
            <w:pPr>
              <w:spacing w:after="20" w:line="240" w:lineRule="auto"/>
            </w:pPr>
            <w:r>
              <w:rPr>
                <w:sz w:val="17"/>
              </w:rPr>
              <w:t>R23, R48</w:t>
            </w:r>
          </w:p>
        </w:tc>
      </w:tr>
    </w:tbl>
    <w:p>
      <w:pPr>
        <w:spacing w:after="0" w:before="0" w:line="120" w:lineRule="exact"/>
      </w:pPr>
      <w:r>
        <w:rPr>
          <w:sz w:val="12"/>
        </w:rPr>
      </w:r>
    </w:p>
    <w:p>
      <w:pPr>
        <w:pStyle w:val="Heading1"/>
        <w:pageBreakBefore/>
      </w:pPr>
      <w:r>
        <w:t>5  Re-check of earlier findings</w:t>
      </w:r>
    </w:p>
    <w:p>
      <w:r>
        <w:t>A finding is only useful if it is true and applies to this customer's design. Before the third pass, each earlier finding was checked again against its evidence.</w:t>
      </w:r>
    </w:p>
    <w:p>
      <w:pPr>
        <w:pStyle w:val="Caption"/>
        <w:keepNext/>
        <w:spacing w:before="80"/>
      </w:pPr>
      <w:r>
        <w:t>Table 5. Re-check of findings F-01 to F-35</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587"/>
        <w:gridCol w:w="6237"/>
        <w:gridCol w:w="1587"/>
      </w:tblGrid>
      <w:tr>
        <w:trPr>
          <w:tblHeader w:val="true"/>
          <w:cantSplit w:val="true"/>
        </w:trPr>
        <w:tc>
          <w:tcPr>
            <w:tcW w:type="dxa" w:w="1587"/>
            <w:shd w:val="clear" w:color="auto" w:fill="1F3864"/>
          </w:tcPr>
          <w:p>
            <w:pPr>
              <w:spacing w:after="0"/>
            </w:pPr>
            <w:r>
              <w:rPr>
                <w:b/>
                <w:color w:val="FFFFFF"/>
                <w:sz w:val="17"/>
              </w:rPr>
              <w:t>Findings</w:t>
            </w:r>
          </w:p>
        </w:tc>
        <w:tc>
          <w:tcPr>
            <w:tcW w:type="dxa" w:w="6236"/>
            <w:shd w:val="clear" w:color="auto" w:fill="1F3864"/>
          </w:tcPr>
          <w:p>
            <w:pPr>
              <w:spacing w:after="0"/>
            </w:pPr>
            <w:r>
              <w:rPr>
                <w:b/>
                <w:color w:val="FFFFFF"/>
                <w:sz w:val="17"/>
              </w:rPr>
              <w:t>Check made</w:t>
            </w:r>
          </w:p>
        </w:tc>
        <w:tc>
          <w:tcPr>
            <w:tcW w:type="dxa" w:w="1587"/>
            <w:shd w:val="clear" w:color="auto" w:fill="1F3864"/>
          </w:tcPr>
          <w:p>
            <w:pPr>
              <w:spacing w:after="0"/>
            </w:pPr>
            <w:r>
              <w:rPr>
                <w:b/>
                <w:color w:val="FFFFFF"/>
                <w:sz w:val="17"/>
              </w:rPr>
              <w:t>Result</w:t>
            </w:r>
          </w:p>
        </w:tc>
      </w:tr>
      <w:tr>
        <w:trPr>
          <w:cantSplit w:val="true"/>
        </w:trPr>
        <w:tc>
          <w:tcPr>
            <w:tcW w:type="dxa" w:w="1587"/>
          </w:tcPr>
          <w:p>
            <w:pPr>
              <w:spacing w:after="20" w:line="240" w:lineRule="auto"/>
            </w:pPr>
            <w:r>
              <w:rPr>
                <w:sz w:val="17"/>
              </w:rPr>
              <w:t>F-01, F-02, F-03</w:t>
            </w:r>
          </w:p>
        </w:tc>
        <w:tc>
          <w:tcPr>
            <w:tcW w:type="dxa" w:w="6236"/>
          </w:tcPr>
          <w:p>
            <w:pPr>
              <w:spacing w:after="20" w:line="240" w:lineRule="auto"/>
            </w:pPr>
            <w:r>
              <w:rPr>
                <w:sz w:val="17"/>
              </w:rPr>
              <w:t xml:space="preserve">Re-rendered all ten values files with </w:t>
            </w:r>
            <w:r>
              <w:rPr>
                <w:rFonts w:ascii="Consolas" w:hAnsi="Consolas"/>
                <w:color w:val="1F3864"/>
                <w:sz w:val="17"/>
              </w:rPr>
              <w:t>helm template</w:t>
            </w:r>
            <w:r>
              <w:rPr>
                <w:sz w:val="17"/>
              </w:rPr>
              <w:t xml:space="preserve"> against charts 4.13.0. Restoring the v2.0 settings reproduces the error "Only one authentication can be enabled", a container port of 8443 only, and the chart network policy to </w:t>
            </w:r>
            <w:r>
              <w:rPr>
                <w:rFonts w:ascii="Consolas" w:hAnsi="Consolas"/>
                <w:color w:val="1F3864"/>
                <w:sz w:val="17"/>
              </w:rPr>
              <w:t>elasticsearch-master:9200</w:t>
            </w:r>
            <w:r>
              <w:rPr>
                <w:sz w:val="17"/>
              </w:rPr>
              <w:t>.</w:t>
            </w:r>
          </w:p>
        </w:tc>
        <w:tc>
          <w:tcPr>
            <w:tcW w:type="dxa" w:w="1587"/>
          </w:tcPr>
          <w:p>
            <w:pPr>
              <w:spacing w:after="20" w:line="240" w:lineRule="auto"/>
            </w:pPr>
            <w:r>
              <w:rPr>
                <w:sz w:val="17"/>
              </w:rPr>
              <w:t>Upheld</w:t>
            </w:r>
          </w:p>
        </w:tc>
      </w:tr>
      <w:tr>
        <w:trPr>
          <w:cantSplit w:val="true"/>
        </w:trPr>
        <w:tc>
          <w:tcPr>
            <w:tcW w:type="dxa" w:w="1587"/>
            <w:shd w:val="clear" w:color="auto" w:fill="F2F5FA"/>
          </w:tcPr>
          <w:p>
            <w:pPr>
              <w:spacing w:after="20" w:line="240" w:lineRule="auto"/>
            </w:pPr>
            <w:r>
              <w:rPr>
                <w:sz w:val="17"/>
              </w:rPr>
              <w:t>F-05, F-06</w:t>
            </w:r>
          </w:p>
        </w:tc>
        <w:tc>
          <w:tcPr>
            <w:tcW w:type="dxa" w:w="6236"/>
            <w:shd w:val="clear" w:color="auto" w:fill="F2F5FA"/>
          </w:tcPr>
          <w:p>
            <w:pPr>
              <w:spacing w:after="20" w:line="240" w:lineRule="auto"/>
            </w:pPr>
            <w:r>
              <w:rPr>
                <w:sz w:val="17"/>
              </w:rPr>
              <w:t>Re-read the SRS chart README (minimum 2 replicas, 3 as best practice; limit 1300m and 4Gi) and Pega's search sizing tables (SRS 2 CPU, 2 GB; 1 instance for testing, 3 for production).</w:t>
            </w:r>
          </w:p>
        </w:tc>
        <w:tc>
          <w:tcPr>
            <w:tcW w:type="dxa" w:w="1587"/>
            <w:shd w:val="clear" w:color="auto" w:fill="F2F5FA"/>
          </w:tcPr>
          <w:p>
            <w:pPr>
              <w:spacing w:after="20" w:line="240" w:lineRule="auto"/>
            </w:pPr>
            <w:r>
              <w:rPr>
                <w:sz w:val="17"/>
              </w:rPr>
              <w:t>Upheld</w:t>
            </w:r>
          </w:p>
        </w:tc>
      </w:tr>
      <w:tr>
        <w:trPr>
          <w:cantSplit w:val="true"/>
        </w:trPr>
        <w:tc>
          <w:tcPr>
            <w:tcW w:type="dxa" w:w="1587"/>
          </w:tcPr>
          <w:p>
            <w:pPr>
              <w:spacing w:after="20" w:line="240" w:lineRule="auto"/>
            </w:pPr>
            <w:r>
              <w:rPr>
                <w:sz w:val="17"/>
              </w:rPr>
              <w:t>F-08</w:t>
            </w:r>
          </w:p>
        </w:tc>
        <w:tc>
          <w:tcPr>
            <w:tcW w:type="dxa" w:w="6236"/>
          </w:tcPr>
          <w:p>
            <w:pPr>
              <w:spacing w:after="20" w:line="240" w:lineRule="auto"/>
            </w:pPr>
            <w:r>
              <w:rPr>
                <w:sz w:val="17"/>
              </w:rPr>
              <w:t>Re-read Confluent's cluster types page. The numeric limits are correct. The page states both stricter limits from March and June 2026 and that the limits are not yet a hard cutoff.</w:t>
            </w:r>
          </w:p>
        </w:tc>
        <w:tc>
          <w:tcPr>
            <w:tcW w:type="dxa" w:w="1587"/>
          </w:tcPr>
          <w:p>
            <w:pPr>
              <w:spacing w:after="20" w:line="240" w:lineRule="auto"/>
            </w:pPr>
            <w:r>
              <w:rPr>
                <w:sz w:val="17"/>
              </w:rPr>
              <w:t>Partly upheld; see F-36</w:t>
            </w:r>
          </w:p>
        </w:tc>
      </w:tr>
      <w:tr>
        <w:trPr>
          <w:cantSplit w:val="true"/>
        </w:trPr>
        <w:tc>
          <w:tcPr>
            <w:tcW w:type="dxa" w:w="1587"/>
            <w:shd w:val="clear" w:color="auto" w:fill="F2F5FA"/>
          </w:tcPr>
          <w:p>
            <w:pPr>
              <w:spacing w:after="20" w:line="240" w:lineRule="auto"/>
            </w:pPr>
            <w:r>
              <w:rPr>
                <w:sz w:val="17"/>
              </w:rPr>
              <w:t>F-10</w:t>
            </w:r>
          </w:p>
        </w:tc>
        <w:tc>
          <w:tcPr>
            <w:tcW w:type="dxa" w:w="6236"/>
            <w:shd w:val="clear" w:color="auto" w:fill="F2F5FA"/>
          </w:tcPr>
          <w:p>
            <w:pPr>
              <w:spacing w:after="20" w:line="240" w:lineRule="auto"/>
            </w:pPr>
            <w:r>
              <w:rPr>
                <w:sz w:val="17"/>
              </w:rPr>
              <w:t>SLA conditions re-read: 2 eCKU on Enterprise; Dedicated multi-zone with at least 2 CKU, fixed at creation.</w:t>
            </w:r>
          </w:p>
        </w:tc>
        <w:tc>
          <w:tcPr>
            <w:tcW w:type="dxa" w:w="1587"/>
            <w:shd w:val="clear" w:color="auto" w:fill="F2F5FA"/>
          </w:tcPr>
          <w:p>
            <w:pPr>
              <w:spacing w:after="20" w:line="240" w:lineRule="auto"/>
            </w:pPr>
            <w:r>
              <w:rPr>
                <w:sz w:val="17"/>
              </w:rPr>
              <w:t>Upheld</w:t>
            </w:r>
          </w:p>
        </w:tc>
      </w:tr>
      <w:tr>
        <w:trPr>
          <w:cantSplit w:val="true"/>
        </w:trPr>
        <w:tc>
          <w:tcPr>
            <w:tcW w:type="dxa" w:w="1587"/>
          </w:tcPr>
          <w:p>
            <w:pPr>
              <w:spacing w:after="20" w:line="240" w:lineRule="auto"/>
            </w:pPr>
            <w:r>
              <w:rPr>
                <w:sz w:val="17"/>
              </w:rPr>
              <w:t>F-13</w:t>
            </w:r>
          </w:p>
        </w:tc>
        <w:tc>
          <w:tcPr>
            <w:tcW w:type="dxa" w:w="6236"/>
          </w:tcPr>
          <w:p>
            <w:pPr>
              <w:spacing w:after="20" w:line="240" w:lineRule="auto"/>
            </w:pPr>
            <w:r>
              <w:rPr>
                <w:sz w:val="17"/>
              </w:rPr>
              <w:t>Okta key rotation page: "four times a year, but can change without notice"; new keys published a few weeks ahead.</w:t>
            </w:r>
          </w:p>
        </w:tc>
        <w:tc>
          <w:tcPr>
            <w:tcW w:type="dxa" w:w="1587"/>
          </w:tcPr>
          <w:p>
            <w:pPr>
              <w:spacing w:after="20" w:line="240" w:lineRule="auto"/>
            </w:pPr>
            <w:r>
              <w:rPr>
                <w:sz w:val="17"/>
              </w:rPr>
              <w:t>Upheld</w:t>
            </w:r>
          </w:p>
        </w:tc>
      </w:tr>
      <w:tr>
        <w:trPr>
          <w:cantSplit w:val="true"/>
        </w:trPr>
        <w:tc>
          <w:tcPr>
            <w:tcW w:type="dxa" w:w="1587"/>
            <w:shd w:val="clear" w:color="auto" w:fill="F2F5FA"/>
          </w:tcPr>
          <w:p>
            <w:pPr>
              <w:spacing w:after="20" w:line="240" w:lineRule="auto"/>
            </w:pPr>
            <w:r>
              <w:rPr>
                <w:sz w:val="17"/>
              </w:rPr>
              <w:t>F-28</w:t>
            </w:r>
          </w:p>
        </w:tc>
        <w:tc>
          <w:tcPr>
            <w:tcW w:type="dxa" w:w="6236"/>
            <w:shd w:val="clear" w:color="auto" w:fill="F2F5FA"/>
          </w:tcPr>
          <w:p>
            <w:pPr>
              <w:spacing w:after="20" w:line="240" w:lineRule="auto"/>
            </w:pPr>
            <w:r>
              <w:rPr>
                <w:sz w:val="17"/>
              </w:rPr>
              <w:t>Confluent self-managed keys page: fixed at creation; on Enterprise the vault must allow public access from all networks.</w:t>
            </w:r>
          </w:p>
        </w:tc>
        <w:tc>
          <w:tcPr>
            <w:tcW w:type="dxa" w:w="1587"/>
            <w:shd w:val="clear" w:color="auto" w:fill="F2F5FA"/>
          </w:tcPr>
          <w:p>
            <w:pPr>
              <w:spacing w:after="20" w:line="240" w:lineRule="auto"/>
            </w:pPr>
            <w:r>
              <w:rPr>
                <w:sz w:val="17"/>
              </w:rPr>
              <w:t>Upheld</w:t>
            </w:r>
          </w:p>
        </w:tc>
      </w:tr>
      <w:tr>
        <w:trPr>
          <w:cantSplit w:val="true"/>
        </w:trPr>
        <w:tc>
          <w:tcPr>
            <w:tcW w:type="dxa" w:w="1587"/>
          </w:tcPr>
          <w:p>
            <w:pPr>
              <w:spacing w:after="20" w:line="240" w:lineRule="auto"/>
            </w:pPr>
            <w:r>
              <w:rPr>
                <w:sz w:val="17"/>
              </w:rPr>
              <w:t>F-29</w:t>
            </w:r>
          </w:p>
        </w:tc>
        <w:tc>
          <w:tcPr>
            <w:tcW w:type="dxa" w:w="6236"/>
          </w:tcPr>
          <w:p>
            <w:pPr>
              <w:spacing w:after="20" w:line="240" w:lineRule="auto"/>
            </w:pPr>
            <w:r>
              <w:rPr>
                <w:sz w:val="17"/>
              </w:rPr>
              <w:t>AKS host encryption and disk key pages: temporary and ephemeral OS disks are encrypted only with encryption at host, set when the pool is created.</w:t>
            </w:r>
          </w:p>
        </w:tc>
        <w:tc>
          <w:tcPr>
            <w:tcW w:type="dxa" w:w="1587"/>
          </w:tcPr>
          <w:p>
            <w:pPr>
              <w:spacing w:after="20" w:line="240" w:lineRule="auto"/>
            </w:pPr>
            <w:r>
              <w:rPr>
                <w:sz w:val="17"/>
              </w:rPr>
              <w:t>Upheld</w:t>
            </w:r>
          </w:p>
        </w:tc>
      </w:tr>
      <w:tr>
        <w:trPr>
          <w:cantSplit w:val="true"/>
        </w:trPr>
        <w:tc>
          <w:tcPr>
            <w:tcW w:type="dxa" w:w="1587"/>
            <w:shd w:val="clear" w:color="auto" w:fill="F2F5FA"/>
          </w:tcPr>
          <w:p>
            <w:pPr>
              <w:spacing w:after="20" w:line="240" w:lineRule="auto"/>
            </w:pPr>
            <w:r>
              <w:rPr>
                <w:sz w:val="17"/>
              </w:rPr>
              <w:t>F-35</w:t>
            </w:r>
          </w:p>
        </w:tc>
        <w:tc>
          <w:tcPr>
            <w:tcW w:type="dxa" w:w="6236"/>
            <w:shd w:val="clear" w:color="auto" w:fill="F2F5FA"/>
          </w:tcPr>
          <w:p>
            <w:pPr>
              <w:spacing w:after="20" w:line="240" w:lineRule="auto"/>
            </w:pPr>
            <w:r>
              <w:rPr>
                <w:sz w:val="17"/>
              </w:rPr>
              <w:t>Confluent TLS page: TLS 1.3 preferred, 1.2 fallback; Dedicated clusters created before 30 April 2026 need TLS 1.3 enabled.</w:t>
            </w:r>
          </w:p>
        </w:tc>
        <w:tc>
          <w:tcPr>
            <w:tcW w:type="dxa" w:w="1587"/>
            <w:shd w:val="clear" w:color="auto" w:fill="F2F5FA"/>
          </w:tcPr>
          <w:p>
            <w:pPr>
              <w:spacing w:after="20" w:line="240" w:lineRule="auto"/>
            </w:pPr>
            <w:r>
              <w:rPr>
                <w:sz w:val="17"/>
              </w:rPr>
              <w:t>Upheld</w:t>
            </w:r>
          </w:p>
        </w:tc>
      </w:tr>
      <w:tr>
        <w:trPr>
          <w:cantSplit w:val="true"/>
        </w:trPr>
        <w:tc>
          <w:tcPr>
            <w:tcW w:type="dxa" w:w="1587"/>
          </w:tcPr>
          <w:p>
            <w:pPr>
              <w:spacing w:after="20" w:line="240" w:lineRule="auto"/>
            </w:pPr>
            <w:r>
              <w:rPr>
                <w:sz w:val="17"/>
              </w:rPr>
              <w:t>All other findings</w:t>
            </w:r>
          </w:p>
        </w:tc>
        <w:tc>
          <w:tcPr>
            <w:tcW w:type="dxa" w:w="6236"/>
          </w:tcPr>
          <w:p>
            <w:pPr>
              <w:spacing w:after="20" w:line="240" w:lineRule="auto"/>
            </w:pPr>
            <w:r>
              <w:rPr>
                <w:sz w:val="17"/>
              </w:rPr>
              <w:t>Each cited reference opened again (HTTP 200) and the cited statement found on the page; rendered values rechecked for every Helm-related correction.</w:t>
            </w:r>
          </w:p>
        </w:tc>
        <w:tc>
          <w:tcPr>
            <w:tcW w:type="dxa" w:w="1587"/>
          </w:tcPr>
          <w:p>
            <w:pPr>
              <w:spacing w:after="20" w:line="240" w:lineRule="auto"/>
            </w:pPr>
            <w:r>
              <w:rPr>
                <w:sz w:val="17"/>
              </w:rPr>
              <w:t>Upheld</w:t>
            </w:r>
          </w:p>
        </w:tc>
      </w:tr>
    </w:tbl>
    <w:p>
      <w:pPr>
        <w:spacing w:after="0" w:before="0" w:line="120" w:lineRule="exact"/>
      </w:pPr>
      <w:r>
        <w:rPr>
          <w:sz w:val="12"/>
        </w:rPr>
      </w:r>
    </w:p>
    <w:p>
      <w:pPr>
        <w:pStyle w:val="Heading1"/>
        <w:pageBreakBefore/>
      </w:pPr>
      <w:r>
        <w:t>6  Scorecard</w:t>
      </w:r>
    </w:p>
    <w:p>
      <w:r>
        <w:t>Scores rate the document's readiness on a five-point scale: 1 missing or wrong; 2 present with errors that would cause failures; 3 correct but with material gaps; 4 complete, with a defect or a missing procedure that a reader would have to work around; 5 complete, consistent, sourced and checked as far as a document can be, with every remaining programme input owned, scheduled and given a recommended answer or planned response.</w:t>
      </w:r>
    </w:p>
    <w:p>
      <w:r>
        <w:t>Versions 2.0 to 2.2 were scored on a slightly different scale, on which 4 also covered inputs still to be measured. The 2.2 column has been re-scored on the current scale after the re-check: D2, D3 and D13 drop to 4 because of F-36, F-38 and F-45. The last column names the programme input that the dimension still waits for; it does not limit the document's score.</w:t>
      </w:r>
    </w:p>
    <w:p>
      <w:pPr>
        <w:pStyle w:val="Caption"/>
        <w:keepNext/>
        <w:spacing w:before="80"/>
      </w:pPr>
      <w:r>
        <w:t>Table 6. Scorecard by version (document readiness)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623"/>
        <w:gridCol w:w="2381"/>
        <w:gridCol w:w="623"/>
        <w:gridCol w:w="623"/>
        <w:gridCol w:w="623"/>
        <w:gridCol w:w="623"/>
        <w:gridCol w:w="3912"/>
      </w:tblGrid>
      <w:tr>
        <w:trPr>
          <w:tblHeader w:val="true"/>
          <w:cantSplit w:val="true"/>
        </w:trPr>
        <w:tc>
          <w:tcPr>
            <w:tcW w:type="dxa" w:w="624"/>
            <w:shd w:val="clear" w:color="auto" w:fill="1F3864"/>
          </w:tcPr>
          <w:p>
            <w:pPr>
              <w:spacing w:after="0"/>
            </w:pPr>
            <w:r>
              <w:rPr>
                <w:b/>
                <w:color w:val="FFFFFF"/>
                <w:sz w:val="17"/>
              </w:rPr>
              <w:t>ID</w:t>
            </w:r>
          </w:p>
        </w:tc>
        <w:tc>
          <w:tcPr>
            <w:tcW w:type="dxa" w:w="2381"/>
            <w:shd w:val="clear" w:color="auto" w:fill="1F3864"/>
          </w:tcPr>
          <w:p>
            <w:pPr>
              <w:spacing w:after="0"/>
            </w:pPr>
            <w:r>
              <w:rPr>
                <w:b/>
                <w:color w:val="FFFFFF"/>
                <w:sz w:val="17"/>
              </w:rPr>
              <w:t>Dimension</w:t>
            </w:r>
          </w:p>
        </w:tc>
        <w:tc>
          <w:tcPr>
            <w:tcW w:type="dxa" w:w="624"/>
            <w:shd w:val="clear" w:color="auto" w:fill="1F3864"/>
          </w:tcPr>
          <w:p>
            <w:pPr>
              <w:spacing w:after="0"/>
            </w:pPr>
            <w:r>
              <w:rPr>
                <w:b/>
                <w:color w:val="FFFFFF"/>
                <w:sz w:val="17"/>
              </w:rPr>
              <w:t>2.0</w:t>
            </w:r>
          </w:p>
        </w:tc>
        <w:tc>
          <w:tcPr>
            <w:tcW w:type="dxa" w:w="624"/>
            <w:shd w:val="clear" w:color="auto" w:fill="1F3864"/>
          </w:tcPr>
          <w:p>
            <w:pPr>
              <w:spacing w:after="0"/>
            </w:pPr>
            <w:r>
              <w:rPr>
                <w:b/>
                <w:color w:val="FFFFFF"/>
                <w:sz w:val="17"/>
              </w:rPr>
              <w:t>2.1</w:t>
            </w:r>
          </w:p>
        </w:tc>
        <w:tc>
          <w:tcPr>
            <w:tcW w:type="dxa" w:w="624"/>
            <w:shd w:val="clear" w:color="auto" w:fill="1F3864"/>
          </w:tcPr>
          <w:p>
            <w:pPr>
              <w:spacing w:after="0"/>
            </w:pPr>
            <w:r>
              <w:rPr>
                <w:b/>
                <w:color w:val="FFFFFF"/>
                <w:sz w:val="17"/>
              </w:rPr>
              <w:t>2.2</w:t>
            </w:r>
          </w:p>
        </w:tc>
        <w:tc>
          <w:tcPr>
            <w:tcW w:type="dxa" w:w="624"/>
            <w:shd w:val="clear" w:color="auto" w:fill="1F3864"/>
          </w:tcPr>
          <w:p>
            <w:pPr>
              <w:spacing w:after="0"/>
            </w:pPr>
            <w:r>
              <w:rPr>
                <w:b/>
                <w:color w:val="FFFFFF"/>
                <w:sz w:val="17"/>
              </w:rPr>
              <w:t>2.3</w:t>
            </w:r>
          </w:p>
        </w:tc>
        <w:tc>
          <w:tcPr>
            <w:tcW w:type="dxa" w:w="3912"/>
            <w:shd w:val="clear" w:color="auto" w:fill="1F3864"/>
          </w:tcPr>
          <w:p>
            <w:pPr>
              <w:spacing w:after="0"/>
            </w:pPr>
            <w:r>
              <w:rPr>
                <w:b/>
                <w:color w:val="FFFFFF"/>
                <w:sz w:val="17"/>
              </w:rPr>
              <w:t>Programme input still to come</w:t>
            </w:r>
          </w:p>
        </w:tc>
      </w:tr>
      <w:tr>
        <w:trPr>
          <w:cantSplit w:val="true"/>
        </w:trPr>
        <w:tc>
          <w:tcPr>
            <w:tcW w:type="dxa" w:w="624"/>
          </w:tcPr>
          <w:p>
            <w:pPr>
              <w:spacing w:after="20" w:line="240" w:lineRule="auto"/>
            </w:pPr>
            <w:r>
              <w:rPr>
                <w:sz w:val="17"/>
              </w:rPr>
              <w:t>D1</w:t>
            </w:r>
          </w:p>
        </w:tc>
        <w:tc>
          <w:tcPr>
            <w:tcW w:type="dxa" w:w="2381"/>
          </w:tcPr>
          <w:p>
            <w:pPr>
              <w:spacing w:after="20" w:line="240" w:lineRule="auto"/>
            </w:pPr>
            <w:r>
              <w:rPr>
                <w:sz w:val="17"/>
              </w:rPr>
              <w:t>Alignment with Pega</w:t>
            </w:r>
          </w:p>
        </w:tc>
        <w:tc>
          <w:tcPr>
            <w:tcW w:type="dxa" w:w="624"/>
          </w:tcPr>
          <w:p>
            <w:pPr>
              <w:spacing w:after="20" w:line="240" w:lineRule="auto"/>
            </w:pPr>
            <w:r>
              <w:rPr>
                <w:sz w:val="17"/>
              </w:rPr>
              <w:t>4</w:t>
            </w:r>
          </w:p>
        </w:tc>
        <w:tc>
          <w:tcPr>
            <w:tcW w:type="dxa" w:w="624"/>
          </w:tcPr>
          <w:p>
            <w:pPr>
              <w:spacing w:after="20" w:line="240" w:lineRule="auto"/>
            </w:pPr>
            <w:r>
              <w:rPr>
                <w:sz w:val="17"/>
              </w:rPr>
              <w:t>5</w:t>
            </w:r>
          </w:p>
        </w:tc>
        <w:tc>
          <w:tcPr>
            <w:tcW w:type="dxa" w:w="624"/>
          </w:tcPr>
          <w:p>
            <w:pPr>
              <w:spacing w:after="20" w:line="240" w:lineRule="auto"/>
            </w:pPr>
            <w:r>
              <w:rPr>
                <w:sz w:val="17"/>
              </w:rPr>
              <w:t>5</w:t>
            </w:r>
          </w:p>
        </w:tc>
        <w:tc>
          <w:tcPr>
            <w:tcW w:type="dxa" w:w="624"/>
          </w:tcPr>
          <w:p>
            <w:pPr>
              <w:spacing w:after="20" w:line="240" w:lineRule="auto"/>
            </w:pPr>
            <w:r>
              <w:rPr>
                <w:sz w:val="17"/>
              </w:rPr>
              <w:t>5</w:t>
            </w:r>
          </w:p>
        </w:tc>
        <w:tc>
          <w:tcPr>
            <w:tcW w:type="dxa" w:w="3912"/>
          </w:tcPr>
          <w:p>
            <w:pPr>
              <w:spacing w:after="20" w:line="240" w:lineRule="auto"/>
            </w:pPr>
            <w:r>
              <w:rPr>
                <w:sz w:val="17"/>
              </w:rPr>
              <w:t>Pega Support answers GQ-01 to GQ-11 (OD-01)</w:t>
            </w:r>
          </w:p>
        </w:tc>
      </w:tr>
      <w:tr>
        <w:trPr>
          <w:cantSplit w:val="true"/>
        </w:trPr>
        <w:tc>
          <w:tcPr>
            <w:tcW w:type="dxa" w:w="624"/>
            <w:shd w:val="clear" w:color="auto" w:fill="F2F5FA"/>
          </w:tcPr>
          <w:p>
            <w:pPr>
              <w:spacing w:after="20" w:line="240" w:lineRule="auto"/>
            </w:pPr>
            <w:r>
              <w:rPr>
                <w:sz w:val="17"/>
              </w:rPr>
              <w:t>D2</w:t>
            </w:r>
          </w:p>
        </w:tc>
        <w:tc>
          <w:tcPr>
            <w:tcW w:type="dxa" w:w="2381"/>
            <w:shd w:val="clear" w:color="auto" w:fill="F2F5FA"/>
          </w:tcPr>
          <w:p>
            <w:pPr>
              <w:spacing w:after="20" w:line="240" w:lineRule="auto"/>
            </w:pPr>
            <w:r>
              <w:rPr>
                <w:sz w:val="17"/>
              </w:rPr>
              <w:t>Alignment with Confluent Cloud</w:t>
            </w:r>
          </w:p>
        </w:tc>
        <w:tc>
          <w:tcPr>
            <w:tcW w:type="dxa" w:w="624"/>
            <w:shd w:val="clear" w:color="auto" w:fill="F2F5FA"/>
          </w:tcPr>
          <w:p>
            <w:pPr>
              <w:spacing w:after="20" w:line="240" w:lineRule="auto"/>
            </w:pPr>
            <w:r>
              <w:rPr>
                <w:sz w:val="17"/>
              </w:rPr>
              <w:t>3</w:t>
            </w:r>
          </w:p>
        </w:tc>
        <w:tc>
          <w:tcPr>
            <w:tcW w:type="dxa" w:w="624"/>
            <w:shd w:val="clear" w:color="auto" w:fill="F2F5FA"/>
          </w:tcPr>
          <w:p>
            <w:pPr>
              <w:spacing w:after="20" w:line="240" w:lineRule="auto"/>
            </w:pPr>
            <w:r>
              <w:rPr>
                <w:sz w:val="17"/>
              </w:rPr>
              <w:t>5</w:t>
            </w:r>
          </w:p>
        </w:tc>
        <w:tc>
          <w:tcPr>
            <w:tcW w:type="dxa" w:w="624"/>
            <w:shd w:val="clear" w:color="auto" w:fill="F2F5FA"/>
          </w:tcPr>
          <w:p>
            <w:pPr>
              <w:spacing w:after="20" w:line="240" w:lineRule="auto"/>
            </w:pPr>
            <w:r>
              <w:rPr>
                <w:sz w:val="17"/>
              </w:rPr>
              <w:t>4</w:t>
            </w:r>
          </w:p>
        </w:tc>
        <w:tc>
          <w:tcPr>
            <w:tcW w:type="dxa" w:w="624"/>
            <w:shd w:val="clear" w:color="auto" w:fill="F2F5FA"/>
          </w:tcPr>
          <w:p>
            <w:pPr>
              <w:spacing w:after="20" w:line="240" w:lineRule="auto"/>
            </w:pPr>
            <w:r>
              <w:rPr>
                <w:sz w:val="17"/>
              </w:rPr>
              <w:t>5</w:t>
            </w:r>
          </w:p>
        </w:tc>
        <w:tc>
          <w:tcPr>
            <w:tcW w:type="dxa" w:w="3912"/>
            <w:shd w:val="clear" w:color="auto" w:fill="F2F5FA"/>
          </w:tcPr>
          <w:p>
            <w:pPr>
              <w:spacing w:after="20" w:line="240" w:lineRule="auto"/>
            </w:pPr>
            <w:r>
              <w:rPr>
                <w:sz w:val="17"/>
              </w:rPr>
              <w:t>Cluster type for NP2 and PROD after PERF (OD-02)</w:t>
            </w:r>
          </w:p>
        </w:tc>
      </w:tr>
      <w:tr>
        <w:trPr>
          <w:cantSplit w:val="true"/>
        </w:trPr>
        <w:tc>
          <w:tcPr>
            <w:tcW w:type="dxa" w:w="624"/>
          </w:tcPr>
          <w:p>
            <w:pPr>
              <w:spacing w:after="20" w:line="240" w:lineRule="auto"/>
            </w:pPr>
            <w:r>
              <w:rPr>
                <w:sz w:val="17"/>
              </w:rPr>
              <w:t>D3</w:t>
            </w:r>
          </w:p>
        </w:tc>
        <w:tc>
          <w:tcPr>
            <w:tcW w:type="dxa" w:w="2381"/>
          </w:tcPr>
          <w:p>
            <w:pPr>
              <w:spacing w:after="20" w:line="240" w:lineRule="auto"/>
            </w:pPr>
            <w:r>
              <w:rPr>
                <w:sz w:val="17"/>
              </w:rPr>
              <w:t>Alignment with OpenSearch and SRS</w:t>
            </w:r>
          </w:p>
        </w:tc>
        <w:tc>
          <w:tcPr>
            <w:tcW w:type="dxa" w:w="624"/>
          </w:tcPr>
          <w:p>
            <w:pPr>
              <w:spacing w:after="20" w:line="240" w:lineRule="auto"/>
            </w:pPr>
            <w:r>
              <w:rPr>
                <w:sz w:val="17"/>
              </w:rPr>
              <w:t>3</w:t>
            </w:r>
          </w:p>
        </w:tc>
        <w:tc>
          <w:tcPr>
            <w:tcW w:type="dxa" w:w="624"/>
          </w:tcPr>
          <w:p>
            <w:pPr>
              <w:spacing w:after="20" w:line="240" w:lineRule="auto"/>
            </w:pPr>
            <w:r>
              <w:rPr>
                <w:sz w:val="17"/>
              </w:rPr>
              <w:t>5</w:t>
            </w:r>
          </w:p>
        </w:tc>
        <w:tc>
          <w:tcPr>
            <w:tcW w:type="dxa" w:w="624"/>
          </w:tcPr>
          <w:p>
            <w:pPr>
              <w:spacing w:after="20" w:line="240" w:lineRule="auto"/>
            </w:pPr>
            <w:r>
              <w:rPr>
                <w:sz w:val="17"/>
              </w:rPr>
              <w:t>4</w:t>
            </w:r>
          </w:p>
        </w:tc>
        <w:tc>
          <w:tcPr>
            <w:tcW w:type="dxa" w:w="624"/>
          </w:tcPr>
          <w:p>
            <w:pPr>
              <w:spacing w:after="20" w:line="240" w:lineRule="auto"/>
            </w:pPr>
            <w:r>
              <w:rPr>
                <w:sz w:val="17"/>
              </w:rPr>
              <w:t>5</w:t>
            </w:r>
          </w:p>
        </w:tc>
        <w:tc>
          <w:tcPr>
            <w:tcW w:type="dxa" w:w="3912"/>
          </w:tcPr>
          <w:p>
            <w:pPr>
              <w:spacing w:after="20" w:line="240" w:lineRule="auto"/>
            </w:pPr>
            <w:r>
              <w:rPr>
                <w:sz w:val="17"/>
              </w:rPr>
              <w:t>Provider choice (OD-03), scored on the worksheet</w:t>
            </w:r>
          </w:p>
        </w:tc>
      </w:tr>
      <w:tr>
        <w:trPr>
          <w:cantSplit w:val="true"/>
        </w:trPr>
        <w:tc>
          <w:tcPr>
            <w:tcW w:type="dxa" w:w="624"/>
            <w:shd w:val="clear" w:color="auto" w:fill="F2F5FA"/>
          </w:tcPr>
          <w:p>
            <w:pPr>
              <w:spacing w:after="20" w:line="240" w:lineRule="auto"/>
            </w:pPr>
            <w:r>
              <w:rPr>
                <w:sz w:val="17"/>
              </w:rPr>
              <w:t>D4</w:t>
            </w:r>
          </w:p>
        </w:tc>
        <w:tc>
          <w:tcPr>
            <w:tcW w:type="dxa" w:w="2381"/>
            <w:shd w:val="clear" w:color="auto" w:fill="F2F5FA"/>
          </w:tcPr>
          <w:p>
            <w:pPr>
              <w:spacing w:after="20" w:line="240" w:lineRule="auto"/>
            </w:pPr>
            <w:r>
              <w:rPr>
                <w:sz w:val="17"/>
              </w:rPr>
              <w:t>Helm correctness</w:t>
            </w:r>
          </w:p>
        </w:tc>
        <w:tc>
          <w:tcPr>
            <w:tcW w:type="dxa" w:w="624"/>
            <w:shd w:val="clear" w:color="auto" w:fill="F2F5FA"/>
          </w:tcPr>
          <w:p>
            <w:pPr>
              <w:spacing w:after="20" w:line="240" w:lineRule="auto"/>
            </w:pPr>
            <w:r>
              <w:rPr>
                <w:sz w:val="17"/>
              </w:rPr>
              <w:t>2</w:t>
            </w:r>
          </w:p>
        </w:tc>
        <w:tc>
          <w:tcPr>
            <w:tcW w:type="dxa" w:w="624"/>
            <w:shd w:val="clear" w:color="auto" w:fill="F2F5FA"/>
          </w:tcPr>
          <w:p>
            <w:pPr>
              <w:spacing w:after="20" w:line="240" w:lineRule="auto"/>
            </w:pPr>
            <w:r>
              <w:rPr>
                <w:sz w:val="17"/>
              </w:rPr>
              <w:t>5</w:t>
            </w:r>
          </w:p>
        </w:tc>
        <w:tc>
          <w:tcPr>
            <w:tcW w:type="dxa" w:w="624"/>
            <w:shd w:val="clear" w:color="auto" w:fill="F2F5FA"/>
          </w:tcPr>
          <w:p>
            <w:pPr>
              <w:spacing w:after="20" w:line="240" w:lineRule="auto"/>
            </w:pPr>
            <w:r>
              <w:rPr>
                <w:sz w:val="17"/>
              </w:rPr>
              <w:t>5</w:t>
            </w:r>
          </w:p>
        </w:tc>
        <w:tc>
          <w:tcPr>
            <w:tcW w:type="dxa" w:w="624"/>
            <w:shd w:val="clear" w:color="auto" w:fill="F2F5FA"/>
          </w:tcPr>
          <w:p>
            <w:pPr>
              <w:spacing w:after="20" w:line="240" w:lineRule="auto"/>
            </w:pPr>
            <w:r>
              <w:rPr>
                <w:sz w:val="17"/>
              </w:rPr>
              <w:t>5</w:t>
            </w:r>
          </w:p>
        </w:tc>
        <w:tc>
          <w:tcPr>
            <w:tcW w:type="dxa" w:w="3912"/>
            <w:shd w:val="clear" w:color="auto" w:fill="F2F5FA"/>
          </w:tcPr>
          <w:p>
            <w:pPr>
              <w:spacing w:after="20" w:line="240" w:lineRule="auto"/>
            </w:pPr>
            <w:r>
              <w:rPr>
                <w:sz w:val="17"/>
              </w:rPr>
              <w:t>None</w:t>
            </w:r>
          </w:p>
        </w:tc>
      </w:tr>
      <w:tr>
        <w:trPr>
          <w:cantSplit w:val="true"/>
        </w:trPr>
        <w:tc>
          <w:tcPr>
            <w:tcW w:type="dxa" w:w="624"/>
          </w:tcPr>
          <w:p>
            <w:pPr>
              <w:spacing w:after="20" w:line="240" w:lineRule="auto"/>
            </w:pPr>
            <w:r>
              <w:rPr>
                <w:sz w:val="17"/>
              </w:rPr>
              <w:t>D5</w:t>
            </w:r>
          </w:p>
        </w:tc>
        <w:tc>
          <w:tcPr>
            <w:tcW w:type="dxa" w:w="2381"/>
          </w:tcPr>
          <w:p>
            <w:pPr>
              <w:spacing w:after="20" w:line="240" w:lineRule="auto"/>
            </w:pPr>
            <w:r>
              <w:rPr>
                <w:sz w:val="17"/>
              </w:rPr>
              <w:t>Security and isolation</w:t>
            </w:r>
          </w:p>
        </w:tc>
        <w:tc>
          <w:tcPr>
            <w:tcW w:type="dxa" w:w="624"/>
          </w:tcPr>
          <w:p>
            <w:pPr>
              <w:spacing w:after="20" w:line="240" w:lineRule="auto"/>
            </w:pPr>
            <w:r>
              <w:rPr>
                <w:sz w:val="17"/>
              </w:rPr>
              <w:t>4</w:t>
            </w:r>
          </w:p>
        </w:tc>
        <w:tc>
          <w:tcPr>
            <w:tcW w:type="dxa" w:w="624"/>
          </w:tcPr>
          <w:p>
            <w:pPr>
              <w:spacing w:after="20" w:line="240" w:lineRule="auto"/>
            </w:pPr>
            <w:r>
              <w:rPr>
                <w:sz w:val="17"/>
              </w:rPr>
              <w:t>5</w:t>
            </w:r>
          </w:p>
        </w:tc>
        <w:tc>
          <w:tcPr>
            <w:tcW w:type="dxa" w:w="624"/>
          </w:tcPr>
          <w:p>
            <w:pPr>
              <w:spacing w:after="20" w:line="240" w:lineRule="auto"/>
            </w:pPr>
            <w:r>
              <w:rPr>
                <w:sz w:val="17"/>
              </w:rPr>
              <w:t>5</w:t>
            </w:r>
          </w:p>
        </w:tc>
        <w:tc>
          <w:tcPr>
            <w:tcW w:type="dxa" w:w="624"/>
          </w:tcPr>
          <w:p>
            <w:pPr>
              <w:spacing w:after="20" w:line="240" w:lineRule="auto"/>
            </w:pPr>
            <w:r>
              <w:rPr>
                <w:sz w:val="17"/>
              </w:rPr>
              <w:t>5</w:t>
            </w:r>
          </w:p>
        </w:tc>
        <w:tc>
          <w:tcPr>
            <w:tcW w:type="dxa" w:w="3912"/>
          </w:tcPr>
          <w:p>
            <w:pPr>
              <w:spacing w:after="20" w:line="240" w:lineRule="auto"/>
            </w:pPr>
            <w:r>
              <w:rPr>
                <w:sz w:val="17"/>
              </w:rPr>
              <w:t>Isolation test results (IT-01 to IT-10)</w:t>
            </w:r>
          </w:p>
        </w:tc>
      </w:tr>
      <w:tr>
        <w:trPr>
          <w:cantSplit w:val="true"/>
        </w:trPr>
        <w:tc>
          <w:tcPr>
            <w:tcW w:type="dxa" w:w="624"/>
            <w:shd w:val="clear" w:color="auto" w:fill="F2F5FA"/>
          </w:tcPr>
          <w:p>
            <w:pPr>
              <w:spacing w:after="20" w:line="240" w:lineRule="auto"/>
            </w:pPr>
            <w:r>
              <w:rPr>
                <w:sz w:val="17"/>
              </w:rPr>
              <w:t>D6</w:t>
            </w:r>
          </w:p>
        </w:tc>
        <w:tc>
          <w:tcPr>
            <w:tcW w:type="dxa" w:w="2381"/>
            <w:shd w:val="clear" w:color="auto" w:fill="F2F5FA"/>
          </w:tcPr>
          <w:p>
            <w:pPr>
              <w:spacing w:after="20" w:line="240" w:lineRule="auto"/>
            </w:pPr>
            <w:r>
              <w:rPr>
                <w:sz w:val="17"/>
              </w:rPr>
              <w:t>Architecture and cloud design</w:t>
            </w:r>
          </w:p>
        </w:tc>
        <w:tc>
          <w:tcPr>
            <w:tcW w:type="dxa" w:w="624"/>
            <w:shd w:val="clear" w:color="auto" w:fill="F2F5FA"/>
          </w:tcPr>
          <w:p>
            <w:pPr>
              <w:spacing w:after="20" w:line="240" w:lineRule="auto"/>
            </w:pPr>
            <w:r>
              <w:rPr>
                <w:sz w:val="17"/>
              </w:rPr>
              <w:t>3</w:t>
            </w:r>
          </w:p>
        </w:tc>
        <w:tc>
          <w:tcPr>
            <w:tcW w:type="dxa" w:w="624"/>
            <w:shd w:val="clear" w:color="auto" w:fill="F2F5FA"/>
          </w:tcPr>
          <w:p>
            <w:pPr>
              <w:spacing w:after="20" w:line="240" w:lineRule="auto"/>
            </w:pPr>
            <w:r>
              <w:rPr>
                <w:sz w:val="17"/>
              </w:rPr>
              <w:t>4</w:t>
            </w:r>
          </w:p>
        </w:tc>
        <w:tc>
          <w:tcPr>
            <w:tcW w:type="dxa" w:w="624"/>
            <w:shd w:val="clear" w:color="auto" w:fill="F2F5FA"/>
          </w:tcPr>
          <w:p>
            <w:pPr>
              <w:spacing w:after="20" w:line="240" w:lineRule="auto"/>
            </w:pPr>
            <w:r>
              <w:rPr>
                <w:sz w:val="17"/>
              </w:rPr>
              <w:t>4</w:t>
            </w:r>
          </w:p>
        </w:tc>
        <w:tc>
          <w:tcPr>
            <w:tcW w:type="dxa" w:w="624"/>
            <w:shd w:val="clear" w:color="auto" w:fill="F2F5FA"/>
          </w:tcPr>
          <w:p>
            <w:pPr>
              <w:spacing w:after="20" w:line="240" w:lineRule="auto"/>
            </w:pPr>
            <w:r>
              <w:rPr>
                <w:sz w:val="17"/>
              </w:rPr>
              <w:t>5</w:t>
            </w:r>
          </w:p>
        </w:tc>
        <w:tc>
          <w:tcPr>
            <w:tcW w:type="dxa" w:w="3912"/>
            <w:shd w:val="clear" w:color="auto" w:fill="F2F5FA"/>
          </w:tcPr>
          <w:p>
            <w:pPr>
              <w:spacing w:after="20" w:line="240" w:lineRule="auto"/>
            </w:pPr>
            <w:r>
              <w:rPr>
                <w:sz w:val="17"/>
              </w:rPr>
              <w:t>Region zone check for the node sizes (AS-09)</w:t>
            </w:r>
          </w:p>
        </w:tc>
      </w:tr>
      <w:tr>
        <w:trPr>
          <w:cantSplit w:val="true"/>
        </w:trPr>
        <w:tc>
          <w:tcPr>
            <w:tcW w:type="dxa" w:w="624"/>
          </w:tcPr>
          <w:p>
            <w:pPr>
              <w:spacing w:after="20" w:line="240" w:lineRule="auto"/>
            </w:pPr>
            <w:r>
              <w:rPr>
                <w:sz w:val="17"/>
              </w:rPr>
              <w:t>D7</w:t>
            </w:r>
          </w:p>
        </w:tc>
        <w:tc>
          <w:tcPr>
            <w:tcW w:type="dxa" w:w="2381"/>
          </w:tcPr>
          <w:p>
            <w:pPr>
              <w:spacing w:after="20" w:line="240" w:lineRule="auto"/>
            </w:pPr>
            <w:r>
              <w:rPr>
                <w:sz w:val="17"/>
              </w:rPr>
              <w:t>Failure handling and remediation</w:t>
            </w:r>
          </w:p>
        </w:tc>
        <w:tc>
          <w:tcPr>
            <w:tcW w:type="dxa" w:w="624"/>
          </w:tcPr>
          <w:p>
            <w:pPr>
              <w:spacing w:after="20" w:line="240" w:lineRule="auto"/>
            </w:pPr>
            <w:r>
              <w:rPr>
                <w:sz w:val="17"/>
              </w:rPr>
              <w:t>4</w:t>
            </w:r>
          </w:p>
        </w:tc>
        <w:tc>
          <w:tcPr>
            <w:tcW w:type="dxa" w:w="624"/>
          </w:tcPr>
          <w:p>
            <w:pPr>
              <w:spacing w:after="20" w:line="240" w:lineRule="auto"/>
            </w:pPr>
            <w:r>
              <w:rPr>
                <w:sz w:val="17"/>
              </w:rPr>
              <w:t>4</w:t>
            </w:r>
          </w:p>
        </w:tc>
        <w:tc>
          <w:tcPr>
            <w:tcW w:type="dxa" w:w="624"/>
          </w:tcPr>
          <w:p>
            <w:pPr>
              <w:spacing w:after="20" w:line="240" w:lineRule="auto"/>
            </w:pPr>
            <w:r>
              <w:rPr>
                <w:sz w:val="17"/>
              </w:rPr>
              <w:t>5</w:t>
            </w:r>
          </w:p>
        </w:tc>
        <w:tc>
          <w:tcPr>
            <w:tcW w:type="dxa" w:w="624"/>
          </w:tcPr>
          <w:p>
            <w:pPr>
              <w:spacing w:after="20" w:line="240" w:lineRule="auto"/>
            </w:pPr>
            <w:r>
              <w:rPr>
                <w:sz w:val="17"/>
              </w:rPr>
              <w:t>5</w:t>
            </w:r>
          </w:p>
        </w:tc>
        <w:tc>
          <w:tcPr>
            <w:tcW w:type="dxa" w:w="3912"/>
          </w:tcPr>
          <w:p>
            <w:pPr>
              <w:spacing w:after="20" w:line="240" w:lineRule="auto"/>
            </w:pPr>
            <w:r>
              <w:rPr>
                <w:sz w:val="17"/>
              </w:rPr>
              <w:t>First results of the failure scenarios</w:t>
            </w:r>
          </w:p>
        </w:tc>
      </w:tr>
      <w:tr>
        <w:trPr>
          <w:cantSplit w:val="true"/>
        </w:trPr>
        <w:tc>
          <w:tcPr>
            <w:tcW w:type="dxa" w:w="624"/>
            <w:shd w:val="clear" w:color="auto" w:fill="F2F5FA"/>
          </w:tcPr>
          <w:p>
            <w:pPr>
              <w:spacing w:after="20" w:line="240" w:lineRule="auto"/>
            </w:pPr>
            <w:r>
              <w:rPr>
                <w:sz w:val="17"/>
              </w:rPr>
              <w:t>D8</w:t>
            </w:r>
          </w:p>
        </w:tc>
        <w:tc>
          <w:tcPr>
            <w:tcW w:type="dxa" w:w="2381"/>
            <w:shd w:val="clear" w:color="auto" w:fill="F2F5FA"/>
          </w:tcPr>
          <w:p>
            <w:pPr>
              <w:spacing w:after="20" w:line="240" w:lineRule="auto"/>
            </w:pPr>
            <w:r>
              <w:rPr>
                <w:sz w:val="17"/>
              </w:rPr>
              <w:t>Testing methodology</w:t>
            </w:r>
          </w:p>
        </w:tc>
        <w:tc>
          <w:tcPr>
            <w:tcW w:type="dxa" w:w="624"/>
            <w:shd w:val="clear" w:color="auto" w:fill="F2F5FA"/>
          </w:tcPr>
          <w:p>
            <w:pPr>
              <w:spacing w:after="20" w:line="240" w:lineRule="auto"/>
            </w:pPr>
            <w:r>
              <w:rPr>
                <w:sz w:val="17"/>
              </w:rPr>
              <w:t>4</w:t>
            </w:r>
          </w:p>
        </w:tc>
        <w:tc>
          <w:tcPr>
            <w:tcW w:type="dxa" w:w="624"/>
            <w:shd w:val="clear" w:color="auto" w:fill="F2F5FA"/>
          </w:tcPr>
          <w:p>
            <w:pPr>
              <w:spacing w:after="20" w:line="240" w:lineRule="auto"/>
            </w:pPr>
            <w:r>
              <w:rPr>
                <w:sz w:val="17"/>
              </w:rPr>
              <w:t>4</w:t>
            </w:r>
          </w:p>
        </w:tc>
        <w:tc>
          <w:tcPr>
            <w:tcW w:type="dxa" w:w="624"/>
            <w:shd w:val="clear" w:color="auto" w:fill="F2F5FA"/>
          </w:tcPr>
          <w:p>
            <w:pPr>
              <w:spacing w:after="20" w:line="240" w:lineRule="auto"/>
            </w:pPr>
            <w:r>
              <w:rPr>
                <w:sz w:val="17"/>
              </w:rPr>
              <w:t>4</w:t>
            </w:r>
          </w:p>
        </w:tc>
        <w:tc>
          <w:tcPr>
            <w:tcW w:type="dxa" w:w="624"/>
            <w:shd w:val="clear" w:color="auto" w:fill="F2F5FA"/>
          </w:tcPr>
          <w:p>
            <w:pPr>
              <w:spacing w:after="20" w:line="240" w:lineRule="auto"/>
            </w:pPr>
            <w:r>
              <w:rPr>
                <w:sz w:val="17"/>
              </w:rPr>
              <w:t>5</w:t>
            </w:r>
          </w:p>
        </w:tc>
        <w:tc>
          <w:tcPr>
            <w:tcW w:type="dxa" w:w="3912"/>
            <w:shd w:val="clear" w:color="auto" w:fill="F2F5FA"/>
          </w:tcPr>
          <w:p>
            <w:pPr>
              <w:spacing w:after="20" w:line="240" w:lineRule="auto"/>
            </w:pPr>
            <w:r>
              <w:rPr>
                <w:sz w:val="17"/>
              </w:rPr>
              <w:t>Results of the tests in Section 15.9</w:t>
            </w:r>
          </w:p>
        </w:tc>
      </w:tr>
      <w:tr>
        <w:trPr>
          <w:cantSplit w:val="true"/>
        </w:trPr>
        <w:tc>
          <w:tcPr>
            <w:tcW w:type="dxa" w:w="624"/>
          </w:tcPr>
          <w:p>
            <w:pPr>
              <w:spacing w:after="20" w:line="240" w:lineRule="auto"/>
            </w:pPr>
            <w:r>
              <w:rPr>
                <w:sz w:val="17"/>
              </w:rPr>
              <w:t>D9</w:t>
            </w:r>
          </w:p>
        </w:tc>
        <w:tc>
          <w:tcPr>
            <w:tcW w:type="dxa" w:w="2381"/>
          </w:tcPr>
          <w:p>
            <w:pPr>
              <w:spacing w:after="20" w:line="240" w:lineRule="auto"/>
            </w:pPr>
            <w:r>
              <w:rPr>
                <w:sz w:val="17"/>
              </w:rPr>
              <w:t>Performance testing</w:t>
            </w:r>
          </w:p>
        </w:tc>
        <w:tc>
          <w:tcPr>
            <w:tcW w:type="dxa" w:w="624"/>
          </w:tcPr>
          <w:p>
            <w:pPr>
              <w:spacing w:after="20" w:line="240" w:lineRule="auto"/>
            </w:pPr>
            <w:r>
              <w:rPr>
                <w:sz w:val="17"/>
              </w:rPr>
              <w:t>2</w:t>
            </w:r>
          </w:p>
        </w:tc>
        <w:tc>
          <w:tcPr>
            <w:tcW w:type="dxa" w:w="624"/>
          </w:tcPr>
          <w:p>
            <w:pPr>
              <w:spacing w:after="20" w:line="240" w:lineRule="auto"/>
            </w:pPr>
            <w:r>
              <w:rPr>
                <w:sz w:val="17"/>
              </w:rPr>
              <w:t>4</w:t>
            </w:r>
          </w:p>
        </w:tc>
        <w:tc>
          <w:tcPr>
            <w:tcW w:type="dxa" w:w="624"/>
          </w:tcPr>
          <w:p>
            <w:pPr>
              <w:spacing w:after="20" w:line="240" w:lineRule="auto"/>
            </w:pPr>
            <w:r>
              <w:rPr>
                <w:sz w:val="17"/>
              </w:rPr>
              <w:t>4</w:t>
            </w:r>
          </w:p>
        </w:tc>
        <w:tc>
          <w:tcPr>
            <w:tcW w:type="dxa" w:w="624"/>
          </w:tcPr>
          <w:p>
            <w:pPr>
              <w:spacing w:after="20" w:line="240" w:lineRule="auto"/>
            </w:pPr>
            <w:r>
              <w:rPr>
                <w:sz w:val="17"/>
              </w:rPr>
              <w:t>5</w:t>
            </w:r>
          </w:p>
        </w:tc>
        <w:tc>
          <w:tcPr>
            <w:tcW w:type="dxa" w:w="3912"/>
          </w:tcPr>
          <w:p>
            <w:pPr>
              <w:spacing w:after="20" w:line="240" w:lineRule="auto"/>
            </w:pPr>
            <w:r>
              <w:rPr>
                <w:sz w:val="17"/>
              </w:rPr>
              <w:t>8.8 production data for the workload model record</w:t>
            </w:r>
          </w:p>
        </w:tc>
      </w:tr>
      <w:tr>
        <w:trPr>
          <w:cantSplit w:val="true"/>
        </w:trPr>
        <w:tc>
          <w:tcPr>
            <w:tcW w:type="dxa" w:w="624"/>
            <w:shd w:val="clear" w:color="auto" w:fill="F2F5FA"/>
          </w:tcPr>
          <w:p>
            <w:pPr>
              <w:spacing w:after="20" w:line="240" w:lineRule="auto"/>
            </w:pPr>
            <w:r>
              <w:rPr>
                <w:sz w:val="17"/>
              </w:rPr>
              <w:t>D10</w:t>
            </w:r>
          </w:p>
        </w:tc>
        <w:tc>
          <w:tcPr>
            <w:tcW w:type="dxa" w:w="2381"/>
            <w:shd w:val="clear" w:color="auto" w:fill="F2F5FA"/>
          </w:tcPr>
          <w:p>
            <w:pPr>
              <w:spacing w:after="20" w:line="240" w:lineRule="auto"/>
            </w:pPr>
            <w:r>
              <w:rPr>
                <w:sz w:val="17"/>
              </w:rPr>
              <w:t>Sizing</w:t>
            </w:r>
          </w:p>
        </w:tc>
        <w:tc>
          <w:tcPr>
            <w:tcW w:type="dxa" w:w="624"/>
            <w:shd w:val="clear" w:color="auto" w:fill="F2F5FA"/>
          </w:tcPr>
          <w:p>
            <w:pPr>
              <w:spacing w:after="20" w:line="240" w:lineRule="auto"/>
            </w:pPr>
            <w:r>
              <w:rPr>
                <w:sz w:val="17"/>
              </w:rPr>
              <w:t>2</w:t>
            </w:r>
          </w:p>
        </w:tc>
        <w:tc>
          <w:tcPr>
            <w:tcW w:type="dxa" w:w="624"/>
            <w:shd w:val="clear" w:color="auto" w:fill="F2F5FA"/>
          </w:tcPr>
          <w:p>
            <w:pPr>
              <w:spacing w:after="20" w:line="240" w:lineRule="auto"/>
            </w:pPr>
            <w:r>
              <w:rPr>
                <w:sz w:val="17"/>
              </w:rPr>
              <w:t>4</w:t>
            </w:r>
          </w:p>
        </w:tc>
        <w:tc>
          <w:tcPr>
            <w:tcW w:type="dxa" w:w="624"/>
            <w:shd w:val="clear" w:color="auto" w:fill="F2F5FA"/>
          </w:tcPr>
          <w:p>
            <w:pPr>
              <w:spacing w:after="20" w:line="240" w:lineRule="auto"/>
            </w:pPr>
            <w:r>
              <w:rPr>
                <w:sz w:val="17"/>
              </w:rPr>
              <w:t>4</w:t>
            </w:r>
          </w:p>
        </w:tc>
        <w:tc>
          <w:tcPr>
            <w:tcW w:type="dxa" w:w="624"/>
            <w:shd w:val="clear" w:color="auto" w:fill="F2F5FA"/>
          </w:tcPr>
          <w:p>
            <w:pPr>
              <w:spacing w:after="20" w:line="240" w:lineRule="auto"/>
            </w:pPr>
            <w:r>
              <w:rPr>
                <w:sz w:val="17"/>
              </w:rPr>
              <w:t>5</w:t>
            </w:r>
          </w:p>
        </w:tc>
        <w:tc>
          <w:tcPr>
            <w:tcW w:type="dxa" w:w="3912"/>
            <w:shd w:val="clear" w:color="auto" w:fill="F2F5FA"/>
          </w:tcPr>
          <w:p>
            <w:pPr>
              <w:spacing w:after="20" w:line="240" w:lineRule="auto"/>
            </w:pPr>
            <w:r>
              <w:rPr>
                <w:sz w:val="17"/>
              </w:rPr>
              <w:t>Measurements in Section 16.9.1</w:t>
            </w:r>
          </w:p>
        </w:tc>
      </w:tr>
      <w:tr>
        <w:trPr>
          <w:cantSplit w:val="true"/>
        </w:trPr>
        <w:tc>
          <w:tcPr>
            <w:tcW w:type="dxa" w:w="624"/>
          </w:tcPr>
          <w:p>
            <w:pPr>
              <w:spacing w:after="20" w:line="240" w:lineRule="auto"/>
            </w:pPr>
            <w:r>
              <w:rPr>
                <w:sz w:val="17"/>
              </w:rPr>
              <w:t>D11</w:t>
            </w:r>
          </w:p>
        </w:tc>
        <w:tc>
          <w:tcPr>
            <w:tcW w:type="dxa" w:w="2381"/>
          </w:tcPr>
          <w:p>
            <w:pPr>
              <w:spacing w:after="20" w:line="240" w:lineRule="auto"/>
            </w:pPr>
            <w:r>
              <w:rPr>
                <w:sz w:val="17"/>
              </w:rPr>
              <w:t>Monitoring, logging and observability</w:t>
            </w:r>
          </w:p>
        </w:tc>
        <w:tc>
          <w:tcPr>
            <w:tcW w:type="dxa" w:w="624"/>
          </w:tcPr>
          <w:p>
            <w:pPr>
              <w:spacing w:after="20" w:line="240" w:lineRule="auto"/>
            </w:pPr>
            <w:r>
              <w:rPr>
                <w:sz w:val="17"/>
              </w:rPr>
              <w:t>2</w:t>
            </w:r>
          </w:p>
        </w:tc>
        <w:tc>
          <w:tcPr>
            <w:tcW w:type="dxa" w:w="624"/>
          </w:tcPr>
          <w:p>
            <w:pPr>
              <w:spacing w:after="20" w:line="240" w:lineRule="auto"/>
            </w:pPr>
            <w:r>
              <w:rPr>
                <w:sz w:val="17"/>
              </w:rPr>
              <w:t>4</w:t>
            </w:r>
          </w:p>
        </w:tc>
        <w:tc>
          <w:tcPr>
            <w:tcW w:type="dxa" w:w="624"/>
          </w:tcPr>
          <w:p>
            <w:pPr>
              <w:spacing w:after="20" w:line="240" w:lineRule="auto"/>
            </w:pPr>
            <w:r>
              <w:rPr>
                <w:sz w:val="17"/>
              </w:rPr>
              <w:t>4</w:t>
            </w:r>
          </w:p>
        </w:tc>
        <w:tc>
          <w:tcPr>
            <w:tcW w:type="dxa" w:w="624"/>
          </w:tcPr>
          <w:p>
            <w:pPr>
              <w:spacing w:after="20" w:line="240" w:lineRule="auto"/>
            </w:pPr>
            <w:r>
              <w:rPr>
                <w:sz w:val="17"/>
              </w:rPr>
              <w:t>5</w:t>
            </w:r>
          </w:p>
        </w:tc>
        <w:tc>
          <w:tcPr>
            <w:tcW w:type="dxa" w:w="3912"/>
          </w:tcPr>
          <w:p>
            <w:pPr>
              <w:spacing w:after="20" w:line="240" w:lineRule="auto"/>
            </w:pPr>
            <w:r>
              <w:rPr>
                <w:sz w:val="17"/>
              </w:rPr>
              <w:t>The customer's SIEM connector per route; route tests</w:t>
            </w:r>
          </w:p>
        </w:tc>
      </w:tr>
      <w:tr>
        <w:trPr>
          <w:cantSplit w:val="true"/>
        </w:trPr>
        <w:tc>
          <w:tcPr>
            <w:tcW w:type="dxa" w:w="624"/>
            <w:shd w:val="clear" w:color="auto" w:fill="F2F5FA"/>
          </w:tcPr>
          <w:p>
            <w:pPr>
              <w:spacing w:after="20" w:line="240" w:lineRule="auto"/>
            </w:pPr>
            <w:r>
              <w:rPr>
                <w:sz w:val="17"/>
              </w:rPr>
              <w:t>D12</w:t>
            </w:r>
          </w:p>
        </w:tc>
        <w:tc>
          <w:tcPr>
            <w:tcW w:type="dxa" w:w="2381"/>
            <w:shd w:val="clear" w:color="auto" w:fill="F2F5FA"/>
          </w:tcPr>
          <w:p>
            <w:pPr>
              <w:spacing w:after="20" w:line="240" w:lineRule="auto"/>
            </w:pPr>
            <w:r>
              <w:rPr>
                <w:sz w:val="17"/>
              </w:rPr>
              <w:t>Environment sequencing and configuration</w:t>
            </w:r>
          </w:p>
        </w:tc>
        <w:tc>
          <w:tcPr>
            <w:tcW w:type="dxa" w:w="624"/>
            <w:shd w:val="clear" w:color="auto" w:fill="F2F5FA"/>
          </w:tcPr>
          <w:p>
            <w:pPr>
              <w:spacing w:after="20" w:line="240" w:lineRule="auto"/>
            </w:pPr>
            <w:r>
              <w:rPr>
                <w:sz w:val="17"/>
              </w:rPr>
              <w:t>3</w:t>
            </w:r>
          </w:p>
        </w:tc>
        <w:tc>
          <w:tcPr>
            <w:tcW w:type="dxa" w:w="624"/>
            <w:shd w:val="clear" w:color="auto" w:fill="F2F5FA"/>
          </w:tcPr>
          <w:p>
            <w:pPr>
              <w:spacing w:after="20" w:line="240" w:lineRule="auto"/>
            </w:pPr>
            <w:r>
              <w:rPr>
                <w:sz w:val="17"/>
              </w:rPr>
              <w:t>4</w:t>
            </w:r>
          </w:p>
        </w:tc>
        <w:tc>
          <w:tcPr>
            <w:tcW w:type="dxa" w:w="624"/>
            <w:shd w:val="clear" w:color="auto" w:fill="F2F5FA"/>
          </w:tcPr>
          <w:p>
            <w:pPr>
              <w:spacing w:after="20" w:line="240" w:lineRule="auto"/>
            </w:pPr>
            <w:r>
              <w:rPr>
                <w:sz w:val="17"/>
              </w:rPr>
              <w:t>4</w:t>
            </w:r>
          </w:p>
        </w:tc>
        <w:tc>
          <w:tcPr>
            <w:tcW w:type="dxa" w:w="624"/>
            <w:shd w:val="clear" w:color="auto" w:fill="F2F5FA"/>
          </w:tcPr>
          <w:p>
            <w:pPr>
              <w:spacing w:after="20" w:line="240" w:lineRule="auto"/>
            </w:pPr>
            <w:r>
              <w:rPr>
                <w:sz w:val="17"/>
              </w:rPr>
              <w:t>5</w:t>
            </w:r>
          </w:p>
        </w:tc>
        <w:tc>
          <w:tcPr>
            <w:tcW w:type="dxa" w:w="3912"/>
            <w:shd w:val="clear" w:color="auto" w:fill="F2F5FA"/>
          </w:tcPr>
          <w:p>
            <w:pPr>
              <w:spacing w:after="20" w:line="240" w:lineRule="auto"/>
            </w:pPr>
            <w:r>
              <w:rPr>
                <w:sz w:val="17"/>
              </w:rPr>
              <w:t>Wave dates set by the programme</w:t>
            </w:r>
          </w:p>
        </w:tc>
      </w:tr>
      <w:tr>
        <w:trPr>
          <w:cantSplit w:val="true"/>
        </w:trPr>
        <w:tc>
          <w:tcPr>
            <w:tcW w:type="dxa" w:w="624"/>
          </w:tcPr>
          <w:p>
            <w:pPr>
              <w:spacing w:after="20" w:line="240" w:lineRule="auto"/>
            </w:pPr>
            <w:r>
              <w:rPr>
                <w:sz w:val="17"/>
              </w:rPr>
              <w:t>D13</w:t>
            </w:r>
          </w:p>
        </w:tc>
        <w:tc>
          <w:tcPr>
            <w:tcW w:type="dxa" w:w="2381"/>
          </w:tcPr>
          <w:p>
            <w:pPr>
              <w:spacing w:after="20" w:line="240" w:lineRule="auto"/>
            </w:pPr>
            <w:r>
              <w:rPr>
                <w:sz w:val="17"/>
              </w:rPr>
              <w:t>Evidence and traceability</w:t>
            </w:r>
          </w:p>
        </w:tc>
        <w:tc>
          <w:tcPr>
            <w:tcW w:type="dxa" w:w="624"/>
          </w:tcPr>
          <w:p>
            <w:pPr>
              <w:spacing w:after="20" w:line="240" w:lineRule="auto"/>
            </w:pPr>
            <w:r>
              <w:rPr>
                <w:sz w:val="17"/>
              </w:rPr>
              <w:t>4</w:t>
            </w:r>
          </w:p>
        </w:tc>
        <w:tc>
          <w:tcPr>
            <w:tcW w:type="dxa" w:w="624"/>
          </w:tcPr>
          <w:p>
            <w:pPr>
              <w:spacing w:after="20" w:line="240" w:lineRule="auto"/>
            </w:pPr>
            <w:r>
              <w:rPr>
                <w:sz w:val="17"/>
              </w:rPr>
              <w:t>5</w:t>
            </w:r>
          </w:p>
        </w:tc>
        <w:tc>
          <w:tcPr>
            <w:tcW w:type="dxa" w:w="624"/>
          </w:tcPr>
          <w:p>
            <w:pPr>
              <w:spacing w:after="20" w:line="240" w:lineRule="auto"/>
            </w:pPr>
            <w:r>
              <w:rPr>
                <w:sz w:val="17"/>
              </w:rPr>
              <w:t>4</w:t>
            </w:r>
          </w:p>
        </w:tc>
        <w:tc>
          <w:tcPr>
            <w:tcW w:type="dxa" w:w="624"/>
          </w:tcPr>
          <w:p>
            <w:pPr>
              <w:spacing w:after="20" w:line="240" w:lineRule="auto"/>
            </w:pPr>
            <w:r>
              <w:rPr>
                <w:sz w:val="17"/>
              </w:rPr>
              <w:t>5</w:t>
            </w:r>
          </w:p>
        </w:tc>
        <w:tc>
          <w:tcPr>
            <w:tcW w:type="dxa" w:w="3912"/>
          </w:tcPr>
          <w:p>
            <w:pPr>
              <w:spacing w:after="20" w:line="240" w:lineRule="auto"/>
            </w:pPr>
            <w:r>
              <w:rPr>
                <w:sz w:val="17"/>
              </w:rPr>
              <w:t>Re-check of vendor pages before each rehearsal</w:t>
            </w:r>
          </w:p>
        </w:tc>
      </w:tr>
      <w:tr>
        <w:trPr>
          <w:cantSplit w:val="true"/>
        </w:trPr>
        <w:tc>
          <w:tcPr>
            <w:tcW w:type="dxa" w:w="624"/>
            <w:shd w:val="clear" w:color="auto" w:fill="F2F5FA"/>
          </w:tcPr>
          <w:p>
            <w:pPr>
              <w:spacing w:after="20" w:line="240" w:lineRule="auto"/>
            </w:pPr>
            <w:r>
              <w:rPr>
                <w:sz w:val="17"/>
              </w:rPr>
              <w:t>D14</w:t>
            </w:r>
          </w:p>
        </w:tc>
        <w:tc>
          <w:tcPr>
            <w:tcW w:type="dxa" w:w="2381"/>
            <w:shd w:val="clear" w:color="auto" w:fill="F2F5FA"/>
          </w:tcPr>
          <w:p>
            <w:pPr>
              <w:spacing w:after="20" w:line="240" w:lineRule="auto"/>
            </w:pPr>
            <w:r>
              <w:rPr>
                <w:sz w:val="17"/>
              </w:rPr>
              <w:t>Readability for the customer</w:t>
            </w:r>
          </w:p>
        </w:tc>
        <w:tc>
          <w:tcPr>
            <w:tcW w:type="dxa" w:w="624"/>
            <w:shd w:val="clear" w:color="auto" w:fill="F2F5FA"/>
          </w:tcPr>
          <w:p>
            <w:pPr>
              <w:spacing w:after="20" w:line="240" w:lineRule="auto"/>
            </w:pPr>
            <w:r>
              <w:rPr>
                <w:sz w:val="17"/>
              </w:rPr>
              <w:t>4</w:t>
            </w:r>
          </w:p>
        </w:tc>
        <w:tc>
          <w:tcPr>
            <w:tcW w:type="dxa" w:w="624"/>
            <w:shd w:val="clear" w:color="auto" w:fill="F2F5FA"/>
          </w:tcPr>
          <w:p>
            <w:pPr>
              <w:spacing w:after="20" w:line="240" w:lineRule="auto"/>
            </w:pPr>
            <w:r>
              <w:rPr>
                <w:sz w:val="17"/>
              </w:rPr>
              <w:t>4</w:t>
            </w:r>
          </w:p>
        </w:tc>
        <w:tc>
          <w:tcPr>
            <w:tcW w:type="dxa" w:w="624"/>
            <w:shd w:val="clear" w:color="auto" w:fill="F2F5FA"/>
          </w:tcPr>
          <w:p>
            <w:pPr>
              <w:spacing w:after="20" w:line="240" w:lineRule="auto"/>
            </w:pPr>
            <w:r>
              <w:rPr>
                <w:sz w:val="17"/>
              </w:rPr>
              <w:t>4</w:t>
            </w:r>
          </w:p>
        </w:tc>
        <w:tc>
          <w:tcPr>
            <w:tcW w:type="dxa" w:w="624"/>
            <w:shd w:val="clear" w:color="auto" w:fill="F2F5FA"/>
          </w:tcPr>
          <w:p>
            <w:pPr>
              <w:spacing w:after="20" w:line="240" w:lineRule="auto"/>
            </w:pPr>
            <w:r>
              <w:rPr>
                <w:sz w:val="17"/>
              </w:rPr>
              <w:t>5</w:t>
            </w:r>
          </w:p>
        </w:tc>
        <w:tc>
          <w:tcPr>
            <w:tcW w:type="dxa" w:w="3912"/>
            <w:shd w:val="clear" w:color="auto" w:fill="F2F5FA"/>
          </w:tcPr>
          <w:p>
            <w:pPr>
              <w:spacing w:after="20" w:line="240" w:lineRule="auto"/>
            </w:pPr>
            <w:r>
              <w:rPr>
                <w:sz w:val="17"/>
              </w:rPr>
              <w:t>None</w:t>
            </w:r>
          </w:p>
        </w:tc>
      </w:tr>
      <w:tr>
        <w:trPr>
          <w:cantSplit w:val="true"/>
        </w:trPr>
        <w:tc>
          <w:tcPr>
            <w:tcW w:type="dxa" w:w="624"/>
          </w:tcPr>
          <w:p>
            <w:pPr>
              <w:spacing w:after="20" w:line="240" w:lineRule="auto"/>
            </w:pPr>
            <w:r>
              <w:rPr>
                <w:sz w:val="17"/>
              </w:rPr>
              <w:t>D15</w:t>
            </w:r>
          </w:p>
        </w:tc>
        <w:tc>
          <w:tcPr>
            <w:tcW w:type="dxa" w:w="2381"/>
          </w:tcPr>
          <w:p>
            <w:pPr>
              <w:spacing w:after="20" w:line="240" w:lineRule="auto"/>
            </w:pPr>
            <w:r>
              <w:rPr>
                <w:sz w:val="17"/>
              </w:rPr>
              <w:t>Data flows and data protection</w:t>
            </w:r>
          </w:p>
        </w:tc>
        <w:tc>
          <w:tcPr>
            <w:tcW w:type="dxa" w:w="624"/>
          </w:tcPr>
          <w:p>
            <w:pPr>
              <w:spacing w:after="20" w:line="240" w:lineRule="auto"/>
            </w:pPr>
            <w:r>
              <w:rPr>
                <w:sz w:val="17"/>
              </w:rPr>
              <w:t>1</w:t>
            </w:r>
          </w:p>
        </w:tc>
        <w:tc>
          <w:tcPr>
            <w:tcW w:type="dxa" w:w="624"/>
          </w:tcPr>
          <w:p>
            <w:pPr>
              <w:spacing w:after="20" w:line="240" w:lineRule="auto"/>
            </w:pPr>
            <w:r>
              <w:rPr>
                <w:sz w:val="17"/>
              </w:rPr>
              <w:t>2</w:t>
            </w:r>
          </w:p>
        </w:tc>
        <w:tc>
          <w:tcPr>
            <w:tcW w:type="dxa" w:w="624"/>
          </w:tcPr>
          <w:p>
            <w:pPr>
              <w:spacing w:after="20" w:line="240" w:lineRule="auto"/>
            </w:pPr>
            <w:r>
              <w:rPr>
                <w:sz w:val="17"/>
              </w:rPr>
              <w:t>4</w:t>
            </w:r>
          </w:p>
        </w:tc>
        <w:tc>
          <w:tcPr>
            <w:tcW w:type="dxa" w:w="624"/>
          </w:tcPr>
          <w:p>
            <w:pPr>
              <w:spacing w:after="20" w:line="240" w:lineRule="auto"/>
            </w:pPr>
            <w:r>
              <w:rPr>
                <w:sz w:val="17"/>
              </w:rPr>
              <w:t>5</w:t>
            </w:r>
          </w:p>
        </w:tc>
        <w:tc>
          <w:tcPr>
            <w:tcW w:type="dxa" w:w="3912"/>
          </w:tcPr>
          <w:p>
            <w:pPr>
              <w:spacing w:after="20" w:line="240" w:lineRule="auto"/>
            </w:pPr>
            <w:r>
              <w:rPr>
                <w:sz w:val="17"/>
              </w:rPr>
              <w:t>Decisions OD-14 to OD-18; data tests DT-01 to DT-12</w:t>
            </w:r>
          </w:p>
        </w:tc>
      </w:tr>
    </w:tbl>
    <w:p>
      <w:pPr>
        <w:spacing w:after="0" w:before="0" w:line="120" w:lineRule="exact"/>
      </w:pPr>
      <w:r>
        <w:rPr>
          <w:sz w:val="12"/>
        </w:rPr>
      </w:r>
    </w:p>
    <w:p>
      <w:r>
        <w:t>Version 2.3 scores 5 on 15 of 15 dimensions. The document is ready for the approvals on its front page. Acceptance of the deployment itself follows the criteria AC-1 to AC-7 in Section 15.8, which need the test results.</w:t>
      </w:r>
    </w:p>
    <w:p>
      <w:pPr>
        <w:pStyle w:val="Heading1"/>
        <w:pageBreakBefore/>
      </w:pPr>
      <w:r>
        <w:t>7  Programme inputs that remain open</w:t>
      </w:r>
    </w:p>
    <w:p>
      <w:pPr>
        <w:pStyle w:val="Caption"/>
        <w:keepNext/>
        <w:spacing w:before="80"/>
      </w:pPr>
      <w:r>
        <w:t>Table 7. Programme inputs open after version 2.3</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3061"/>
        <w:gridCol w:w="1814"/>
        <w:gridCol w:w="1247"/>
        <w:gridCol w:w="3288"/>
      </w:tblGrid>
      <w:tr>
        <w:trPr>
          <w:tblHeader w:val="true"/>
          <w:cantSplit w:val="true"/>
        </w:trPr>
        <w:tc>
          <w:tcPr>
            <w:tcW w:type="dxa" w:w="3061"/>
            <w:shd w:val="clear" w:color="auto" w:fill="1F3864"/>
          </w:tcPr>
          <w:p>
            <w:pPr>
              <w:spacing w:after="0"/>
            </w:pPr>
            <w:r>
              <w:rPr>
                <w:b/>
                <w:color w:val="FFFFFF"/>
                <w:sz w:val="17"/>
              </w:rPr>
              <w:t>Item</w:t>
            </w:r>
          </w:p>
        </w:tc>
        <w:tc>
          <w:tcPr>
            <w:tcW w:type="dxa" w:w="1814"/>
            <w:shd w:val="clear" w:color="auto" w:fill="1F3864"/>
          </w:tcPr>
          <w:p>
            <w:pPr>
              <w:spacing w:after="0"/>
            </w:pPr>
            <w:r>
              <w:rPr>
                <w:b/>
                <w:color w:val="FFFFFF"/>
                <w:sz w:val="17"/>
              </w:rPr>
              <w:t>Owner</w:t>
            </w:r>
          </w:p>
        </w:tc>
        <w:tc>
          <w:tcPr>
            <w:tcW w:type="dxa" w:w="1247"/>
            <w:shd w:val="clear" w:color="auto" w:fill="1F3864"/>
          </w:tcPr>
          <w:p>
            <w:pPr>
              <w:spacing w:after="0"/>
            </w:pPr>
            <w:r>
              <w:rPr>
                <w:b/>
                <w:color w:val="FFFFFF"/>
                <w:sz w:val="17"/>
              </w:rPr>
              <w:t>Needed by</w:t>
            </w:r>
          </w:p>
        </w:tc>
        <w:tc>
          <w:tcPr>
            <w:tcW w:type="dxa" w:w="3288"/>
            <w:shd w:val="clear" w:color="auto" w:fill="1F3864"/>
          </w:tcPr>
          <w:p>
            <w:pPr>
              <w:spacing w:after="0"/>
            </w:pPr>
            <w:r>
              <w:rPr>
                <w:b/>
                <w:color w:val="FFFFFF"/>
                <w:sz w:val="17"/>
              </w:rPr>
              <w:t>Why the document cannot close it</w:t>
            </w:r>
          </w:p>
        </w:tc>
      </w:tr>
      <w:tr>
        <w:trPr>
          <w:cantSplit w:val="true"/>
        </w:trPr>
        <w:tc>
          <w:tcPr>
            <w:tcW w:type="dxa" w:w="3061"/>
          </w:tcPr>
          <w:p>
            <w:pPr>
              <w:spacing w:after="20" w:line="240" w:lineRule="auto"/>
            </w:pPr>
            <w:r>
              <w:rPr>
                <w:sz w:val="17"/>
              </w:rPr>
              <w:t>Pega Support answers GQ-01 to GQ-11</w:t>
            </w:r>
          </w:p>
        </w:tc>
        <w:tc>
          <w:tcPr>
            <w:tcW w:type="dxa" w:w="1814"/>
          </w:tcPr>
          <w:p>
            <w:pPr>
              <w:spacing w:after="20" w:line="240" w:lineRule="auto"/>
            </w:pPr>
            <w:r>
              <w:rPr>
                <w:sz w:val="17"/>
              </w:rPr>
              <w:t>Pega LSA</w:t>
            </w:r>
          </w:p>
        </w:tc>
        <w:tc>
          <w:tcPr>
            <w:tcW w:type="dxa" w:w="1247"/>
          </w:tcPr>
          <w:p>
            <w:pPr>
              <w:spacing w:after="20" w:line="240" w:lineRule="auto"/>
            </w:pPr>
            <w:r>
              <w:rPr>
                <w:sz w:val="17"/>
              </w:rPr>
              <w:t>M2</w:t>
            </w:r>
          </w:p>
        </w:tc>
        <w:tc>
          <w:tcPr>
            <w:tcW w:type="dxa" w:w="3288"/>
          </w:tcPr>
          <w:p>
            <w:pPr>
              <w:spacing w:after="20" w:line="240" w:lineRule="auto"/>
            </w:pPr>
            <w:r>
              <w:rPr>
                <w:sz w:val="17"/>
              </w:rPr>
              <w:t>Only Pega Support can settle them; the plan follows the conservative answer until then</w:t>
            </w:r>
          </w:p>
        </w:tc>
      </w:tr>
      <w:tr>
        <w:trPr>
          <w:cantSplit w:val="true"/>
        </w:trPr>
        <w:tc>
          <w:tcPr>
            <w:tcW w:type="dxa" w:w="3061"/>
            <w:shd w:val="clear" w:color="auto" w:fill="F2F5FA"/>
          </w:tcPr>
          <w:p>
            <w:pPr>
              <w:spacing w:after="20" w:line="240" w:lineRule="auto"/>
            </w:pPr>
            <w:r>
              <w:rPr>
                <w:sz w:val="17"/>
              </w:rPr>
              <w:t>Data decisions OD-14 to OD-18: Confluent keys, data class of PERF and PREPROD, topic retention, broken item retention and indexed properties, AKS encryption at host</w:t>
            </w:r>
          </w:p>
        </w:tc>
        <w:tc>
          <w:tcPr>
            <w:tcW w:type="dxa" w:w="1814"/>
            <w:shd w:val="clear" w:color="auto" w:fill="F2F5FA"/>
          </w:tcPr>
          <w:p>
            <w:pPr>
              <w:spacing w:after="20" w:line="240" w:lineRule="auto"/>
            </w:pPr>
            <w:r>
              <w:rPr>
                <w:sz w:val="17"/>
              </w:rPr>
              <w:t>Security architect, data security officer</w:t>
            </w:r>
          </w:p>
        </w:tc>
        <w:tc>
          <w:tcPr>
            <w:tcW w:type="dxa" w:w="1247"/>
            <w:shd w:val="clear" w:color="auto" w:fill="F2F5FA"/>
          </w:tcPr>
          <w:p>
            <w:pPr>
              <w:spacing w:after="20" w:line="240" w:lineRule="auto"/>
            </w:pPr>
            <w:r>
              <w:rPr>
                <w:sz w:val="17"/>
              </w:rPr>
              <w:t>M2, before clusters and node pools are created</w:t>
            </w:r>
          </w:p>
        </w:tc>
        <w:tc>
          <w:tcPr>
            <w:tcW w:type="dxa" w:w="3288"/>
            <w:shd w:val="clear" w:color="auto" w:fill="F2F5FA"/>
          </w:tcPr>
          <w:p>
            <w:pPr>
              <w:spacing w:after="20" w:line="240" w:lineRule="auto"/>
            </w:pPr>
            <w:r>
              <w:rPr>
                <w:sz w:val="17"/>
              </w:rPr>
              <w:t>Customer key policy and data classification decide them; two cannot be changed after creation</w:t>
            </w:r>
          </w:p>
        </w:tc>
      </w:tr>
      <w:tr>
        <w:trPr>
          <w:cantSplit w:val="true"/>
        </w:trPr>
        <w:tc>
          <w:tcPr>
            <w:tcW w:type="dxa" w:w="3061"/>
          </w:tcPr>
          <w:p>
            <w:pPr>
              <w:spacing w:after="20" w:line="240" w:lineRule="auto"/>
            </w:pPr>
            <w:r>
              <w:rPr>
                <w:sz w:val="17"/>
              </w:rPr>
              <w:t>OpenSearch provider (OD-03)</w:t>
            </w:r>
          </w:p>
        </w:tc>
        <w:tc>
          <w:tcPr>
            <w:tcW w:type="dxa" w:w="1814"/>
          </w:tcPr>
          <w:p>
            <w:pPr>
              <w:spacing w:after="20" w:line="240" w:lineRule="auto"/>
            </w:pPr>
            <w:r>
              <w:rPr>
                <w:sz w:val="17"/>
              </w:rPr>
              <w:t>Enterprise architect</w:t>
            </w:r>
          </w:p>
        </w:tc>
        <w:tc>
          <w:tcPr>
            <w:tcW w:type="dxa" w:w="1247"/>
          </w:tcPr>
          <w:p>
            <w:pPr>
              <w:spacing w:after="20" w:line="240" w:lineRule="auto"/>
            </w:pPr>
            <w:r>
              <w:rPr>
                <w:sz w:val="17"/>
              </w:rPr>
              <w:t>M2</w:t>
            </w:r>
          </w:p>
        </w:tc>
        <w:tc>
          <w:tcPr>
            <w:tcW w:type="dxa" w:w="3288"/>
          </w:tcPr>
          <w:p>
            <w:pPr>
              <w:spacing w:after="20" w:line="240" w:lineRule="auto"/>
            </w:pPr>
            <w:r>
              <w:rPr>
                <w:sz w:val="17"/>
              </w:rPr>
              <w:t>Provider zone awareness, slow-log export and snapshot terms depend on it</w:t>
            </w:r>
          </w:p>
        </w:tc>
      </w:tr>
      <w:tr>
        <w:trPr>
          <w:cantSplit w:val="true"/>
        </w:trPr>
        <w:tc>
          <w:tcPr>
            <w:tcW w:type="dxa" w:w="3061"/>
            <w:shd w:val="clear" w:color="auto" w:fill="F2F5FA"/>
          </w:tcPr>
          <w:p>
            <w:pPr>
              <w:spacing w:after="20" w:line="240" w:lineRule="auto"/>
            </w:pPr>
            <w:r>
              <w:rPr>
                <w:sz w:val="17"/>
              </w:rPr>
              <w:t>DEV tests whose result no document settles: FS-12, FS-24, FS-33, FS-34, IT-06, DT-04, DT-06, DT-07</w:t>
            </w:r>
          </w:p>
        </w:tc>
        <w:tc>
          <w:tcPr>
            <w:tcW w:type="dxa" w:w="1814"/>
            <w:shd w:val="clear" w:color="auto" w:fill="F2F5FA"/>
          </w:tcPr>
          <w:p>
            <w:pPr>
              <w:spacing w:after="20" w:line="240" w:lineRule="auto"/>
            </w:pPr>
            <w:r>
              <w:rPr>
                <w:sz w:val="17"/>
              </w:rPr>
              <w:t>Pega LSA, search and identity teams</w:t>
            </w:r>
          </w:p>
        </w:tc>
        <w:tc>
          <w:tcPr>
            <w:tcW w:type="dxa" w:w="1247"/>
            <w:shd w:val="clear" w:color="auto" w:fill="F2F5FA"/>
          </w:tcPr>
          <w:p>
            <w:pPr>
              <w:spacing w:after="20" w:line="240" w:lineRule="auto"/>
            </w:pPr>
            <w:r>
              <w:rPr>
                <w:sz w:val="17"/>
              </w:rPr>
              <w:t>M2</w:t>
            </w:r>
          </w:p>
        </w:tc>
        <w:tc>
          <w:tcPr>
            <w:tcW w:type="dxa" w:w="3288"/>
            <w:shd w:val="clear" w:color="auto" w:fill="F2F5FA"/>
          </w:tcPr>
          <w:p>
            <w:pPr>
              <w:spacing w:after="20" w:line="240" w:lineRule="auto"/>
            </w:pPr>
            <w:r>
              <w:rPr>
                <w:sz w:val="17"/>
              </w:rPr>
              <w:t>Record the result (Section 15.9); the planned response applies if it is unfavourable</w:t>
            </w:r>
          </w:p>
        </w:tc>
      </w:tr>
      <w:tr>
        <w:trPr>
          <w:cantSplit w:val="true"/>
        </w:trPr>
        <w:tc>
          <w:tcPr>
            <w:tcW w:type="dxa" w:w="3061"/>
          </w:tcPr>
          <w:p>
            <w:pPr>
              <w:spacing w:after="20" w:line="240" w:lineRule="auto"/>
            </w:pPr>
            <w:r>
              <w:rPr>
                <w:sz w:val="17"/>
              </w:rPr>
              <w:t>Measured inputs for the sizing calculator (Section 16.9.1)</w:t>
            </w:r>
          </w:p>
        </w:tc>
        <w:tc>
          <w:tcPr>
            <w:tcW w:type="dxa" w:w="1814"/>
          </w:tcPr>
          <w:p>
            <w:pPr>
              <w:spacing w:after="20" w:line="240" w:lineRule="auto"/>
            </w:pPr>
            <w:r>
              <w:rPr>
                <w:sz w:val="17"/>
              </w:rPr>
              <w:t>Performance lead</w:t>
            </w:r>
          </w:p>
        </w:tc>
        <w:tc>
          <w:tcPr>
            <w:tcW w:type="dxa" w:w="1247"/>
          </w:tcPr>
          <w:p>
            <w:pPr>
              <w:spacing w:after="20" w:line="240" w:lineRule="auto"/>
            </w:pPr>
            <w:r>
              <w:rPr>
                <w:sz w:val="17"/>
              </w:rPr>
              <w:t>M3</w:t>
            </w:r>
          </w:p>
        </w:tc>
        <w:tc>
          <w:tcPr>
            <w:tcW w:type="dxa" w:w="3288"/>
          </w:tcPr>
          <w:p>
            <w:pPr>
              <w:spacing w:after="20" w:line="240" w:lineRule="auto"/>
            </w:pPr>
            <w:r>
              <w:rPr>
                <w:sz w:val="17"/>
              </w:rPr>
              <w:t>All example inputs are illustrative</w:t>
            </w:r>
          </w:p>
        </w:tc>
      </w:tr>
      <w:tr>
        <w:trPr>
          <w:cantSplit w:val="true"/>
        </w:trPr>
        <w:tc>
          <w:tcPr>
            <w:tcW w:type="dxa" w:w="3061"/>
            <w:shd w:val="clear" w:color="auto" w:fill="F2F5FA"/>
          </w:tcPr>
          <w:p>
            <w:pPr>
              <w:spacing w:after="20" w:line="240" w:lineRule="auto"/>
            </w:pPr>
            <w:r>
              <w:rPr>
                <w:sz w:val="17"/>
              </w:rPr>
              <w:t>SIEM connector for each log route (Section 19.2)</w:t>
            </w:r>
          </w:p>
        </w:tc>
        <w:tc>
          <w:tcPr>
            <w:tcW w:type="dxa" w:w="1814"/>
            <w:shd w:val="clear" w:color="auto" w:fill="F2F5FA"/>
          </w:tcPr>
          <w:p>
            <w:pPr>
              <w:spacing w:after="20" w:line="240" w:lineRule="auto"/>
            </w:pPr>
            <w:r>
              <w:rPr>
                <w:sz w:val="17"/>
              </w:rPr>
              <w:t>Security operations</w:t>
            </w:r>
          </w:p>
        </w:tc>
        <w:tc>
          <w:tcPr>
            <w:tcW w:type="dxa" w:w="1247"/>
            <w:shd w:val="clear" w:color="auto" w:fill="F2F5FA"/>
          </w:tcPr>
          <w:p>
            <w:pPr>
              <w:spacing w:after="20" w:line="240" w:lineRule="auto"/>
            </w:pPr>
            <w:r>
              <w:rPr>
                <w:sz w:val="17"/>
              </w:rPr>
              <w:t>M3</w:t>
            </w:r>
          </w:p>
        </w:tc>
        <w:tc>
          <w:tcPr>
            <w:tcW w:type="dxa" w:w="3288"/>
            <w:shd w:val="clear" w:color="auto" w:fill="F2F5FA"/>
          </w:tcPr>
          <w:p>
            <w:pPr>
              <w:spacing w:after="20" w:line="240" w:lineRule="auto"/>
            </w:pPr>
            <w:r>
              <w:rPr>
                <w:sz w:val="17"/>
              </w:rPr>
              <w:t>Depends on the customer's SIEM product</w:t>
            </w:r>
          </w:p>
        </w:tc>
      </w:tr>
      <w:tr>
        <w:trPr>
          <w:cantSplit w:val="true"/>
        </w:trPr>
        <w:tc>
          <w:tcPr>
            <w:tcW w:type="dxa" w:w="3061"/>
          </w:tcPr>
          <w:p>
            <w:pPr>
              <w:spacing w:after="20" w:line="240" w:lineRule="auto"/>
            </w:pPr>
            <w:r>
              <w:rPr>
                <w:sz w:val="17"/>
              </w:rPr>
              <w:t>The customer's Okta token endpoint rate limit</w:t>
            </w:r>
          </w:p>
        </w:tc>
        <w:tc>
          <w:tcPr>
            <w:tcW w:type="dxa" w:w="1814"/>
          </w:tcPr>
          <w:p>
            <w:pPr>
              <w:spacing w:after="20" w:line="240" w:lineRule="auto"/>
            </w:pPr>
            <w:r>
              <w:rPr>
                <w:sz w:val="17"/>
              </w:rPr>
              <w:t>Identity team</w:t>
            </w:r>
          </w:p>
        </w:tc>
        <w:tc>
          <w:tcPr>
            <w:tcW w:type="dxa" w:w="1247"/>
          </w:tcPr>
          <w:p>
            <w:pPr>
              <w:spacing w:after="20" w:line="240" w:lineRule="auto"/>
            </w:pPr>
            <w:r>
              <w:rPr>
                <w:sz w:val="17"/>
              </w:rPr>
              <w:t>M2</w:t>
            </w:r>
          </w:p>
        </w:tc>
        <w:tc>
          <w:tcPr>
            <w:tcW w:type="dxa" w:w="3288"/>
          </w:tcPr>
          <w:p>
            <w:pPr>
              <w:spacing w:after="20" w:line="240" w:lineRule="auto"/>
            </w:pPr>
            <w:r>
              <w:rPr>
                <w:sz w:val="17"/>
              </w:rPr>
              <w:t>Enter in the calculator; compare with the measured token rate</w:t>
            </w:r>
          </w:p>
        </w:tc>
      </w:tr>
      <w:tr>
        <w:trPr>
          <w:cantSplit w:val="true"/>
        </w:trPr>
        <w:tc>
          <w:tcPr>
            <w:tcW w:type="dxa" w:w="3061"/>
            <w:shd w:val="clear" w:color="auto" w:fill="F2F5FA"/>
          </w:tcPr>
          <w:p>
            <w:pPr>
              <w:spacing w:after="20" w:line="240" w:lineRule="auto"/>
            </w:pPr>
            <w:r>
              <w:rPr>
                <w:sz w:val="17"/>
              </w:rPr>
              <w:t>AKS network policy engine and three-zone node pools (AS-08, AS-09)</w:t>
            </w:r>
          </w:p>
        </w:tc>
        <w:tc>
          <w:tcPr>
            <w:tcW w:type="dxa" w:w="1814"/>
            <w:shd w:val="clear" w:color="auto" w:fill="F2F5FA"/>
          </w:tcPr>
          <w:p>
            <w:pPr>
              <w:spacing w:after="20" w:line="240" w:lineRule="auto"/>
            </w:pPr>
            <w:r>
              <w:rPr>
                <w:sz w:val="17"/>
              </w:rPr>
              <w:t>Platform team</w:t>
            </w:r>
          </w:p>
        </w:tc>
        <w:tc>
          <w:tcPr>
            <w:tcW w:type="dxa" w:w="1247"/>
            <w:shd w:val="clear" w:color="auto" w:fill="F2F5FA"/>
          </w:tcPr>
          <w:p>
            <w:pPr>
              <w:spacing w:after="20" w:line="240" w:lineRule="auto"/>
            </w:pPr>
            <w:r>
              <w:rPr>
                <w:sz w:val="17"/>
              </w:rPr>
              <w:t>Before M2</w:t>
            </w:r>
          </w:p>
        </w:tc>
        <w:tc>
          <w:tcPr>
            <w:tcW w:type="dxa" w:w="3288"/>
            <w:shd w:val="clear" w:color="auto" w:fill="F2F5FA"/>
          </w:tcPr>
          <w:p>
            <w:pPr>
              <w:spacing w:after="20" w:line="240" w:lineRule="auto"/>
            </w:pPr>
            <w:r>
              <w:rPr>
                <w:sz w:val="17"/>
              </w:rPr>
              <w:t>Both are fixed when the cluster or pool is created</w:t>
            </w:r>
          </w:p>
        </w:tc>
      </w:tr>
      <w:tr>
        <w:trPr>
          <w:cantSplit w:val="true"/>
        </w:trPr>
        <w:tc>
          <w:tcPr>
            <w:tcW w:type="dxa" w:w="3061"/>
          </w:tcPr>
          <w:p>
            <w:pPr>
              <w:spacing w:after="20" w:line="240" w:lineRule="auto"/>
            </w:pPr>
            <w:r>
              <w:rPr>
                <w:sz w:val="17"/>
              </w:rPr>
              <w:t>Permission to reuse third-party images</w:t>
            </w:r>
          </w:p>
        </w:tc>
        <w:tc>
          <w:tcPr>
            <w:tcW w:type="dxa" w:w="1814"/>
          </w:tcPr>
          <w:p>
            <w:pPr>
              <w:spacing w:after="20" w:line="240" w:lineRule="auto"/>
            </w:pPr>
            <w:r>
              <w:rPr>
                <w:sz w:val="17"/>
              </w:rPr>
              <w:t>Customer legal</w:t>
            </w:r>
          </w:p>
        </w:tc>
        <w:tc>
          <w:tcPr>
            <w:tcW w:type="dxa" w:w="1247"/>
          </w:tcPr>
          <w:p>
            <w:pPr>
              <w:spacing w:after="20" w:line="240" w:lineRule="auto"/>
            </w:pPr>
            <w:r>
              <w:rPr>
                <w:sz w:val="17"/>
              </w:rPr>
              <w:t>Before external sharing</w:t>
            </w:r>
          </w:p>
        </w:tc>
        <w:tc>
          <w:tcPr>
            <w:tcW w:type="dxa" w:w="3288"/>
          </w:tcPr>
          <w:p>
            <w:pPr>
              <w:spacing w:after="20" w:line="240" w:lineRule="auto"/>
            </w:pPr>
            <w:r>
              <w:rPr>
                <w:sz w:val="17"/>
              </w:rPr>
              <w:t>Appendix G of the runbook</w:t>
            </w:r>
          </w:p>
        </w:tc>
      </w:tr>
    </w:tbl>
    <w:p>
      <w:pPr>
        <w:spacing w:after="0" w:before="0" w:line="120" w:lineRule="exact"/>
      </w:pPr>
      <w:r>
        <w:rPr>
          <w:sz w:val="12"/>
        </w:rPr>
      </w:r>
    </w:p>
    <w:p>
      <w:pPr>
        <w:pStyle w:val="Heading1"/>
        <w:pageBreakBefore/>
      </w:pPr>
      <w:r>
        <w:t>8  How to repeat the checks</w:t>
      </w:r>
    </w:p>
    <w:p>
      <w:pPr>
        <w:tabs>
          <w:tab w:pos="425" w:val="left"/>
        </w:tabs>
        <w:spacing w:after="60"/>
        <w:ind w:left="425" w:hanging="425"/>
      </w:pPr>
      <w:r>
        <w:rPr>
          <w:b/>
        </w:rPr>
        <w:t>1.</w:t>
        <w:tab/>
      </w:r>
      <w:r>
        <w:t xml:space="preserve">From the </w:t>
      </w:r>
      <w:r>
        <w:rPr>
          <w:rFonts w:ascii="Consolas" w:hAnsi="Consolas"/>
          <w:color w:val="1F3864"/>
          <w:sz w:val="19"/>
        </w:rPr>
        <w:t>runbook</w:t>
      </w:r>
      <w:r>
        <w:t xml:space="preserve"> folder, generate the values files and render each with </w:t>
      </w:r>
      <w:r>
        <w:rPr>
          <w:rFonts w:ascii="Consolas" w:hAnsi="Consolas"/>
          <w:color w:val="1F3864"/>
          <w:sz w:val="19"/>
        </w:rPr>
        <w:t>helm template</w:t>
      </w:r>
      <w:r>
        <w:t xml:space="preserve"> against charts 4.13.0. Every render must complete without errors.</w:t>
      </w:r>
    </w:p>
    <w:p>
      <w:pPr>
        <w:tabs>
          <w:tab w:pos="425" w:val="left"/>
        </w:tabs>
        <w:spacing w:after="60"/>
        <w:ind w:left="425" w:hanging="425"/>
      </w:pPr>
      <w:r>
        <w:rPr>
          <w:b/>
        </w:rPr>
        <w:t>2.</w:t>
        <w:tab/>
      </w:r>
      <w:r>
        <w:t xml:space="preserve">In the rendered output, check: SRS URL ends in </w:t>
      </w:r>
      <w:r>
        <w:rPr>
          <w:rFonts w:ascii="Consolas" w:hAnsi="Consolas"/>
          <w:color w:val="1F3864"/>
          <w:sz w:val="19"/>
        </w:rPr>
        <w:t>:8443</w:t>
      </w:r>
      <w:r>
        <w:t xml:space="preserve">; no SRS NetworkPolicy from the chart; </w:t>
      </w:r>
      <w:r>
        <w:rPr>
          <w:rFonts w:ascii="Consolas" w:hAnsi="Consolas"/>
          <w:color w:val="1F3864"/>
          <w:sz w:val="19"/>
        </w:rPr>
        <w:t>topologySpreadConstraints</w:t>
      </w:r>
      <w:r>
        <w:t xml:space="preserve"> on both tiers; </w:t>
      </w:r>
      <w:r>
        <w:rPr>
          <w:rFonts w:ascii="Consolas" w:hAnsi="Consolas"/>
          <w:color w:val="1F3864"/>
          <w:sz w:val="19"/>
        </w:rPr>
        <w:t>JAVA_OPTS</w:t>
      </w:r>
      <w:r>
        <w:t xml:space="preserve"> present; SRS replicas 2 or 3.</w:t>
      </w:r>
    </w:p>
    <w:p>
      <w:pPr>
        <w:tabs>
          <w:tab w:pos="425" w:val="left"/>
        </w:tabs>
        <w:spacing w:after="60"/>
        <w:ind w:left="425" w:hanging="425"/>
      </w:pPr>
      <w:r>
        <w:rPr>
          <w:b/>
        </w:rPr>
        <w:t>3.</w:t>
        <w:tab/>
      </w:r>
      <w:r>
        <w:t xml:space="preserve">Run </w:t>
      </w:r>
      <w:r>
        <w:rPr>
          <w:rFonts w:ascii="Consolas" w:hAnsi="Consolas"/>
          <w:color w:val="1F3864"/>
          <w:sz w:val="19"/>
        </w:rPr>
        <w:t>python3 build_doc.py</w:t>
      </w:r>
      <w:r>
        <w:t xml:space="preserve"> and </w:t>
      </w:r>
      <w:r>
        <w:rPr>
          <w:rFonts w:ascii="Consolas" w:hAnsi="Consolas"/>
          <w:color w:val="1F3864"/>
          <w:sz w:val="19"/>
        </w:rPr>
        <w:t>python3 qa_check.py</w:t>
      </w:r>
      <w:r>
        <w:t>. The build must report no missing entries and no uncited references; the QA script must report no missing sections and no wording issues.</w:t>
      </w:r>
    </w:p>
    <w:p>
      <w:pPr>
        <w:tabs>
          <w:tab w:pos="425" w:val="left"/>
        </w:tabs>
        <w:spacing w:after="60"/>
        <w:ind w:left="425" w:hanging="425"/>
      </w:pPr>
      <w:r>
        <w:rPr>
          <w:b/>
        </w:rPr>
        <w:t>4.</w:t>
        <w:tab/>
      </w:r>
      <w:r>
        <w:t>Open the sizing calculator, replace the example inputs with the measurements in Section 16.9.1, and compare the outputs with Section 16.9 of the runbook.</w:t>
      </w:r>
    </w:p>
    <w:p>
      <w:pPr>
        <w:tabs>
          <w:tab w:pos="425" w:val="left"/>
        </w:tabs>
        <w:spacing w:after="60"/>
        <w:ind w:left="425" w:hanging="425"/>
      </w:pPr>
      <w:r>
        <w:rPr>
          <w:b/>
        </w:rPr>
        <w:t>5.</w:t>
        <w:tab/>
      </w:r>
      <w:r>
        <w:t>Before each rehearsal, recheck the vendor pages in the runbook's Section 3 and Appendix F.</w:t>
      </w:r>
    </w:p>
    <w:sectPr w:rsidR="00FC693F" w:rsidRPr="0006063C" w:rsidSect="00034616">
      <w:headerReference w:type="default" r:id="rId9"/>
      <w:footerReference w:type="default" r:id="rId10"/>
      <w:pgSz w:w="11906" w:h="16838"/>
      <w:pgMar w:top="1304" w:right="1247" w:bottom="1134" w:left="1247"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7"/>
      </w:rPr>
      <w:t xml:space="preserve">Customer Confidential    |    Page </w:t>
    </w:r>
    <w:r>
      <w:rPr>
        <w:color w:val="595959"/>
        <w:sz w:val="17"/>
      </w:rPr>
      <w:fldChar w:fldCharType="begin"/>
    </w:r>
    <w:r>
      <w:rPr>
        <w:color w:val="595959"/>
        <w:sz w:val="17"/>
      </w:rPr>
      <w:instrText xml:space="preserve">PAGE</w:instrText>
    </w:r>
    <w:r>
      <w:rPr>
        <w:color w:val="595959"/>
        <w:sz w:val="17"/>
      </w:rPr>
      <w:fldChar w:fldCharType="separate"/>
    </w:r>
    <w:r>
      <w:rPr>
        <w:color w:val="595959"/>
        <w:sz w:val="17"/>
      </w:rPr>
      <w:t>1</w:t>
    </w:r>
    <w:r>
      <w:rPr>
        <w:color w:val="595959"/>
        <w:sz w:val="17"/>
      </w:rPr>
      <w:fldChar w:fldCharType="end"/>
    </w:r>
    <w:r>
      <w:rPr>
        <w:color w:val="595959"/>
        <w:sz w:val="17"/>
      </w:rPr>
      <w:t xml:space="preserve"> of </w:t>
    </w:r>
    <w:r>
      <w:rPr>
        <w:color w:val="595959"/>
        <w:sz w:val="17"/>
      </w:rPr>
      <w:fldChar w:fldCharType="begin"/>
    </w:r>
    <w:r>
      <w:rPr>
        <w:color w:val="595959"/>
        <w:sz w:val="17"/>
      </w:rPr>
      <w:instrText xml:space="preserve">NUMPAGES</w:instrText>
    </w:r>
    <w:r>
      <w:rPr>
        <w:color w:val="595959"/>
        <w:sz w:val="17"/>
      </w:rPr>
      <w:fldChar w:fldCharType="separate"/>
    </w:r>
    <w:r>
      <w:rPr>
        <w:color w:val="595959"/>
        <w:sz w:val="17"/>
      </w:rPr>
      <w:t>1</w:t>
    </w:r>
    <w:r>
      <w:rPr>
        <w:color w:val="595959"/>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A6A6A6"/>
      </w:pBdr>
    </w:pPr>
    <w:r/>
    <w:r>
      <w:rPr>
        <w:color w:val="595959"/>
        <w:sz w:val="17"/>
      </w:rPr>
      <w:t>Expert review | Pega 26.1.1 Kafka and Search Runbook v2.0 to v2.3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 w:eastAsiaTheme="majorEastAsia" w:hAnsiTheme="majorHAnsi" w:cstheme="majorBidi" w:ascii="Calibri" w:hAnsi="Calibri"/>
      <w:b/>
      <w:bCs/>
      <w:i w:val="0"/>
      <w:color w:val="1F3864"/>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 w:eastAsiaTheme="majorEastAsia" w:hAnsiTheme="majorHAnsi" w:cstheme="majorBidi" w:ascii="Calibri" w:hAnsi="Calibri"/>
      <w:b/>
      <w:bCs/>
      <w:i w:val="0"/>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 w:eastAsiaTheme="majorEastAsia" w:hAnsiTheme="majorHAnsi" w:cstheme="majorBidi" w:ascii="Calibri" w:hAnsi="Calibri"/>
      <w:b/>
      <w:bCs/>
      <w:i w:val="0"/>
      <w:color w:val="1F386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spacing w:after="60"/>
      <w:contextualSpacing/>
    </w:pPr>
    <w:rPr>
      <w:rFonts w:ascii="Calibri" w:hAnsi="Calibri"/>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val="0"/>
      <w:color w:val="1F3864"/>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basedOn w:val="Normal"/>
    <w:pPr>
      <w:keepNext/>
      <w:spacing w:after="200"/>
    </w:pPr>
    <w:rPr>
      <w:b/>
      <w:color w:val="1F3864"/>
      <w:sz w:val="32"/>
    </w:rPr>
  </w:style>
  <w:style w:type="paragraph" w:customStyle="1" w:styleId="TOC1">
    <w:name w:val="TOC 1"/>
    <w:basedOn w:val="Normal"/>
    <w:pPr>
      <w:tabs>
        <w:tab w:pos="9071" w:val="right" w:leader="dot"/>
      </w:tabs>
      <w:spacing w:after="60" w:before="100"/>
      <w:ind w:left="0"/>
    </w:pPr>
    <w:rPr>
      <w:b/>
      <w:sz w:val="21"/>
    </w:rPr>
  </w:style>
  <w:style w:type="paragraph" w:customStyle="1" w:styleId="TOC2">
    <w:name w:val="TOC 2"/>
    <w:basedOn w:val="Normal"/>
    <w:pPr>
      <w:tabs>
        <w:tab w:pos="9071" w:val="right" w:leader="dot"/>
      </w:tabs>
      <w:spacing w:after="40" w:before="0"/>
      <w:ind w:left="340"/>
    </w:pPr>
    <w:rPr>
      <w:b w:val="0"/>
      <w:sz w:val="20"/>
    </w:rPr>
  </w:style>
  <w:style w:type="paragraph" w:customStyle="1" w:styleId="TOC3">
    <w:name w:val="TOC 3"/>
    <w:basedOn w:val="Normal"/>
    <w:pPr>
      <w:tabs>
        <w:tab w:pos="9071" w:val="right" w:leader="dot"/>
      </w:tabs>
      <w:spacing w:after="40" w:before="0"/>
      <w:ind w:left="680"/>
    </w:pPr>
    <w:rPr>
      <w:b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