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rPr>
          <w:b/>
          <w:color w:val="595959"/>
          <w:sz w:val="22"/>
        </w:rPr>
        <w:t>INDEPENDENT REVIEW</w:t>
      </w:r>
    </w:p>
    <w:p>
      <w:r>
        <w:rPr>
          <w:b/>
          <w:color w:val="1F3864"/>
          <w:sz w:val="48"/>
        </w:rPr>
        <w:t>Expert review of the Pega 26.1.1 Kafka and Search Runbook</w:t>
      </w:r>
    </w:p>
    <w:p>
      <w:r>
        <w:rPr>
          <w:b w:val="0"/>
          <w:color w:val="1F3864"/>
          <w:sz w:val="28"/>
        </w:rPr>
        <w:t>Version 2.0 reviewed; corrections issued as version 2.1</w:t>
      </w:r>
    </w:p>
    <w:p>
      <w:r>
        <w:rPr>
          <w:b w:val="0"/>
          <w:color w:val="595959"/>
          <w:sz w:val="22"/>
        </w:rPr>
        <w:t>2 October 2026  |  Customer Confidential</w:t>
      </w:r>
    </w:p>
    <w:p>
      <w:pPr>
        <w:pStyle w:val="Heading1"/>
        <w:pageBreakBefore/>
      </w:pPr>
      <w:r>
        <w:t>1  Summary</w:t>
      </w:r>
    </w:p>
    <w:p>
      <w:r>
        <w:t xml:space="preserve">Version 2.0 of the runbook was reviewed against fourteen dimensions, from vendor alignment to sizing and observability. The review found 24 issues. Three were critical: the SRS Helm values in version 2.0 would not have installed, Pega would have called SRS on the wrong port, and the SRS chart's own network policy would have blocked SRS from reaching OpenSearch and Okta. All three were found by rendering the values files with </w:t>
      </w:r>
      <w:r>
        <w:rPr>
          <w:rFonts w:ascii="Consolas" w:hAnsi="Consolas"/>
          <w:color w:val="1F3864"/>
          <w:sz w:val="19"/>
        </w:rPr>
        <w:t>helm template</w:t>
      </w:r>
      <w:r>
        <w:t xml:space="preserve"> against charts 4.13.0, which reading the README alone did not reveal.</w:t>
      </w:r>
    </w:p>
    <w:p>
      <w:r>
        <w:t>The other findings were gaps rather than errors: availability zone design, Confluent's enforced connection and request limits, the installer's possible need for Kafka, Okta key rotation and rate limits, OpenSearch sizing formulas, performance testing, sizing and observability. Version 2.1 corrects every finding. Seven items remain open because only the customer, Pega Support or a DEV test can close them (Section 6).</w:t>
      </w:r>
    </w:p>
    <w:p>
      <w:pPr>
        <w:pStyle w:val="Caption"/>
        <w:keepNext/>
        <w:spacing w:before="80"/>
      </w:pPr>
      <w:r>
        <w:t>Table 1. Findings by severity</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1360"/>
        <w:gridCol w:w="6577"/>
        <w:gridCol w:w="1474"/>
      </w:tblGrid>
      <w:tr>
        <w:trPr>
          <w:tblHeader w:val="true"/>
          <w:cantSplit w:val="true"/>
        </w:trPr>
        <w:tc>
          <w:tcPr>
            <w:tcW w:type="dxa" w:w="1361"/>
            <w:shd w:val="clear" w:color="auto" w:fill="1F3864"/>
          </w:tcPr>
          <w:p>
            <w:pPr>
              <w:spacing w:after="0"/>
            </w:pPr>
            <w:r>
              <w:rPr>
                <w:b/>
                <w:color w:val="FFFFFF"/>
                <w:sz w:val="19"/>
              </w:rPr>
              <w:t>Severity</w:t>
            </w:r>
          </w:p>
        </w:tc>
        <w:tc>
          <w:tcPr>
            <w:tcW w:type="dxa" w:w="6576"/>
            <w:shd w:val="clear" w:color="auto" w:fill="1F3864"/>
          </w:tcPr>
          <w:p>
            <w:pPr>
              <w:spacing w:after="0"/>
            </w:pPr>
            <w:r>
              <w:rPr>
                <w:b/>
                <w:color w:val="FFFFFF"/>
                <w:sz w:val="19"/>
              </w:rPr>
              <w:t>Meaning</w:t>
            </w:r>
          </w:p>
        </w:tc>
        <w:tc>
          <w:tcPr>
            <w:tcW w:type="dxa" w:w="1474"/>
            <w:shd w:val="clear" w:color="auto" w:fill="1F3864"/>
          </w:tcPr>
          <w:p>
            <w:pPr>
              <w:spacing w:after="0"/>
            </w:pPr>
            <w:r>
              <w:rPr>
                <w:b/>
                <w:color w:val="FFFFFF"/>
                <w:sz w:val="19"/>
              </w:rPr>
              <w:t>Count</w:t>
            </w:r>
          </w:p>
        </w:tc>
      </w:tr>
      <w:tr>
        <w:trPr>
          <w:cantSplit w:val="true"/>
        </w:trPr>
        <w:tc>
          <w:tcPr>
            <w:tcW w:type="dxa" w:w="1361"/>
          </w:tcPr>
          <w:p>
            <w:pPr>
              <w:spacing w:after="20" w:line="240" w:lineRule="auto"/>
            </w:pPr>
            <w:r>
              <w:rPr>
                <w:sz w:val="19"/>
              </w:rPr>
              <w:t>Critical</w:t>
            </w:r>
          </w:p>
        </w:tc>
        <w:tc>
          <w:tcPr>
            <w:tcW w:type="dxa" w:w="6576"/>
          </w:tcPr>
          <w:p>
            <w:pPr>
              <w:spacing w:after="20" w:line="240" w:lineRule="auto"/>
            </w:pPr>
            <w:r>
              <w:rPr>
                <w:sz w:val="19"/>
              </w:rPr>
              <w:t>The deployment would fail or be insecure as written</w:t>
            </w:r>
          </w:p>
        </w:tc>
        <w:tc>
          <w:tcPr>
            <w:tcW w:type="dxa" w:w="1474"/>
          </w:tcPr>
          <w:p>
            <w:pPr>
              <w:spacing w:after="20" w:line="240" w:lineRule="auto"/>
            </w:pPr>
            <w:r>
              <w:rPr>
                <w:sz w:val="19"/>
              </w:rPr>
              <w:t>3</w:t>
            </w:r>
          </w:p>
        </w:tc>
      </w:tr>
      <w:tr>
        <w:trPr>
          <w:cantSplit w:val="true"/>
        </w:trPr>
        <w:tc>
          <w:tcPr>
            <w:tcW w:type="dxa" w:w="1361"/>
            <w:shd w:val="clear" w:color="auto" w:fill="F2F5FA"/>
          </w:tcPr>
          <w:p>
            <w:pPr>
              <w:spacing w:after="20" w:line="240" w:lineRule="auto"/>
            </w:pPr>
            <w:r>
              <w:rPr>
                <w:sz w:val="19"/>
              </w:rPr>
              <w:t>High</w:t>
            </w:r>
          </w:p>
        </w:tc>
        <w:tc>
          <w:tcPr>
            <w:tcW w:type="dxa" w:w="6576"/>
            <w:shd w:val="clear" w:color="auto" w:fill="F2F5FA"/>
          </w:tcPr>
          <w:p>
            <w:pPr>
              <w:spacing w:after="20" w:line="240" w:lineRule="auto"/>
            </w:pPr>
            <w:r>
              <w:rPr>
                <w:sz w:val="19"/>
              </w:rPr>
              <w:t>A likely production incident, failed test or wrong size</w:t>
            </w:r>
          </w:p>
        </w:tc>
        <w:tc>
          <w:tcPr>
            <w:tcW w:type="dxa" w:w="1474"/>
            <w:shd w:val="clear" w:color="auto" w:fill="F2F5FA"/>
          </w:tcPr>
          <w:p>
            <w:pPr>
              <w:spacing w:after="20" w:line="240" w:lineRule="auto"/>
            </w:pPr>
            <w:r>
              <w:rPr>
                <w:sz w:val="19"/>
              </w:rPr>
              <w:t>9</w:t>
            </w:r>
          </w:p>
        </w:tc>
      </w:tr>
      <w:tr>
        <w:trPr>
          <w:cantSplit w:val="true"/>
        </w:trPr>
        <w:tc>
          <w:tcPr>
            <w:tcW w:type="dxa" w:w="1361"/>
          </w:tcPr>
          <w:p>
            <w:pPr>
              <w:spacing w:after="20" w:line="240" w:lineRule="auto"/>
            </w:pPr>
            <w:r>
              <w:rPr>
                <w:sz w:val="19"/>
              </w:rPr>
              <w:t>Medium</w:t>
            </w:r>
          </w:p>
        </w:tc>
        <w:tc>
          <w:tcPr>
            <w:tcW w:type="dxa" w:w="6576"/>
          </w:tcPr>
          <w:p>
            <w:pPr>
              <w:spacing w:after="20" w:line="240" w:lineRule="auto"/>
            </w:pPr>
            <w:r>
              <w:rPr>
                <w:sz w:val="19"/>
              </w:rPr>
              <w:t>A gap that would cost time or cause a defect in testing</w:t>
            </w:r>
          </w:p>
        </w:tc>
        <w:tc>
          <w:tcPr>
            <w:tcW w:type="dxa" w:w="1474"/>
          </w:tcPr>
          <w:p>
            <w:pPr>
              <w:spacing w:after="20" w:line="240" w:lineRule="auto"/>
            </w:pPr>
            <w:r>
              <w:rPr>
                <w:sz w:val="19"/>
              </w:rPr>
              <w:t>10</w:t>
            </w:r>
          </w:p>
        </w:tc>
      </w:tr>
      <w:tr>
        <w:trPr>
          <w:cantSplit w:val="true"/>
        </w:trPr>
        <w:tc>
          <w:tcPr>
            <w:tcW w:type="dxa" w:w="1361"/>
            <w:shd w:val="clear" w:color="auto" w:fill="F2F5FA"/>
          </w:tcPr>
          <w:p>
            <w:pPr>
              <w:spacing w:after="20" w:line="240" w:lineRule="auto"/>
            </w:pPr>
            <w:r>
              <w:rPr>
                <w:sz w:val="19"/>
              </w:rPr>
              <w:t>Low</w:t>
            </w:r>
          </w:p>
        </w:tc>
        <w:tc>
          <w:tcPr>
            <w:tcW w:type="dxa" w:w="6576"/>
            <w:shd w:val="clear" w:color="auto" w:fill="F2F5FA"/>
          </w:tcPr>
          <w:p>
            <w:pPr>
              <w:spacing w:after="20" w:line="240" w:lineRule="auto"/>
            </w:pPr>
            <w:r>
              <w:rPr>
                <w:sz w:val="19"/>
              </w:rPr>
              <w:t>A small inaccuracy or inconvenience</w:t>
            </w:r>
          </w:p>
        </w:tc>
        <w:tc>
          <w:tcPr>
            <w:tcW w:type="dxa" w:w="1474"/>
            <w:shd w:val="clear" w:color="auto" w:fill="F2F5FA"/>
          </w:tcPr>
          <w:p>
            <w:pPr>
              <w:spacing w:after="20" w:line="240" w:lineRule="auto"/>
            </w:pPr>
            <w:r>
              <w:rPr>
                <w:sz w:val="19"/>
              </w:rPr>
              <w:t>2</w:t>
            </w:r>
          </w:p>
        </w:tc>
      </w:tr>
    </w:tbl>
    <w:p>
      <w:pPr>
        <w:spacing w:after="0" w:before="0" w:line="120" w:lineRule="exact"/>
      </w:pPr>
      <w:r>
        <w:rPr>
          <w:sz w:val="12"/>
        </w:rPr>
      </w:r>
    </w:p>
    <w:p>
      <w:pPr>
        <w:pStyle w:val="Heading1"/>
        <w:pageBreakBefore/>
      </w:pPr>
      <w:r>
        <w:t>2  Method</w:t>
      </w:r>
    </w:p>
    <w:p>
      <w:r>
        <w:t>The review was done the way an implementation lead checks a runbook before a first build: by running what can be run, and checking every other statement against the vendor's current page.</w:t>
      </w:r>
    </w:p>
    <w:p>
      <w:pPr>
        <w:pStyle w:val="ListBullet"/>
      </w:pPr>
      <w:r>
        <w:t xml:space="preserve">Rendered every Pega and backingservices values file with </w:t>
      </w:r>
      <w:r>
        <w:rPr>
          <w:rFonts w:ascii="Consolas" w:hAnsi="Consolas"/>
          <w:color w:val="1F3864"/>
          <w:sz w:val="19"/>
        </w:rPr>
        <w:t>helm template</w:t>
      </w:r>
      <w:r>
        <w:t xml:space="preserve"> against charts 4.13.0 and read the generated Deployments, Services, Jobs, HPAs, ConfigMaps and NetworkPolicies.</w:t>
      </w:r>
    </w:p>
    <w:p>
      <w:pPr>
        <w:pStyle w:val="ListBullet"/>
      </w:pPr>
      <w:r>
        <w:t xml:space="preserve">Read the chart templates where the README is silent, for example the tier template for </w:t>
      </w:r>
      <w:r>
        <w:rPr>
          <w:rFonts w:ascii="Consolas" w:hAnsi="Consolas"/>
          <w:color w:val="1F3864"/>
          <w:sz w:val="19"/>
        </w:rPr>
        <w:t>topologySpreadConstraints</w:t>
      </w:r>
      <w:r>
        <w:t xml:space="preserve"> and the SRS network policy template </w:t>
      </w:r>
      <w:r>
        <w:rPr>
          <w:color w:val="2E75B6"/>
        </w:rPr>
        <w:t>[R61, R62]</w:t>
      </w:r>
      <w:r>
        <w:t>.</w:t>
      </w:r>
    </w:p>
    <w:p>
      <w:pPr>
        <w:pStyle w:val="ListBullet"/>
      </w:pPr>
      <w:r>
        <w:t>Rechecked Confluent, OpenSearch, Okta, Azure and Pega pages for limits, conditions and defaults, and added fifteen references (R49 to R63 in the runbook).</w:t>
      </w:r>
    </w:p>
    <w:p>
      <w:pPr>
        <w:pStyle w:val="ListBullet"/>
      </w:pPr>
      <w:r>
        <w:t>Recalculated the sizing calculator in LibreOffice Calc and compared every output with the Python functions that produce the runbook's worked example.</w:t>
      </w:r>
    </w:p>
    <w:p>
      <w:pPr>
        <w:pStyle w:val="ListBullet"/>
      </w:pPr>
      <w:r>
        <w:t>Ran the runbook's QA script (cross-references, decision IDs, wording) and an ID check over the built document: every scenario, test, step and command ID used is defined.</w:t>
      </w:r>
    </w:p>
    <w:p>
      <w:pPr>
        <w:pStyle w:val="ListBullet"/>
      </w:pPr>
      <w:r>
        <w:t>Reviewed the rebuilt PDF page by page for the changed sections.</w:t>
      </w:r>
    </w:p>
    <w:p>
      <w:pPr>
        <w:pStyle w:val="Heading1"/>
        <w:pageBreakBefore/>
      </w:pPr>
      <w:r>
        <w:t>3  Evaluation dimensions</w:t>
      </w:r>
    </w:p>
    <w:p>
      <w:pPr>
        <w:pStyle w:val="Caption"/>
        <w:keepNext/>
        <w:spacing w:before="80"/>
      </w:pPr>
      <w:r>
        <w:t>Table 2. Evaluation dimensions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623"/>
        <w:gridCol w:w="1927"/>
        <w:gridCol w:w="3969"/>
        <w:gridCol w:w="2891"/>
      </w:tblGrid>
      <w:tr>
        <w:trPr>
          <w:tblHeader w:val="true"/>
          <w:cantSplit w:val="true"/>
        </w:trPr>
        <w:tc>
          <w:tcPr>
            <w:tcW w:type="dxa" w:w="624"/>
            <w:shd w:val="clear" w:color="auto" w:fill="1F3864"/>
          </w:tcPr>
          <w:p>
            <w:pPr>
              <w:spacing w:after="0"/>
            </w:pPr>
            <w:r>
              <w:rPr>
                <w:b/>
                <w:color w:val="FFFFFF"/>
                <w:sz w:val="17"/>
              </w:rPr>
              <w:t>ID</w:t>
            </w:r>
          </w:p>
        </w:tc>
        <w:tc>
          <w:tcPr>
            <w:tcW w:type="dxa" w:w="1928"/>
            <w:shd w:val="clear" w:color="auto" w:fill="1F3864"/>
          </w:tcPr>
          <w:p>
            <w:pPr>
              <w:spacing w:after="0"/>
            </w:pPr>
            <w:r>
              <w:rPr>
                <w:b/>
                <w:color w:val="FFFFFF"/>
                <w:sz w:val="17"/>
              </w:rPr>
              <w:t>Dimension</w:t>
            </w:r>
          </w:p>
        </w:tc>
        <w:tc>
          <w:tcPr>
            <w:tcW w:type="dxa" w:w="3969"/>
            <w:shd w:val="clear" w:color="auto" w:fill="1F3864"/>
          </w:tcPr>
          <w:p>
            <w:pPr>
              <w:spacing w:after="0"/>
            </w:pPr>
            <w:r>
              <w:rPr>
                <w:b/>
                <w:color w:val="FFFFFF"/>
                <w:sz w:val="17"/>
              </w:rPr>
              <w:t>What was checked</w:t>
            </w:r>
          </w:p>
        </w:tc>
        <w:tc>
          <w:tcPr>
            <w:tcW w:type="dxa" w:w="2891"/>
            <w:shd w:val="clear" w:color="auto" w:fill="1F3864"/>
          </w:tcPr>
          <w:p>
            <w:pPr>
              <w:spacing w:after="0"/>
            </w:pPr>
            <w:r>
              <w:rPr>
                <w:b/>
                <w:color w:val="FFFFFF"/>
                <w:sz w:val="17"/>
              </w:rPr>
              <w:t>Evidence used</w:t>
            </w:r>
          </w:p>
        </w:tc>
      </w:tr>
      <w:tr>
        <w:trPr>
          <w:cantSplit w:val="true"/>
        </w:trPr>
        <w:tc>
          <w:tcPr>
            <w:tcW w:type="dxa" w:w="624"/>
          </w:tcPr>
          <w:p>
            <w:pPr>
              <w:spacing w:after="20" w:line="240" w:lineRule="auto"/>
            </w:pPr>
            <w:r>
              <w:rPr>
                <w:sz w:val="17"/>
              </w:rPr>
              <w:t>D1</w:t>
            </w:r>
          </w:p>
        </w:tc>
        <w:tc>
          <w:tcPr>
            <w:tcW w:type="dxa" w:w="1928"/>
          </w:tcPr>
          <w:p>
            <w:pPr>
              <w:spacing w:after="20" w:line="240" w:lineRule="auto"/>
            </w:pPr>
            <w:r>
              <w:rPr>
                <w:sz w:val="17"/>
              </w:rPr>
              <w:t>Alignment with Pega</w:t>
            </w:r>
          </w:p>
        </w:tc>
        <w:tc>
          <w:tcPr>
            <w:tcW w:type="dxa" w:w="3969"/>
          </w:tcPr>
          <w:p>
            <w:pPr>
              <w:spacing w:after="20" w:line="240" w:lineRule="auto"/>
            </w:pPr>
            <w:r>
              <w:rPr>
                <w:sz w:val="17"/>
              </w:rPr>
              <w:t>Every Pega requirement for external Kafka and SRS is met; nothing contradicts Pega '25 and '26 pages or the chart README</w:t>
            </w:r>
          </w:p>
        </w:tc>
        <w:tc>
          <w:tcPr>
            <w:tcW w:type="dxa" w:w="2891"/>
          </w:tcPr>
          <w:p>
            <w:pPr>
              <w:spacing w:after="20" w:line="240" w:lineRule="auto"/>
            </w:pPr>
            <w:r>
              <w:rPr>
                <w:sz w:val="17"/>
              </w:rPr>
              <w:t>Pega pages R3 to R22, R49 to R51; chart README R23, R24, R63</w:t>
            </w:r>
          </w:p>
        </w:tc>
      </w:tr>
      <w:tr>
        <w:trPr>
          <w:cantSplit w:val="true"/>
        </w:trPr>
        <w:tc>
          <w:tcPr>
            <w:tcW w:type="dxa" w:w="624"/>
            <w:shd w:val="clear" w:color="auto" w:fill="F2F5FA"/>
          </w:tcPr>
          <w:p>
            <w:pPr>
              <w:spacing w:after="20" w:line="240" w:lineRule="auto"/>
            </w:pPr>
            <w:r>
              <w:rPr>
                <w:sz w:val="17"/>
              </w:rPr>
              <w:t>D2</w:t>
            </w:r>
          </w:p>
        </w:tc>
        <w:tc>
          <w:tcPr>
            <w:tcW w:type="dxa" w:w="1928"/>
            <w:shd w:val="clear" w:color="auto" w:fill="F2F5FA"/>
          </w:tcPr>
          <w:p>
            <w:pPr>
              <w:spacing w:after="20" w:line="240" w:lineRule="auto"/>
            </w:pPr>
            <w:r>
              <w:rPr>
                <w:sz w:val="17"/>
              </w:rPr>
              <w:t>Alignment with Confluent Cloud</w:t>
            </w:r>
          </w:p>
        </w:tc>
        <w:tc>
          <w:tcPr>
            <w:tcW w:type="dxa" w:w="3969"/>
            <w:shd w:val="clear" w:color="auto" w:fill="F2F5FA"/>
          </w:tcPr>
          <w:p>
            <w:pPr>
              <w:spacing w:after="20" w:line="240" w:lineRule="auto"/>
            </w:pPr>
            <w:r>
              <w:rPr>
                <w:sz w:val="17"/>
              </w:rPr>
              <w:t>Cluster type, limits, SLA conditions, networking, ACLs and quotas match Confluent's published rules</w:t>
            </w:r>
          </w:p>
        </w:tc>
        <w:tc>
          <w:tcPr>
            <w:tcW w:type="dxa" w:w="2891"/>
            <w:shd w:val="clear" w:color="auto" w:fill="F2F5FA"/>
          </w:tcPr>
          <w:p>
            <w:pPr>
              <w:spacing w:after="20" w:line="240" w:lineRule="auto"/>
            </w:pPr>
            <w:r>
              <w:rPr>
                <w:sz w:val="17"/>
              </w:rPr>
              <w:t>R31 to R36, R56, R57</w:t>
            </w:r>
          </w:p>
        </w:tc>
      </w:tr>
      <w:tr>
        <w:trPr>
          <w:cantSplit w:val="true"/>
        </w:trPr>
        <w:tc>
          <w:tcPr>
            <w:tcW w:type="dxa" w:w="624"/>
          </w:tcPr>
          <w:p>
            <w:pPr>
              <w:spacing w:after="20" w:line="240" w:lineRule="auto"/>
            </w:pPr>
            <w:r>
              <w:rPr>
                <w:sz w:val="17"/>
              </w:rPr>
              <w:t>D3</w:t>
            </w:r>
          </w:p>
        </w:tc>
        <w:tc>
          <w:tcPr>
            <w:tcW w:type="dxa" w:w="1928"/>
          </w:tcPr>
          <w:p>
            <w:pPr>
              <w:spacing w:after="20" w:line="240" w:lineRule="auto"/>
            </w:pPr>
            <w:r>
              <w:rPr>
                <w:sz w:val="17"/>
              </w:rPr>
              <w:t>Alignment with OpenSearch and SRS</w:t>
            </w:r>
          </w:p>
        </w:tc>
        <w:tc>
          <w:tcPr>
            <w:tcW w:type="dxa" w:w="3969"/>
          </w:tcPr>
          <w:p>
            <w:pPr>
              <w:spacing w:after="20" w:line="240" w:lineRule="auto"/>
            </w:pPr>
            <w:r>
              <w:rPr>
                <w:sz w:val="17"/>
              </w:rPr>
              <w:t>Versions, cluster settings, roles, sizing and zone layout follow OpenSearch and Pega SRS guidance</w:t>
            </w:r>
          </w:p>
        </w:tc>
        <w:tc>
          <w:tcPr>
            <w:tcW w:type="dxa" w:w="2891"/>
          </w:tcPr>
          <w:p>
            <w:pPr>
              <w:spacing w:after="20" w:line="240" w:lineRule="auto"/>
            </w:pPr>
            <w:r>
              <w:rPr>
                <w:sz w:val="17"/>
              </w:rPr>
              <w:t>R14, R24, R37 to R41, R54, R55, R58</w:t>
            </w:r>
          </w:p>
        </w:tc>
      </w:tr>
      <w:tr>
        <w:trPr>
          <w:cantSplit w:val="true"/>
        </w:trPr>
        <w:tc>
          <w:tcPr>
            <w:tcW w:type="dxa" w:w="624"/>
            <w:shd w:val="clear" w:color="auto" w:fill="F2F5FA"/>
          </w:tcPr>
          <w:p>
            <w:pPr>
              <w:spacing w:after="20" w:line="240" w:lineRule="auto"/>
            </w:pPr>
            <w:r>
              <w:rPr>
                <w:sz w:val="17"/>
              </w:rPr>
              <w:t>D4</w:t>
            </w:r>
          </w:p>
        </w:tc>
        <w:tc>
          <w:tcPr>
            <w:tcW w:type="dxa" w:w="1928"/>
            <w:shd w:val="clear" w:color="auto" w:fill="F2F5FA"/>
          </w:tcPr>
          <w:p>
            <w:pPr>
              <w:spacing w:after="20" w:line="240" w:lineRule="auto"/>
            </w:pPr>
            <w:r>
              <w:rPr>
                <w:sz w:val="17"/>
              </w:rPr>
              <w:t>Helm correctness</w:t>
            </w:r>
          </w:p>
        </w:tc>
        <w:tc>
          <w:tcPr>
            <w:tcW w:type="dxa" w:w="3969"/>
            <w:shd w:val="clear" w:color="auto" w:fill="F2F5FA"/>
          </w:tcPr>
          <w:p>
            <w:pPr>
              <w:spacing w:after="20" w:line="240" w:lineRule="auto"/>
            </w:pPr>
            <w:r>
              <w:rPr>
                <w:sz w:val="17"/>
              </w:rPr>
              <w:t>Every values file renders against charts 4.13.0 and produces the intended objects</w:t>
            </w:r>
          </w:p>
        </w:tc>
        <w:tc>
          <w:tcPr>
            <w:tcW w:type="dxa" w:w="2891"/>
            <w:shd w:val="clear" w:color="auto" w:fill="F2F5FA"/>
          </w:tcPr>
          <w:p>
            <w:pPr>
              <w:spacing w:after="20" w:line="240" w:lineRule="auto"/>
            </w:pPr>
            <w:r>
              <w:rPr>
                <w:rFonts w:ascii="Consolas" w:hAnsi="Consolas"/>
                <w:color w:val="1F3864"/>
                <w:sz w:val="17"/>
              </w:rPr>
              <w:t>helm template</w:t>
            </w:r>
            <w:r>
              <w:rPr>
                <w:sz w:val="17"/>
              </w:rPr>
              <w:t xml:space="preserve"> of all values files; rendered manifests</w:t>
            </w:r>
          </w:p>
        </w:tc>
      </w:tr>
      <w:tr>
        <w:trPr>
          <w:cantSplit w:val="true"/>
        </w:trPr>
        <w:tc>
          <w:tcPr>
            <w:tcW w:type="dxa" w:w="624"/>
          </w:tcPr>
          <w:p>
            <w:pPr>
              <w:spacing w:after="20" w:line="240" w:lineRule="auto"/>
            </w:pPr>
            <w:r>
              <w:rPr>
                <w:sz w:val="17"/>
              </w:rPr>
              <w:t>D5</w:t>
            </w:r>
          </w:p>
        </w:tc>
        <w:tc>
          <w:tcPr>
            <w:tcW w:type="dxa" w:w="1928"/>
          </w:tcPr>
          <w:p>
            <w:pPr>
              <w:spacing w:after="20" w:line="240" w:lineRule="auto"/>
            </w:pPr>
            <w:r>
              <w:rPr>
                <w:sz w:val="17"/>
              </w:rPr>
              <w:t>Security and isolation</w:t>
            </w:r>
          </w:p>
        </w:tc>
        <w:tc>
          <w:tcPr>
            <w:tcW w:type="dxa" w:w="3969"/>
          </w:tcPr>
          <w:p>
            <w:pPr>
              <w:spacing w:after="20" w:line="240" w:lineRule="auto"/>
            </w:pPr>
            <w:r>
              <w:rPr>
                <w:sz w:val="17"/>
              </w:rPr>
              <w:t>Credentials, tokens, network paths and data are separated per environment, with tests</w:t>
            </w:r>
          </w:p>
        </w:tc>
        <w:tc>
          <w:tcPr>
            <w:tcW w:type="dxa" w:w="2891"/>
          </w:tcPr>
          <w:p>
            <w:pPr>
              <w:spacing w:after="20" w:line="240" w:lineRule="auto"/>
            </w:pPr>
            <w:r>
              <w:rPr>
                <w:sz w:val="17"/>
              </w:rPr>
              <w:t>Isolation tests IT-01 to IT-10; network policy render</w:t>
            </w:r>
          </w:p>
        </w:tc>
      </w:tr>
      <w:tr>
        <w:trPr>
          <w:cantSplit w:val="true"/>
        </w:trPr>
        <w:tc>
          <w:tcPr>
            <w:tcW w:type="dxa" w:w="624"/>
            <w:shd w:val="clear" w:color="auto" w:fill="F2F5FA"/>
          </w:tcPr>
          <w:p>
            <w:pPr>
              <w:spacing w:after="20" w:line="240" w:lineRule="auto"/>
            </w:pPr>
            <w:r>
              <w:rPr>
                <w:sz w:val="17"/>
              </w:rPr>
              <w:t>D6</w:t>
            </w:r>
          </w:p>
        </w:tc>
        <w:tc>
          <w:tcPr>
            <w:tcW w:type="dxa" w:w="1928"/>
            <w:shd w:val="clear" w:color="auto" w:fill="F2F5FA"/>
          </w:tcPr>
          <w:p>
            <w:pPr>
              <w:spacing w:after="20" w:line="240" w:lineRule="auto"/>
            </w:pPr>
            <w:r>
              <w:rPr>
                <w:sz w:val="17"/>
              </w:rPr>
              <w:t>Architecture and cloud design</w:t>
            </w:r>
          </w:p>
        </w:tc>
        <w:tc>
          <w:tcPr>
            <w:tcW w:type="dxa" w:w="3969"/>
            <w:shd w:val="clear" w:color="auto" w:fill="F2F5FA"/>
          </w:tcPr>
          <w:p>
            <w:pPr>
              <w:spacing w:after="20" w:line="240" w:lineRule="auto"/>
            </w:pPr>
            <w:r>
              <w:rPr>
                <w:sz w:val="17"/>
              </w:rPr>
              <w:t>Availability zones, failure domains, private networking, scaling and blast radius</w:t>
            </w:r>
          </w:p>
        </w:tc>
        <w:tc>
          <w:tcPr>
            <w:tcW w:type="dxa" w:w="2891"/>
            <w:shd w:val="clear" w:color="auto" w:fill="F2F5FA"/>
          </w:tcPr>
          <w:p>
            <w:pPr>
              <w:spacing w:after="20" w:line="240" w:lineRule="auto"/>
            </w:pPr>
            <w:r>
              <w:rPr>
                <w:sz w:val="17"/>
              </w:rPr>
              <w:t>R32, R47, R59; Azure design practice</w:t>
            </w:r>
          </w:p>
        </w:tc>
      </w:tr>
      <w:tr>
        <w:trPr>
          <w:cantSplit w:val="true"/>
        </w:trPr>
        <w:tc>
          <w:tcPr>
            <w:tcW w:type="dxa" w:w="624"/>
          </w:tcPr>
          <w:p>
            <w:pPr>
              <w:spacing w:after="20" w:line="240" w:lineRule="auto"/>
            </w:pPr>
            <w:r>
              <w:rPr>
                <w:sz w:val="17"/>
              </w:rPr>
              <w:t>D7</w:t>
            </w:r>
          </w:p>
        </w:tc>
        <w:tc>
          <w:tcPr>
            <w:tcW w:type="dxa" w:w="1928"/>
          </w:tcPr>
          <w:p>
            <w:pPr>
              <w:spacing w:after="20" w:line="240" w:lineRule="auto"/>
            </w:pPr>
            <w:r>
              <w:rPr>
                <w:sz w:val="17"/>
              </w:rPr>
              <w:t>Failure handling and remediation</w:t>
            </w:r>
          </w:p>
        </w:tc>
        <w:tc>
          <w:tcPr>
            <w:tcW w:type="dxa" w:w="3969"/>
          </w:tcPr>
          <w:p>
            <w:pPr>
              <w:spacing w:after="20" w:line="240" w:lineRule="auto"/>
            </w:pPr>
            <w:r>
              <w:rPr>
                <w:sz w:val="17"/>
              </w:rPr>
              <w:t>Known issues, failure scenarios and troubleshooting cover what goes wrong in practice</w:t>
            </w:r>
          </w:p>
        </w:tc>
        <w:tc>
          <w:tcPr>
            <w:tcW w:type="dxa" w:w="2891"/>
          </w:tcPr>
          <w:p>
            <w:pPr>
              <w:spacing w:after="20" w:line="240" w:lineRule="auto"/>
            </w:pPr>
            <w:r>
              <w:rPr>
                <w:sz w:val="17"/>
              </w:rPr>
              <w:t>Failure catalogue; known-issue tables</w:t>
            </w:r>
          </w:p>
        </w:tc>
      </w:tr>
      <w:tr>
        <w:trPr>
          <w:cantSplit w:val="true"/>
        </w:trPr>
        <w:tc>
          <w:tcPr>
            <w:tcW w:type="dxa" w:w="624"/>
            <w:shd w:val="clear" w:color="auto" w:fill="F2F5FA"/>
          </w:tcPr>
          <w:p>
            <w:pPr>
              <w:spacing w:after="20" w:line="240" w:lineRule="auto"/>
            </w:pPr>
            <w:r>
              <w:rPr>
                <w:sz w:val="17"/>
              </w:rPr>
              <w:t>D8</w:t>
            </w:r>
          </w:p>
        </w:tc>
        <w:tc>
          <w:tcPr>
            <w:tcW w:type="dxa" w:w="1928"/>
            <w:shd w:val="clear" w:color="auto" w:fill="F2F5FA"/>
          </w:tcPr>
          <w:p>
            <w:pPr>
              <w:spacing w:after="20" w:line="240" w:lineRule="auto"/>
            </w:pPr>
            <w:r>
              <w:rPr>
                <w:sz w:val="17"/>
              </w:rPr>
              <w:t>Testing methodology</w:t>
            </w:r>
          </w:p>
        </w:tc>
        <w:tc>
          <w:tcPr>
            <w:tcW w:type="dxa" w:w="3969"/>
            <w:shd w:val="clear" w:color="auto" w:fill="F2F5FA"/>
          </w:tcPr>
          <w:p>
            <w:pPr>
              <w:spacing w:after="20" w:line="240" w:lineRule="auto"/>
            </w:pPr>
            <w:r>
              <w:rPr>
                <w:sz w:val="17"/>
              </w:rPr>
              <w:t>Test stages, entry and exit criteria, evidence and rehearsals</w:t>
            </w:r>
          </w:p>
        </w:tc>
        <w:tc>
          <w:tcPr>
            <w:tcW w:type="dxa" w:w="2891"/>
            <w:shd w:val="clear" w:color="auto" w:fill="F2F5FA"/>
          </w:tcPr>
          <w:p>
            <w:pPr>
              <w:spacing w:after="20" w:line="240" w:lineRule="auto"/>
            </w:pPr>
            <w:r>
              <w:rPr>
                <w:sz w:val="17"/>
              </w:rPr>
              <w:t>Section 14</w:t>
            </w:r>
          </w:p>
        </w:tc>
      </w:tr>
      <w:tr>
        <w:trPr>
          <w:cantSplit w:val="true"/>
        </w:trPr>
        <w:tc>
          <w:tcPr>
            <w:tcW w:type="dxa" w:w="624"/>
          </w:tcPr>
          <w:p>
            <w:pPr>
              <w:spacing w:after="20" w:line="240" w:lineRule="auto"/>
            </w:pPr>
            <w:r>
              <w:rPr>
                <w:sz w:val="17"/>
              </w:rPr>
              <w:t>D9</w:t>
            </w:r>
          </w:p>
        </w:tc>
        <w:tc>
          <w:tcPr>
            <w:tcW w:type="dxa" w:w="1928"/>
          </w:tcPr>
          <w:p>
            <w:pPr>
              <w:spacing w:after="20" w:line="240" w:lineRule="auto"/>
            </w:pPr>
            <w:r>
              <w:rPr>
                <w:sz w:val="17"/>
              </w:rPr>
              <w:t>Performance testing</w:t>
            </w:r>
          </w:p>
        </w:tc>
        <w:tc>
          <w:tcPr>
            <w:tcW w:type="dxa" w:w="3969"/>
          </w:tcPr>
          <w:p>
            <w:pPr>
              <w:spacing w:after="20" w:line="240" w:lineRule="auto"/>
            </w:pPr>
            <w:r>
              <w:rPr>
                <w:sz w:val="17"/>
              </w:rPr>
              <w:t>Need, workload model, test types, harness, measurement points, pitfalls</w:t>
            </w:r>
          </w:p>
        </w:tc>
        <w:tc>
          <w:tcPr>
            <w:tcW w:type="dxa" w:w="2891"/>
          </w:tcPr>
          <w:p>
            <w:pPr>
              <w:spacing w:after="20" w:line="240" w:lineRule="auto"/>
            </w:pPr>
            <w:r>
              <w:rPr>
                <w:sz w:val="17"/>
              </w:rPr>
              <w:t>Section 15</w:t>
            </w:r>
          </w:p>
        </w:tc>
      </w:tr>
      <w:tr>
        <w:trPr>
          <w:cantSplit w:val="true"/>
        </w:trPr>
        <w:tc>
          <w:tcPr>
            <w:tcW w:type="dxa" w:w="624"/>
            <w:shd w:val="clear" w:color="auto" w:fill="F2F5FA"/>
          </w:tcPr>
          <w:p>
            <w:pPr>
              <w:spacing w:after="20" w:line="240" w:lineRule="auto"/>
            </w:pPr>
            <w:r>
              <w:rPr>
                <w:sz w:val="17"/>
              </w:rPr>
              <w:t>D10</w:t>
            </w:r>
          </w:p>
        </w:tc>
        <w:tc>
          <w:tcPr>
            <w:tcW w:type="dxa" w:w="1928"/>
            <w:shd w:val="clear" w:color="auto" w:fill="F2F5FA"/>
          </w:tcPr>
          <w:p>
            <w:pPr>
              <w:spacing w:after="20" w:line="240" w:lineRule="auto"/>
            </w:pPr>
            <w:r>
              <w:rPr>
                <w:sz w:val="17"/>
              </w:rPr>
              <w:t>Sizing</w:t>
            </w:r>
          </w:p>
        </w:tc>
        <w:tc>
          <w:tcPr>
            <w:tcW w:type="dxa" w:w="3969"/>
            <w:shd w:val="clear" w:color="auto" w:fill="F2F5FA"/>
          </w:tcPr>
          <w:p>
            <w:pPr>
              <w:spacing w:after="20" w:line="240" w:lineRule="auto"/>
            </w:pPr>
            <w:r>
              <w:rPr>
                <w:sz w:val="17"/>
              </w:rPr>
              <w:t>Method and formulas per layer, with a working calculator</w:t>
            </w:r>
          </w:p>
        </w:tc>
        <w:tc>
          <w:tcPr>
            <w:tcW w:type="dxa" w:w="2891"/>
            <w:shd w:val="clear" w:color="auto" w:fill="F2F5FA"/>
          </w:tcPr>
          <w:p>
            <w:pPr>
              <w:spacing w:after="20" w:line="240" w:lineRule="auto"/>
            </w:pPr>
            <w:r>
              <w:rPr>
                <w:sz w:val="17"/>
              </w:rPr>
              <w:t>R31, R49, R54, R55; calculator recalculated in LibreOffice</w:t>
            </w:r>
          </w:p>
        </w:tc>
      </w:tr>
      <w:tr>
        <w:trPr>
          <w:cantSplit w:val="true"/>
        </w:trPr>
        <w:tc>
          <w:tcPr>
            <w:tcW w:type="dxa" w:w="624"/>
          </w:tcPr>
          <w:p>
            <w:pPr>
              <w:spacing w:after="20" w:line="240" w:lineRule="auto"/>
            </w:pPr>
            <w:r>
              <w:rPr>
                <w:sz w:val="17"/>
              </w:rPr>
              <w:t>D11</w:t>
            </w:r>
          </w:p>
        </w:tc>
        <w:tc>
          <w:tcPr>
            <w:tcW w:type="dxa" w:w="1928"/>
          </w:tcPr>
          <w:p>
            <w:pPr>
              <w:spacing w:after="20" w:line="240" w:lineRule="auto"/>
            </w:pPr>
            <w:r>
              <w:rPr>
                <w:sz w:val="17"/>
              </w:rPr>
              <w:t>Monitoring, logging and observability</w:t>
            </w:r>
          </w:p>
        </w:tc>
        <w:tc>
          <w:tcPr>
            <w:tcW w:type="dxa" w:w="3969"/>
          </w:tcPr>
          <w:p>
            <w:pPr>
              <w:spacing w:after="20" w:line="240" w:lineRule="auto"/>
            </w:pPr>
            <w:r>
              <w:rPr>
                <w:sz w:val="17"/>
              </w:rPr>
              <w:t>Telemetry from every layer, alerting, dashboards, Pega Diagnostic Center, correlation</w:t>
            </w:r>
          </w:p>
        </w:tc>
        <w:tc>
          <w:tcPr>
            <w:tcW w:type="dxa" w:w="2891"/>
          </w:tcPr>
          <w:p>
            <w:pPr>
              <w:spacing w:after="20" w:line="240" w:lineRule="auto"/>
            </w:pPr>
            <w:r>
              <w:rPr>
                <w:sz w:val="17"/>
              </w:rPr>
              <w:t>R51, R52, R56 to R58, R60</w:t>
            </w:r>
          </w:p>
        </w:tc>
      </w:tr>
      <w:tr>
        <w:trPr>
          <w:cantSplit w:val="true"/>
        </w:trPr>
        <w:tc>
          <w:tcPr>
            <w:tcW w:type="dxa" w:w="624"/>
            <w:shd w:val="clear" w:color="auto" w:fill="F2F5FA"/>
          </w:tcPr>
          <w:p>
            <w:pPr>
              <w:spacing w:after="20" w:line="240" w:lineRule="auto"/>
            </w:pPr>
            <w:r>
              <w:rPr>
                <w:sz w:val="17"/>
              </w:rPr>
              <w:t>D12</w:t>
            </w:r>
          </w:p>
        </w:tc>
        <w:tc>
          <w:tcPr>
            <w:tcW w:type="dxa" w:w="1928"/>
            <w:shd w:val="clear" w:color="auto" w:fill="F2F5FA"/>
          </w:tcPr>
          <w:p>
            <w:pPr>
              <w:spacing w:after="20" w:line="240" w:lineRule="auto"/>
            </w:pPr>
            <w:r>
              <w:rPr>
                <w:sz w:val="17"/>
              </w:rPr>
              <w:t>Environment sequencing and configuration</w:t>
            </w:r>
          </w:p>
        </w:tc>
        <w:tc>
          <w:tcPr>
            <w:tcW w:type="dxa" w:w="3969"/>
            <w:shd w:val="clear" w:color="auto" w:fill="F2F5FA"/>
          </w:tcPr>
          <w:p>
            <w:pPr>
              <w:spacing w:after="20" w:line="240" w:lineRule="auto"/>
            </w:pPr>
            <w:r>
              <w:rPr>
                <w:sz w:val="17"/>
              </w:rPr>
              <w:t>Order of build, what is reused, per-environment checklist, refresh and retirement</w:t>
            </w:r>
          </w:p>
        </w:tc>
        <w:tc>
          <w:tcPr>
            <w:tcW w:type="dxa" w:w="2891"/>
            <w:shd w:val="clear" w:color="auto" w:fill="F2F5FA"/>
          </w:tcPr>
          <w:p>
            <w:pPr>
              <w:spacing w:after="20" w:line="240" w:lineRule="auto"/>
            </w:pPr>
            <w:r>
              <w:rPr>
                <w:sz w:val="17"/>
              </w:rPr>
              <w:t>Sections 12 and 19</w:t>
            </w:r>
          </w:p>
        </w:tc>
      </w:tr>
      <w:tr>
        <w:trPr>
          <w:cantSplit w:val="true"/>
        </w:trPr>
        <w:tc>
          <w:tcPr>
            <w:tcW w:type="dxa" w:w="624"/>
          </w:tcPr>
          <w:p>
            <w:pPr>
              <w:spacing w:after="20" w:line="240" w:lineRule="auto"/>
            </w:pPr>
            <w:r>
              <w:rPr>
                <w:sz w:val="17"/>
              </w:rPr>
              <w:t>D13</w:t>
            </w:r>
          </w:p>
        </w:tc>
        <w:tc>
          <w:tcPr>
            <w:tcW w:type="dxa" w:w="1928"/>
          </w:tcPr>
          <w:p>
            <w:pPr>
              <w:spacing w:after="20" w:line="240" w:lineRule="auto"/>
            </w:pPr>
            <w:r>
              <w:rPr>
                <w:sz w:val="17"/>
              </w:rPr>
              <w:t>Evidence and traceability</w:t>
            </w:r>
          </w:p>
        </w:tc>
        <w:tc>
          <w:tcPr>
            <w:tcW w:type="dxa" w:w="3969"/>
          </w:tcPr>
          <w:p>
            <w:pPr>
              <w:spacing w:after="20" w:line="240" w:lineRule="auto"/>
            </w:pPr>
            <w:r>
              <w:rPr>
                <w:sz w:val="17"/>
              </w:rPr>
              <w:t>Every statement sourced; conflicts logged; questions traced to sections</w:t>
            </w:r>
          </w:p>
        </w:tc>
        <w:tc>
          <w:tcPr>
            <w:tcW w:type="dxa" w:w="2891"/>
          </w:tcPr>
          <w:p>
            <w:pPr>
              <w:spacing w:after="20" w:line="240" w:lineRule="auto"/>
            </w:pPr>
            <w:r>
              <w:rPr>
                <w:sz w:val="17"/>
              </w:rPr>
              <w:t>Reference register; QA script</w:t>
            </w:r>
          </w:p>
        </w:tc>
      </w:tr>
      <w:tr>
        <w:trPr>
          <w:cantSplit w:val="true"/>
        </w:trPr>
        <w:tc>
          <w:tcPr>
            <w:tcW w:type="dxa" w:w="624"/>
            <w:shd w:val="clear" w:color="auto" w:fill="F2F5FA"/>
          </w:tcPr>
          <w:p>
            <w:pPr>
              <w:spacing w:after="20" w:line="240" w:lineRule="auto"/>
            </w:pPr>
            <w:r>
              <w:rPr>
                <w:sz w:val="17"/>
              </w:rPr>
              <w:t>D14</w:t>
            </w:r>
          </w:p>
        </w:tc>
        <w:tc>
          <w:tcPr>
            <w:tcW w:type="dxa" w:w="1928"/>
            <w:shd w:val="clear" w:color="auto" w:fill="F2F5FA"/>
          </w:tcPr>
          <w:p>
            <w:pPr>
              <w:spacing w:after="20" w:line="240" w:lineRule="auto"/>
            </w:pPr>
            <w:r>
              <w:rPr>
                <w:sz w:val="17"/>
              </w:rPr>
              <w:t>Readability for the customer</w:t>
            </w:r>
          </w:p>
        </w:tc>
        <w:tc>
          <w:tcPr>
            <w:tcW w:type="dxa" w:w="3969"/>
            <w:shd w:val="clear" w:color="auto" w:fill="F2F5FA"/>
          </w:tcPr>
          <w:p>
            <w:pPr>
              <w:spacing w:after="20" w:line="240" w:lineRule="auto"/>
            </w:pPr>
            <w:r>
              <w:rPr>
                <w:sz w:val="17"/>
              </w:rPr>
              <w:t>Plain English, consistent IDs, no unresolved cross-references</w:t>
            </w:r>
          </w:p>
        </w:tc>
        <w:tc>
          <w:tcPr>
            <w:tcW w:type="dxa" w:w="2891"/>
            <w:shd w:val="clear" w:color="auto" w:fill="F2F5FA"/>
          </w:tcPr>
          <w:p>
            <w:pPr>
              <w:spacing w:after="20" w:line="240" w:lineRule="auto"/>
            </w:pPr>
            <w:r>
              <w:rPr>
                <w:sz w:val="17"/>
              </w:rPr>
              <w:t>QA script; ID check; page review</w:t>
            </w:r>
          </w:p>
        </w:tc>
      </w:tr>
    </w:tbl>
    <w:p>
      <w:pPr>
        <w:spacing w:after="0" w:before="0" w:line="120" w:lineRule="exact"/>
      </w:pPr>
      <w:r>
        <w:rPr>
          <w:sz w:val="12"/>
        </w:rPr>
      </w:r>
    </w:p>
    <w:p>
      <w:pPr>
        <w:pStyle w:val="Heading1"/>
        <w:pageBreakBefore/>
      </w:pPr>
      <w:r>
        <w:t>4  Findings and corrections</w:t>
      </w:r>
    </w:p>
    <w:p>
      <w:pPr>
        <w:pStyle w:val="Caption"/>
        <w:keepNext/>
        <w:spacing w:before="80"/>
      </w:pPr>
      <w:r>
        <w:t>Table 3. Findings register</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623"/>
        <w:gridCol w:w="680"/>
        <w:gridCol w:w="907"/>
        <w:gridCol w:w="3175"/>
        <w:gridCol w:w="1927"/>
        <w:gridCol w:w="2097"/>
      </w:tblGrid>
      <w:tr>
        <w:trPr>
          <w:tblHeader w:val="true"/>
          <w:cantSplit w:val="true"/>
        </w:trPr>
        <w:tc>
          <w:tcPr>
            <w:tcW w:type="dxa" w:w="624"/>
            <w:shd w:val="clear" w:color="auto" w:fill="1F3864"/>
          </w:tcPr>
          <w:p>
            <w:pPr>
              <w:spacing w:after="0"/>
            </w:pPr>
            <w:r>
              <w:rPr>
                <w:b/>
                <w:color w:val="FFFFFF"/>
                <w:sz w:val="15"/>
              </w:rPr>
              <w:t>ID</w:t>
            </w:r>
          </w:p>
        </w:tc>
        <w:tc>
          <w:tcPr>
            <w:tcW w:type="dxa" w:w="680"/>
            <w:shd w:val="clear" w:color="auto" w:fill="1F3864"/>
          </w:tcPr>
          <w:p>
            <w:pPr>
              <w:spacing w:after="0"/>
            </w:pPr>
            <w:r>
              <w:rPr>
                <w:b/>
                <w:color w:val="FFFFFF"/>
                <w:sz w:val="15"/>
              </w:rPr>
              <w:t>Dim.</w:t>
            </w:r>
          </w:p>
        </w:tc>
        <w:tc>
          <w:tcPr>
            <w:tcW w:type="dxa" w:w="907"/>
            <w:shd w:val="clear" w:color="auto" w:fill="1F3864"/>
          </w:tcPr>
          <w:p>
            <w:pPr>
              <w:spacing w:after="0"/>
            </w:pPr>
            <w:r>
              <w:rPr>
                <w:b/>
                <w:color w:val="FFFFFF"/>
                <w:sz w:val="15"/>
              </w:rPr>
              <w:t>Severity</w:t>
            </w:r>
          </w:p>
        </w:tc>
        <w:tc>
          <w:tcPr>
            <w:tcW w:type="dxa" w:w="3175"/>
            <w:shd w:val="clear" w:color="auto" w:fill="1F3864"/>
          </w:tcPr>
          <w:p>
            <w:pPr>
              <w:spacing w:after="0"/>
            </w:pPr>
            <w:r>
              <w:rPr>
                <w:b/>
                <w:color w:val="FFFFFF"/>
                <w:sz w:val="15"/>
              </w:rPr>
              <w:t>Finding in version 2.0</w:t>
            </w:r>
          </w:p>
        </w:tc>
        <w:tc>
          <w:tcPr>
            <w:tcW w:type="dxa" w:w="1928"/>
            <w:shd w:val="clear" w:color="auto" w:fill="1F3864"/>
          </w:tcPr>
          <w:p>
            <w:pPr>
              <w:spacing w:after="0"/>
            </w:pPr>
            <w:r>
              <w:rPr>
                <w:b/>
                <w:color w:val="FFFFFF"/>
                <w:sz w:val="15"/>
              </w:rPr>
              <w:t>Evidence</w:t>
            </w:r>
          </w:p>
        </w:tc>
        <w:tc>
          <w:tcPr>
            <w:tcW w:type="dxa" w:w="2098"/>
            <w:shd w:val="clear" w:color="auto" w:fill="1F3864"/>
          </w:tcPr>
          <w:p>
            <w:pPr>
              <w:spacing w:after="0"/>
            </w:pPr>
            <w:r>
              <w:rPr>
                <w:b/>
                <w:color w:val="FFFFFF"/>
                <w:sz w:val="15"/>
              </w:rPr>
              <w:t>Correction in version 2.1</w:t>
            </w:r>
          </w:p>
        </w:tc>
      </w:tr>
      <w:tr>
        <w:trPr>
          <w:cantSplit w:val="true"/>
        </w:trPr>
        <w:tc>
          <w:tcPr>
            <w:tcW w:type="dxa" w:w="624"/>
          </w:tcPr>
          <w:p>
            <w:pPr>
              <w:spacing w:after="20" w:line="240" w:lineRule="auto"/>
            </w:pPr>
            <w:r>
              <w:rPr>
                <w:sz w:val="15"/>
              </w:rPr>
              <w:t>F-01</w:t>
            </w:r>
          </w:p>
        </w:tc>
        <w:tc>
          <w:tcPr>
            <w:tcW w:type="dxa" w:w="680"/>
          </w:tcPr>
          <w:p>
            <w:pPr>
              <w:spacing w:after="20" w:line="240" w:lineRule="auto"/>
            </w:pPr>
            <w:r>
              <w:rPr>
                <w:sz w:val="15"/>
              </w:rPr>
              <w:t>D4</w:t>
            </w:r>
          </w:p>
        </w:tc>
        <w:tc>
          <w:tcPr>
            <w:tcW w:type="dxa" w:w="907"/>
          </w:tcPr>
          <w:p>
            <w:pPr>
              <w:spacing w:after="20" w:line="240" w:lineRule="auto"/>
            </w:pPr>
            <w:r>
              <w:rPr>
                <w:sz w:val="15"/>
              </w:rPr>
              <w:t>Critical</w:t>
            </w:r>
          </w:p>
        </w:tc>
        <w:tc>
          <w:tcPr>
            <w:tcW w:type="dxa" w:w="3175"/>
          </w:tcPr>
          <w:p>
            <w:pPr>
              <w:spacing w:after="20" w:line="240" w:lineRule="auto"/>
            </w:pPr>
            <w:r>
              <w:rPr>
                <w:sz w:val="15"/>
              </w:rPr>
              <w:t xml:space="preserve">The backingservices values set </w:t>
            </w:r>
            <w:r>
              <w:rPr>
                <w:rFonts w:ascii="Consolas" w:hAnsi="Consolas"/>
                <w:color w:val="1F3864"/>
                <w:sz w:val="15"/>
              </w:rPr>
              <w:t>srsStorage.tls.enabled: true</w:t>
            </w:r>
            <w:r>
              <w:rPr>
                <w:sz w:val="15"/>
              </w:rPr>
              <w:t xml:space="preserve"> together with basic authentication. In the SRS chart </w:t>
            </w:r>
            <w:r>
              <w:rPr>
                <w:rFonts w:ascii="Consolas" w:hAnsi="Consolas"/>
                <w:color w:val="1F3864"/>
                <w:sz w:val="15"/>
              </w:rPr>
              <w:t>tls</w:t>
            </w:r>
            <w:r>
              <w:rPr>
                <w:sz w:val="15"/>
              </w:rPr>
              <w:t xml:space="preserve"> means certificate authentication, and the chart refuses to render: "Only one authentication can be enabled".</w:t>
            </w:r>
          </w:p>
        </w:tc>
        <w:tc>
          <w:tcPr>
            <w:tcW w:type="dxa" w:w="1928"/>
          </w:tcPr>
          <w:p>
            <w:pPr>
              <w:spacing w:after="20" w:line="240" w:lineRule="auto"/>
            </w:pPr>
            <w:r>
              <w:rPr>
                <w:rFonts w:ascii="Consolas" w:hAnsi="Consolas"/>
                <w:color w:val="1F3864"/>
                <w:sz w:val="15"/>
              </w:rPr>
              <w:t>helm template</w:t>
            </w:r>
            <w:r>
              <w:rPr>
                <w:sz w:val="15"/>
              </w:rPr>
              <w:t xml:space="preserve"> of the v2.0 SIT and PROD files failed with that message </w:t>
            </w:r>
            <w:r>
              <w:rPr>
                <w:color w:val="2E75B6"/>
                <w:sz w:val="15"/>
              </w:rPr>
              <w:t>[R24]</w:t>
            </w:r>
          </w:p>
        </w:tc>
        <w:tc>
          <w:tcPr>
            <w:tcW w:type="dxa" w:w="2098"/>
          </w:tcPr>
          <w:p>
            <w:pPr>
              <w:spacing w:after="20" w:line="240" w:lineRule="auto"/>
            </w:pPr>
            <w:r>
              <w:rPr>
                <w:rFonts w:ascii="Consolas" w:hAnsi="Consolas"/>
                <w:color w:val="1F3864"/>
                <w:sz w:val="15"/>
              </w:rPr>
              <w:t>tls.enabled: false</w:t>
            </w:r>
            <w:r>
              <w:rPr>
                <w:sz w:val="15"/>
              </w:rPr>
              <w:t xml:space="preserve">; encryption from </w:t>
            </w:r>
            <w:r>
              <w:rPr>
                <w:rFonts w:ascii="Consolas" w:hAnsi="Consolas"/>
                <w:color w:val="1F3864"/>
                <w:sz w:val="15"/>
              </w:rPr>
              <w:t>protocol: https</w:t>
            </w:r>
            <w:r>
              <w:rPr>
                <w:sz w:val="15"/>
              </w:rPr>
              <w:t>. Sections 7.7 and 9.3, Appendix B</w:t>
            </w:r>
          </w:p>
        </w:tc>
      </w:tr>
      <w:tr>
        <w:trPr>
          <w:cantSplit w:val="true"/>
        </w:trPr>
        <w:tc>
          <w:tcPr>
            <w:tcW w:type="dxa" w:w="624"/>
            <w:shd w:val="clear" w:color="auto" w:fill="F2F5FA"/>
          </w:tcPr>
          <w:p>
            <w:pPr>
              <w:spacing w:after="20" w:line="240" w:lineRule="auto"/>
            </w:pPr>
            <w:r>
              <w:rPr>
                <w:sz w:val="15"/>
              </w:rPr>
              <w:t>F-02</w:t>
            </w:r>
          </w:p>
        </w:tc>
        <w:tc>
          <w:tcPr>
            <w:tcW w:type="dxa" w:w="680"/>
            <w:shd w:val="clear" w:color="auto" w:fill="F2F5FA"/>
          </w:tcPr>
          <w:p>
            <w:pPr>
              <w:spacing w:after="20" w:line="240" w:lineRule="auto"/>
            </w:pPr>
            <w:r>
              <w:rPr>
                <w:sz w:val="15"/>
              </w:rPr>
              <w:t>D4</w:t>
            </w:r>
          </w:p>
        </w:tc>
        <w:tc>
          <w:tcPr>
            <w:tcW w:type="dxa" w:w="907"/>
            <w:shd w:val="clear" w:color="auto" w:fill="F2F5FA"/>
          </w:tcPr>
          <w:p>
            <w:pPr>
              <w:spacing w:after="20" w:line="240" w:lineRule="auto"/>
            </w:pPr>
            <w:r>
              <w:rPr>
                <w:sz w:val="15"/>
              </w:rPr>
              <w:t>Critical</w:t>
            </w:r>
          </w:p>
        </w:tc>
        <w:tc>
          <w:tcPr>
            <w:tcW w:type="dxa" w:w="3175"/>
            <w:shd w:val="clear" w:color="auto" w:fill="F2F5FA"/>
          </w:tcPr>
          <w:p>
            <w:pPr>
              <w:spacing w:after="20" w:line="240" w:lineRule="auto"/>
            </w:pPr>
            <w:r>
              <w:rPr>
                <w:rFonts w:ascii="Consolas" w:hAnsi="Consolas"/>
                <w:color w:val="1F3864"/>
                <w:sz w:val="15"/>
              </w:rPr>
              <w:t>pegasearch.externalURL</w:t>
            </w:r>
            <w:r>
              <w:rPr>
                <w:sz w:val="15"/>
              </w:rPr>
              <w:t xml:space="preserve"> had no port. With SRS TLS enabled the SRS container listens on 8443 only, and its Service exposes 8080, 80 and 8443. An HTTPS URL without a port goes to 443, so search would fail at the first start.</w:t>
            </w:r>
          </w:p>
        </w:tc>
        <w:tc>
          <w:tcPr>
            <w:tcW w:type="dxa" w:w="1928"/>
            <w:shd w:val="clear" w:color="auto" w:fill="F2F5FA"/>
          </w:tcPr>
          <w:p>
            <w:pPr>
              <w:spacing w:after="20" w:line="240" w:lineRule="auto"/>
            </w:pPr>
            <w:r>
              <w:rPr>
                <w:sz w:val="15"/>
              </w:rPr>
              <w:t xml:space="preserve">Rendered SRS Deployment and Service: containerPort 8443, probes on </w:t>
            </w:r>
            <w:r>
              <w:rPr>
                <w:rFonts w:ascii="Consolas" w:hAnsi="Consolas"/>
                <w:color w:val="1F3864"/>
                <w:sz w:val="15"/>
              </w:rPr>
              <w:t>https://localhost:8443/health</w:t>
            </w:r>
            <w:r>
              <w:rPr>
                <w:sz w:val="15"/>
              </w:rPr>
              <w:t xml:space="preserve"> </w:t>
            </w:r>
            <w:r>
              <w:rPr>
                <w:color w:val="2E75B6"/>
                <w:sz w:val="15"/>
              </w:rPr>
              <w:t>[R62]</w:t>
            </w:r>
          </w:p>
        </w:tc>
        <w:tc>
          <w:tcPr>
            <w:tcW w:type="dxa" w:w="2098"/>
            <w:shd w:val="clear" w:color="auto" w:fill="F2F5FA"/>
          </w:tcPr>
          <w:p>
            <w:pPr>
              <w:spacing w:after="20" w:line="240" w:lineRule="auto"/>
            </w:pPr>
            <w:r>
              <w:rPr>
                <w:sz w:val="15"/>
              </w:rPr>
              <w:t xml:space="preserve">URL ends in </w:t>
            </w:r>
            <w:r>
              <w:rPr>
                <w:rFonts w:ascii="Consolas" w:hAnsi="Consolas"/>
                <w:color w:val="1F3864"/>
                <w:sz w:val="15"/>
              </w:rPr>
              <w:t>:8443</w:t>
            </w:r>
            <w:r>
              <w:rPr>
                <w:sz w:val="15"/>
              </w:rPr>
              <w:t xml:space="preserve"> in all six environments; flow table, S-5 and Appendix B updated</w:t>
            </w:r>
          </w:p>
        </w:tc>
      </w:tr>
      <w:tr>
        <w:trPr>
          <w:cantSplit w:val="true"/>
        </w:trPr>
        <w:tc>
          <w:tcPr>
            <w:tcW w:type="dxa" w:w="624"/>
          </w:tcPr>
          <w:p>
            <w:pPr>
              <w:spacing w:after="20" w:line="240" w:lineRule="auto"/>
            </w:pPr>
            <w:r>
              <w:rPr>
                <w:sz w:val="15"/>
              </w:rPr>
              <w:t>F-03</w:t>
            </w:r>
          </w:p>
        </w:tc>
        <w:tc>
          <w:tcPr>
            <w:tcW w:type="dxa" w:w="680"/>
          </w:tcPr>
          <w:p>
            <w:pPr>
              <w:spacing w:after="20" w:line="240" w:lineRule="auto"/>
            </w:pPr>
            <w:r>
              <w:rPr>
                <w:sz w:val="15"/>
              </w:rPr>
              <w:t>D4, D5</w:t>
            </w:r>
          </w:p>
        </w:tc>
        <w:tc>
          <w:tcPr>
            <w:tcW w:type="dxa" w:w="907"/>
          </w:tcPr>
          <w:p>
            <w:pPr>
              <w:spacing w:after="20" w:line="240" w:lineRule="auto"/>
            </w:pPr>
            <w:r>
              <w:rPr>
                <w:sz w:val="15"/>
              </w:rPr>
              <w:t>Critical</w:t>
            </w:r>
          </w:p>
        </w:tc>
        <w:tc>
          <w:tcPr>
            <w:tcW w:type="dxa" w:w="3175"/>
          </w:tcPr>
          <w:p>
            <w:pPr>
              <w:spacing w:after="20" w:line="240" w:lineRule="auto"/>
            </w:pPr>
            <w:r>
              <w:rPr>
                <w:sz w:val="15"/>
              </w:rPr>
              <w:t>The chart network policy (</w:t>
            </w:r>
            <w:r>
              <w:rPr>
                <w:rFonts w:ascii="Consolas" w:hAnsi="Consolas"/>
                <w:color w:val="1F3864"/>
                <w:sz w:val="15"/>
              </w:rPr>
              <w:t>srsStorage.networkPolicy.enabled: true</w:t>
            </w:r>
            <w:r>
              <w:rPr>
                <w:sz w:val="15"/>
              </w:rPr>
              <w:t xml:space="preserve">) allows SRS egress only to an in-cluster </w:t>
            </w:r>
            <w:r>
              <w:rPr>
                <w:rFonts w:ascii="Consolas" w:hAnsi="Consolas"/>
                <w:color w:val="1F3864"/>
                <w:sz w:val="15"/>
              </w:rPr>
              <w:t>elasticsearch-master</w:t>
            </w:r>
            <w:r>
              <w:rPr>
                <w:sz w:val="15"/>
              </w:rPr>
              <w:t xml:space="preserve"> on 9200 and DNS, and ingress from </w:t>
            </w:r>
            <w:r>
              <w:rPr>
                <w:rFonts w:ascii="Consolas" w:hAnsi="Consolas"/>
                <w:color w:val="1F3864"/>
                <w:sz w:val="15"/>
              </w:rPr>
              <w:t>0.0.0.0/0</w:t>
            </w:r>
            <w:r>
              <w:rPr>
                <w:sz w:val="15"/>
              </w:rPr>
              <w:t>. It blocks the external OpenSearch service and the Okta key set and lets any pod call SRS.</w:t>
            </w:r>
          </w:p>
        </w:tc>
        <w:tc>
          <w:tcPr>
            <w:tcW w:type="dxa" w:w="1928"/>
          </w:tcPr>
          <w:p>
            <w:pPr>
              <w:spacing w:after="20" w:line="240" w:lineRule="auto"/>
            </w:pPr>
            <w:r>
              <w:rPr>
                <w:sz w:val="15"/>
              </w:rPr>
              <w:t xml:space="preserve">Rendered NetworkPolicy from the v2.0 values </w:t>
            </w:r>
            <w:r>
              <w:rPr>
                <w:color w:val="2E75B6"/>
                <w:sz w:val="15"/>
              </w:rPr>
              <w:t>[R62]</w:t>
            </w:r>
          </w:p>
        </w:tc>
        <w:tc>
          <w:tcPr>
            <w:tcW w:type="dxa" w:w="2098"/>
          </w:tcPr>
          <w:p>
            <w:pPr>
              <w:spacing w:after="20" w:line="240" w:lineRule="auto"/>
            </w:pPr>
            <w:r>
              <w:rPr>
                <w:sz w:val="15"/>
              </w:rPr>
              <w:t>Chart policy off; replacement default-deny and allow policies per environment (Section 7.7, Appendix B, NW-5, SR-2)</w:t>
            </w:r>
          </w:p>
        </w:tc>
      </w:tr>
      <w:tr>
        <w:trPr>
          <w:cantSplit w:val="true"/>
        </w:trPr>
        <w:tc>
          <w:tcPr>
            <w:tcW w:type="dxa" w:w="624"/>
            <w:shd w:val="clear" w:color="auto" w:fill="F2F5FA"/>
          </w:tcPr>
          <w:p>
            <w:pPr>
              <w:spacing w:after="20" w:line="240" w:lineRule="auto"/>
            </w:pPr>
            <w:r>
              <w:rPr>
                <w:sz w:val="15"/>
              </w:rPr>
              <w:t>F-04</w:t>
            </w:r>
          </w:p>
        </w:tc>
        <w:tc>
          <w:tcPr>
            <w:tcW w:type="dxa" w:w="680"/>
            <w:shd w:val="clear" w:color="auto" w:fill="F2F5FA"/>
          </w:tcPr>
          <w:p>
            <w:pPr>
              <w:spacing w:after="20" w:line="240" w:lineRule="auto"/>
            </w:pPr>
            <w:r>
              <w:rPr>
                <w:sz w:val="15"/>
              </w:rPr>
              <w:t>D4</w:t>
            </w:r>
          </w:p>
        </w:tc>
        <w:tc>
          <w:tcPr>
            <w:tcW w:type="dxa" w:w="907"/>
            <w:shd w:val="clear" w:color="auto" w:fill="F2F5FA"/>
          </w:tcPr>
          <w:p>
            <w:pPr>
              <w:spacing w:after="20" w:line="240" w:lineRule="auto"/>
            </w:pPr>
            <w:r>
              <w:rPr>
                <w:sz w:val="15"/>
              </w:rPr>
              <w:t>Medium</w:t>
            </w:r>
          </w:p>
        </w:tc>
        <w:tc>
          <w:tcPr>
            <w:tcW w:type="dxa" w:w="3175"/>
            <w:shd w:val="clear" w:color="auto" w:fill="F2F5FA"/>
          </w:tcPr>
          <w:p>
            <w:pPr>
              <w:spacing w:after="20" w:line="240" w:lineRule="auto"/>
            </w:pPr>
            <w:r>
              <w:rPr>
                <w:sz w:val="15"/>
              </w:rPr>
              <w:t xml:space="preserve">Section 9.3 listed </w:t>
            </w:r>
            <w:r>
              <w:rPr>
                <w:rFonts w:ascii="Consolas" w:hAnsi="Consolas"/>
                <w:color w:val="1F3864"/>
                <w:sz w:val="15"/>
              </w:rPr>
              <w:t>srsStorage.tls.enabled</w:t>
            </w:r>
            <w:r>
              <w:rPr>
                <w:sz w:val="15"/>
              </w:rPr>
              <w:t xml:space="preserve"> and </w:t>
            </w:r>
            <w:r>
              <w:rPr>
                <w:rFonts w:ascii="Consolas" w:hAnsi="Consolas"/>
                <w:color w:val="1F3864"/>
                <w:sz w:val="15"/>
              </w:rPr>
              <w:t>networkPolicy.enabled</w:t>
            </w:r>
            <w:r>
              <w:rPr>
                <w:sz w:val="15"/>
              </w:rPr>
              <w:t xml:space="preserve"> as </w:t>
            </w:r>
            <w:r>
              <w:rPr>
                <w:rFonts w:ascii="Consolas" w:hAnsi="Consolas"/>
                <w:color w:val="1F3864"/>
                <w:sz w:val="15"/>
              </w:rPr>
              <w:t>true</w:t>
            </w:r>
            <w:r>
              <w:rPr>
                <w:sz w:val="15"/>
              </w:rPr>
              <w:t>, contradicting the corrected design once F-01 and F-03 are fixed.</w:t>
            </w:r>
          </w:p>
        </w:tc>
        <w:tc>
          <w:tcPr>
            <w:tcW w:type="dxa" w:w="1928"/>
            <w:shd w:val="clear" w:color="auto" w:fill="F2F5FA"/>
          </w:tcPr>
          <w:p>
            <w:pPr>
              <w:spacing w:after="20" w:line="240" w:lineRule="auto"/>
            </w:pPr>
            <w:r>
              <w:rPr>
                <w:sz w:val="15"/>
              </w:rPr>
              <w:t>Section 9.3 table in v2.0</w:t>
            </w:r>
          </w:p>
        </w:tc>
        <w:tc>
          <w:tcPr>
            <w:tcW w:type="dxa" w:w="2098"/>
            <w:shd w:val="clear" w:color="auto" w:fill="F2F5FA"/>
          </w:tcPr>
          <w:p>
            <w:pPr>
              <w:spacing w:after="20" w:line="240" w:lineRule="auto"/>
            </w:pPr>
            <w:r>
              <w:rPr>
                <w:sz w:val="15"/>
              </w:rPr>
              <w:t>Table corrected; new SRS chart behaviours table</w:t>
            </w:r>
          </w:p>
        </w:tc>
      </w:tr>
      <w:tr>
        <w:trPr>
          <w:cantSplit w:val="true"/>
        </w:trPr>
        <w:tc>
          <w:tcPr>
            <w:tcW w:type="dxa" w:w="624"/>
          </w:tcPr>
          <w:p>
            <w:pPr>
              <w:spacing w:after="20" w:line="240" w:lineRule="auto"/>
            </w:pPr>
            <w:r>
              <w:rPr>
                <w:sz w:val="15"/>
              </w:rPr>
              <w:t>F-05</w:t>
            </w:r>
          </w:p>
        </w:tc>
        <w:tc>
          <w:tcPr>
            <w:tcW w:type="dxa" w:w="680"/>
          </w:tcPr>
          <w:p>
            <w:pPr>
              <w:spacing w:after="20" w:line="240" w:lineRule="auto"/>
            </w:pPr>
            <w:r>
              <w:rPr>
                <w:sz w:val="15"/>
              </w:rPr>
              <w:t>D3</w:t>
            </w:r>
          </w:p>
        </w:tc>
        <w:tc>
          <w:tcPr>
            <w:tcW w:type="dxa" w:w="907"/>
          </w:tcPr>
          <w:p>
            <w:pPr>
              <w:spacing w:after="20" w:line="240" w:lineRule="auto"/>
            </w:pPr>
            <w:r>
              <w:rPr>
                <w:sz w:val="15"/>
              </w:rPr>
              <w:t>High</w:t>
            </w:r>
          </w:p>
        </w:tc>
        <w:tc>
          <w:tcPr>
            <w:tcW w:type="dxa" w:w="3175"/>
          </w:tcPr>
          <w:p>
            <w:pPr>
              <w:spacing w:after="20" w:line="240" w:lineRule="auto"/>
            </w:pPr>
            <w:r>
              <w:rPr>
                <w:sz w:val="15"/>
              </w:rPr>
              <w:t>One SRS replica in DEV, SIT and UAT. The SRS chart README states a minimum of 2 replicas and 3 as best practice, while Pega's sizing table shows 1 for test landscapes.</w:t>
            </w:r>
          </w:p>
        </w:tc>
        <w:tc>
          <w:tcPr>
            <w:tcW w:type="dxa" w:w="1928"/>
          </w:tcPr>
          <w:p>
            <w:pPr>
              <w:spacing w:after="20" w:line="240" w:lineRule="auto"/>
            </w:pPr>
            <w:r>
              <w:rPr>
                <w:sz w:val="15"/>
              </w:rPr>
              <w:t>R14 against R24</w:t>
            </w:r>
          </w:p>
        </w:tc>
        <w:tc>
          <w:tcPr>
            <w:tcW w:type="dxa" w:w="2098"/>
          </w:tcPr>
          <w:p>
            <w:pPr>
              <w:spacing w:after="20" w:line="240" w:lineRule="auto"/>
            </w:pPr>
            <w:r>
              <w:rPr>
                <w:sz w:val="15"/>
              </w:rPr>
              <w:t>2 replicas in DEV, SIT and UAT; conflict logged as RC-10</w:t>
            </w:r>
          </w:p>
        </w:tc>
      </w:tr>
      <w:tr>
        <w:trPr>
          <w:cantSplit w:val="true"/>
        </w:trPr>
        <w:tc>
          <w:tcPr>
            <w:tcW w:type="dxa" w:w="624"/>
            <w:shd w:val="clear" w:color="auto" w:fill="F2F5FA"/>
          </w:tcPr>
          <w:p>
            <w:pPr>
              <w:spacing w:after="20" w:line="240" w:lineRule="auto"/>
            </w:pPr>
            <w:r>
              <w:rPr>
                <w:sz w:val="15"/>
              </w:rPr>
              <w:t>F-06</w:t>
            </w:r>
          </w:p>
        </w:tc>
        <w:tc>
          <w:tcPr>
            <w:tcW w:type="dxa" w:w="680"/>
            <w:shd w:val="clear" w:color="auto" w:fill="F2F5FA"/>
          </w:tcPr>
          <w:p>
            <w:pPr>
              <w:spacing w:after="20" w:line="240" w:lineRule="auto"/>
            </w:pPr>
            <w:r>
              <w:rPr>
                <w:sz w:val="15"/>
              </w:rPr>
              <w:t>D3</w:t>
            </w:r>
          </w:p>
        </w:tc>
        <w:tc>
          <w:tcPr>
            <w:tcW w:type="dxa" w:w="907"/>
            <w:shd w:val="clear" w:color="auto" w:fill="F2F5FA"/>
          </w:tcPr>
          <w:p>
            <w:pPr>
              <w:spacing w:after="20" w:line="240" w:lineRule="auto"/>
            </w:pPr>
            <w:r>
              <w:rPr>
                <w:sz w:val="15"/>
              </w:rPr>
              <w:t>Medium</w:t>
            </w:r>
          </w:p>
        </w:tc>
        <w:tc>
          <w:tcPr>
            <w:tcW w:type="dxa" w:w="3175"/>
            <w:shd w:val="clear" w:color="auto" w:fill="F2F5FA"/>
          </w:tcPr>
          <w:p>
            <w:pPr>
              <w:spacing w:after="20" w:line="240" w:lineRule="auto"/>
            </w:pPr>
            <w:r>
              <w:rPr>
                <w:sz w:val="15"/>
              </w:rPr>
              <w:t>SRS resources were left at chart defaults (1.3 CPU limit, 4Gi) without noting that Pega's sizing table gives 2 CPU per SRS pod.</w:t>
            </w:r>
          </w:p>
        </w:tc>
        <w:tc>
          <w:tcPr>
            <w:tcW w:type="dxa" w:w="1928"/>
            <w:shd w:val="clear" w:color="auto" w:fill="F2F5FA"/>
          </w:tcPr>
          <w:p>
            <w:pPr>
              <w:spacing w:after="20" w:line="240" w:lineRule="auto"/>
            </w:pPr>
            <w:r>
              <w:rPr>
                <w:sz w:val="15"/>
              </w:rPr>
              <w:t>R14 against R24</w:t>
            </w:r>
          </w:p>
        </w:tc>
        <w:tc>
          <w:tcPr>
            <w:tcW w:type="dxa" w:w="2098"/>
            <w:shd w:val="clear" w:color="auto" w:fill="F2F5FA"/>
          </w:tcPr>
          <w:p>
            <w:pPr>
              <w:spacing w:after="20" w:line="240" w:lineRule="auto"/>
            </w:pPr>
            <w:r>
              <w:rPr>
                <w:sz w:val="15"/>
              </w:rPr>
              <w:t>Explicit resources: request 1 CPU, limit 2 CPU, 4Gi; RC-11</w:t>
            </w:r>
          </w:p>
        </w:tc>
      </w:tr>
      <w:tr>
        <w:trPr>
          <w:cantSplit w:val="true"/>
        </w:trPr>
        <w:tc>
          <w:tcPr>
            <w:tcW w:type="dxa" w:w="624"/>
          </w:tcPr>
          <w:p>
            <w:pPr>
              <w:spacing w:after="20" w:line="240" w:lineRule="auto"/>
            </w:pPr>
            <w:r>
              <w:rPr>
                <w:sz w:val="15"/>
              </w:rPr>
              <w:t>F-07</w:t>
            </w:r>
          </w:p>
        </w:tc>
        <w:tc>
          <w:tcPr>
            <w:tcW w:type="dxa" w:w="680"/>
          </w:tcPr>
          <w:p>
            <w:pPr>
              <w:spacing w:after="20" w:line="240" w:lineRule="auto"/>
            </w:pPr>
            <w:r>
              <w:rPr>
                <w:sz w:val="15"/>
              </w:rPr>
              <w:t>D6</w:t>
            </w:r>
          </w:p>
        </w:tc>
        <w:tc>
          <w:tcPr>
            <w:tcW w:type="dxa" w:w="907"/>
          </w:tcPr>
          <w:p>
            <w:pPr>
              <w:spacing w:after="20" w:line="240" w:lineRule="auto"/>
            </w:pPr>
            <w:r>
              <w:rPr>
                <w:sz w:val="15"/>
              </w:rPr>
              <w:t>High</w:t>
            </w:r>
          </w:p>
        </w:tc>
        <w:tc>
          <w:tcPr>
            <w:tcW w:type="dxa" w:w="3175"/>
          </w:tcPr>
          <w:p>
            <w:pPr>
              <w:spacing w:after="20" w:line="240" w:lineRule="auto"/>
            </w:pPr>
            <w:r>
              <w:rPr>
                <w:sz w:val="15"/>
              </w:rPr>
              <w:t>No availability zone design. Pega tiers had no zone spread, SRS no anti-affinity, node pools no zone headroom, and the Confluent and OpenSearch zone conditions were not stated.</w:t>
            </w:r>
          </w:p>
        </w:tc>
        <w:tc>
          <w:tcPr>
            <w:tcW w:type="dxa" w:w="1928"/>
          </w:tcPr>
          <w:p>
            <w:pPr>
              <w:spacing w:after="20" w:line="240" w:lineRule="auto"/>
            </w:pPr>
            <w:r>
              <w:rPr>
                <w:sz w:val="15"/>
              </w:rPr>
              <w:t>v2.0 Sections 4 and 9; R31, R59</w:t>
            </w:r>
          </w:p>
        </w:tc>
        <w:tc>
          <w:tcPr>
            <w:tcW w:type="dxa" w:w="2098"/>
          </w:tcPr>
          <w:p>
            <w:pPr>
              <w:spacing w:after="20" w:line="240" w:lineRule="auto"/>
            </w:pPr>
            <w:r>
              <w:rPr>
                <w:sz w:val="15"/>
              </w:rPr>
              <w:t xml:space="preserve">New Section 4.6 with figure; </w:t>
            </w:r>
            <w:r>
              <w:rPr>
                <w:rFonts w:ascii="Consolas" w:hAnsi="Consolas"/>
                <w:color w:val="1F3864"/>
                <w:sz w:val="15"/>
              </w:rPr>
              <w:t>topologySpreadConstraints</w:t>
            </w:r>
            <w:r>
              <w:rPr>
                <w:sz w:val="15"/>
              </w:rPr>
              <w:t xml:space="preserve"> per tier (rendered), SRS anti-affinity, 1.5 times node headroom; RC-12</w:t>
            </w:r>
          </w:p>
        </w:tc>
      </w:tr>
      <w:tr>
        <w:trPr>
          <w:cantSplit w:val="true"/>
        </w:trPr>
        <w:tc>
          <w:tcPr>
            <w:tcW w:type="dxa" w:w="624"/>
            <w:shd w:val="clear" w:color="auto" w:fill="F2F5FA"/>
          </w:tcPr>
          <w:p>
            <w:pPr>
              <w:spacing w:after="20" w:line="240" w:lineRule="auto"/>
            </w:pPr>
            <w:r>
              <w:rPr>
                <w:sz w:val="15"/>
              </w:rPr>
              <w:t>F-08</w:t>
            </w:r>
          </w:p>
        </w:tc>
        <w:tc>
          <w:tcPr>
            <w:tcW w:type="dxa" w:w="680"/>
            <w:shd w:val="clear" w:color="auto" w:fill="F2F5FA"/>
          </w:tcPr>
          <w:p>
            <w:pPr>
              <w:spacing w:after="20" w:line="240" w:lineRule="auto"/>
            </w:pPr>
            <w:r>
              <w:rPr>
                <w:sz w:val="15"/>
              </w:rPr>
              <w:t>D2</w:t>
            </w:r>
          </w:p>
        </w:tc>
        <w:tc>
          <w:tcPr>
            <w:tcW w:type="dxa" w:w="907"/>
            <w:shd w:val="clear" w:color="auto" w:fill="F2F5FA"/>
          </w:tcPr>
          <w:p>
            <w:pPr>
              <w:spacing w:after="20" w:line="240" w:lineRule="auto"/>
            </w:pPr>
            <w:r>
              <w:rPr>
                <w:sz w:val="15"/>
              </w:rPr>
              <w:t>High</w:t>
            </w:r>
          </w:p>
        </w:tc>
        <w:tc>
          <w:tcPr>
            <w:tcW w:type="dxa" w:w="3175"/>
            <w:shd w:val="clear" w:color="auto" w:fill="F2F5FA"/>
          </w:tcPr>
          <w:p>
            <w:pPr>
              <w:spacing w:after="20" w:line="240" w:lineRule="auto"/>
            </w:pPr>
            <w:r>
              <w:rPr>
                <w:sz w:val="15"/>
              </w:rPr>
              <w:t>Confluent connection, connection-attempt and request limits per eCKU, now enforced on Enterprise clusters, were missing. Rolling restarts of shared environments can be throttled.</w:t>
            </w:r>
          </w:p>
        </w:tc>
        <w:tc>
          <w:tcPr>
            <w:tcW w:type="dxa" w:w="1928"/>
            <w:shd w:val="clear" w:color="auto" w:fill="F2F5FA"/>
          </w:tcPr>
          <w:p>
            <w:pPr>
              <w:spacing w:after="20" w:line="240" w:lineRule="auto"/>
            </w:pPr>
            <w:r>
              <w:rPr>
                <w:sz w:val="15"/>
              </w:rPr>
              <w:t>R31, R56</w:t>
            </w:r>
          </w:p>
        </w:tc>
        <w:tc>
          <w:tcPr>
            <w:tcW w:type="dxa" w:w="2098"/>
            <w:shd w:val="clear" w:color="auto" w:fill="F2F5FA"/>
          </w:tcPr>
          <w:p>
            <w:pPr>
              <w:spacing w:after="20" w:line="240" w:lineRule="auto"/>
            </w:pPr>
            <w:r>
              <w:rPr>
                <w:sz w:val="15"/>
              </w:rPr>
              <w:t>Limits table extended; enforcement callout; FS-31; throttling alert; RK-13</w:t>
            </w:r>
          </w:p>
        </w:tc>
      </w:tr>
      <w:tr>
        <w:trPr>
          <w:cantSplit w:val="true"/>
        </w:trPr>
        <w:tc>
          <w:tcPr>
            <w:tcW w:type="dxa" w:w="624"/>
          </w:tcPr>
          <w:p>
            <w:pPr>
              <w:spacing w:after="20" w:line="240" w:lineRule="auto"/>
            </w:pPr>
            <w:r>
              <w:rPr>
                <w:sz w:val="15"/>
              </w:rPr>
              <w:t>F-09</w:t>
            </w:r>
          </w:p>
        </w:tc>
        <w:tc>
          <w:tcPr>
            <w:tcW w:type="dxa" w:w="680"/>
          </w:tcPr>
          <w:p>
            <w:pPr>
              <w:spacing w:after="20" w:line="240" w:lineRule="auto"/>
            </w:pPr>
            <w:r>
              <w:rPr>
                <w:sz w:val="15"/>
              </w:rPr>
              <w:t>D2</w:t>
            </w:r>
          </w:p>
        </w:tc>
        <w:tc>
          <w:tcPr>
            <w:tcW w:type="dxa" w:w="907"/>
          </w:tcPr>
          <w:p>
            <w:pPr>
              <w:spacing w:after="20" w:line="240" w:lineRule="auto"/>
            </w:pPr>
            <w:r>
              <w:rPr>
                <w:sz w:val="15"/>
              </w:rPr>
              <w:t>Medium</w:t>
            </w:r>
          </w:p>
        </w:tc>
        <w:tc>
          <w:tcPr>
            <w:tcW w:type="dxa" w:w="3175"/>
          </w:tcPr>
          <w:p>
            <w:pPr>
              <w:spacing w:after="20" w:line="240" w:lineRule="auto"/>
            </w:pPr>
            <w:r>
              <w:rPr>
                <w:sz w:val="15"/>
              </w:rPr>
              <w:t>Partition creation and deletion pacing (500 per five minutes on Enterprise) was missing. It lengthens first starts and refreshes in shared groups.</w:t>
            </w:r>
          </w:p>
        </w:tc>
        <w:tc>
          <w:tcPr>
            <w:tcW w:type="dxa" w:w="1928"/>
          </w:tcPr>
          <w:p>
            <w:pPr>
              <w:spacing w:after="20" w:line="240" w:lineRule="auto"/>
            </w:pPr>
            <w:r>
              <w:rPr>
                <w:sz w:val="15"/>
              </w:rPr>
              <w:t>R31</w:t>
            </w:r>
          </w:p>
        </w:tc>
        <w:tc>
          <w:tcPr>
            <w:tcW w:type="dxa" w:w="2098"/>
          </w:tcPr>
          <w:p>
            <w:pPr>
              <w:spacing w:after="20" w:line="240" w:lineRule="auto"/>
            </w:pPr>
            <w:r>
              <w:rPr>
                <w:sz w:val="15"/>
              </w:rPr>
              <w:t>Callout in Section 6.3; FS-32; one refresh per group at a time</w:t>
            </w:r>
          </w:p>
        </w:tc>
      </w:tr>
      <w:tr>
        <w:trPr>
          <w:cantSplit w:val="true"/>
        </w:trPr>
        <w:tc>
          <w:tcPr>
            <w:tcW w:type="dxa" w:w="624"/>
            <w:shd w:val="clear" w:color="auto" w:fill="F2F5FA"/>
          </w:tcPr>
          <w:p>
            <w:pPr>
              <w:spacing w:after="20" w:line="240" w:lineRule="auto"/>
            </w:pPr>
            <w:r>
              <w:rPr>
                <w:sz w:val="15"/>
              </w:rPr>
              <w:t>F-10</w:t>
            </w:r>
          </w:p>
        </w:tc>
        <w:tc>
          <w:tcPr>
            <w:tcW w:type="dxa" w:w="680"/>
            <w:shd w:val="clear" w:color="auto" w:fill="F2F5FA"/>
          </w:tcPr>
          <w:p>
            <w:pPr>
              <w:spacing w:after="20" w:line="240" w:lineRule="auto"/>
            </w:pPr>
            <w:r>
              <w:rPr>
                <w:sz w:val="15"/>
              </w:rPr>
              <w:t>D2</w:t>
            </w:r>
          </w:p>
        </w:tc>
        <w:tc>
          <w:tcPr>
            <w:tcW w:type="dxa" w:w="907"/>
            <w:shd w:val="clear" w:color="auto" w:fill="F2F5FA"/>
          </w:tcPr>
          <w:p>
            <w:pPr>
              <w:spacing w:after="20" w:line="240" w:lineRule="auto"/>
            </w:pPr>
            <w:r>
              <w:rPr>
                <w:sz w:val="15"/>
              </w:rPr>
              <w:t>High</w:t>
            </w:r>
          </w:p>
        </w:tc>
        <w:tc>
          <w:tcPr>
            <w:tcW w:type="dxa" w:w="3175"/>
            <w:shd w:val="clear" w:color="auto" w:fill="F2F5FA"/>
          </w:tcPr>
          <w:p>
            <w:pPr>
              <w:spacing w:after="20" w:line="240" w:lineRule="auto"/>
            </w:pPr>
            <w:r>
              <w:rPr>
                <w:sz w:val="15"/>
              </w:rPr>
              <w:t>The 99.99 % SLA conditions were missing: at least 2 eCKU on Enterprise; Dedicated only if created multi-zone, which cannot be changed later.</w:t>
            </w:r>
          </w:p>
        </w:tc>
        <w:tc>
          <w:tcPr>
            <w:tcW w:type="dxa" w:w="1928"/>
            <w:shd w:val="clear" w:color="auto" w:fill="F2F5FA"/>
          </w:tcPr>
          <w:p>
            <w:pPr>
              <w:spacing w:after="20" w:line="240" w:lineRule="auto"/>
            </w:pPr>
            <w:r>
              <w:rPr>
                <w:sz w:val="15"/>
              </w:rPr>
              <w:t>R31</w:t>
            </w:r>
          </w:p>
        </w:tc>
        <w:tc>
          <w:tcPr>
            <w:tcW w:type="dxa" w:w="2098"/>
            <w:shd w:val="clear" w:color="auto" w:fill="F2F5FA"/>
          </w:tcPr>
          <w:p>
            <w:pPr>
              <w:spacing w:after="20" w:line="240" w:lineRule="auto"/>
            </w:pPr>
            <w:r>
              <w:rPr>
                <w:sz w:val="15"/>
              </w:rPr>
              <w:t>Section 6.3 callout; minimum 2 units for NP2 and PROD; calculator applies the minimum</w:t>
            </w:r>
          </w:p>
        </w:tc>
      </w:tr>
      <w:tr>
        <w:trPr>
          <w:cantSplit w:val="true"/>
        </w:trPr>
        <w:tc>
          <w:tcPr>
            <w:tcW w:type="dxa" w:w="624"/>
          </w:tcPr>
          <w:p>
            <w:pPr>
              <w:spacing w:after="20" w:line="240" w:lineRule="auto"/>
            </w:pPr>
            <w:r>
              <w:rPr>
                <w:sz w:val="15"/>
              </w:rPr>
              <w:t>F-11</w:t>
            </w:r>
          </w:p>
        </w:tc>
        <w:tc>
          <w:tcPr>
            <w:tcW w:type="dxa" w:w="680"/>
          </w:tcPr>
          <w:p>
            <w:pPr>
              <w:spacing w:after="20" w:line="240" w:lineRule="auto"/>
            </w:pPr>
            <w:r>
              <w:rPr>
                <w:sz w:val="15"/>
              </w:rPr>
              <w:t>D1, D2</w:t>
            </w:r>
          </w:p>
        </w:tc>
        <w:tc>
          <w:tcPr>
            <w:tcW w:type="dxa" w:w="907"/>
          </w:tcPr>
          <w:p>
            <w:pPr>
              <w:spacing w:after="20" w:line="240" w:lineRule="auto"/>
            </w:pPr>
            <w:r>
              <w:rPr>
                <w:sz w:val="15"/>
              </w:rPr>
              <w:t>Medium</w:t>
            </w:r>
          </w:p>
        </w:tc>
        <w:tc>
          <w:tcPr>
            <w:tcW w:type="dxa" w:w="3175"/>
          </w:tcPr>
          <w:p>
            <w:pPr>
              <w:spacing w:after="20" w:line="240" w:lineRule="auto"/>
            </w:pPr>
            <w:r>
              <w:rPr>
                <w:sz w:val="15"/>
              </w:rPr>
              <w:t>The partition budget did not use Pega's default of 6 partitions per topic or the rule that queue processor threads beyond the partition count do no work. A clone can carry a changed partition DSS from 8.8.</w:t>
            </w:r>
          </w:p>
        </w:tc>
        <w:tc>
          <w:tcPr>
            <w:tcW w:type="dxa" w:w="1928"/>
          </w:tcPr>
          <w:p>
            <w:pPr>
              <w:spacing w:after="20" w:line="240" w:lineRule="auto"/>
            </w:pPr>
            <w:r>
              <w:rPr>
                <w:sz w:val="15"/>
              </w:rPr>
              <w:t>R49, R50</w:t>
            </w:r>
          </w:p>
        </w:tc>
        <w:tc>
          <w:tcPr>
            <w:tcW w:type="dxa" w:w="2098"/>
          </w:tcPr>
          <w:p>
            <w:pPr>
              <w:spacing w:after="20" w:line="240" w:lineRule="auto"/>
            </w:pPr>
            <w:r>
              <w:rPr>
                <w:sz w:val="15"/>
              </w:rPr>
              <w:t>Formulas in Section 6.7; CD-15; known issues; performance pitfalls</w:t>
            </w:r>
          </w:p>
        </w:tc>
      </w:tr>
      <w:tr>
        <w:trPr>
          <w:cantSplit w:val="true"/>
        </w:trPr>
        <w:tc>
          <w:tcPr>
            <w:tcW w:type="dxa" w:w="624"/>
            <w:shd w:val="clear" w:color="auto" w:fill="F2F5FA"/>
          </w:tcPr>
          <w:p>
            <w:pPr>
              <w:spacing w:after="20" w:line="240" w:lineRule="auto"/>
            </w:pPr>
            <w:r>
              <w:rPr>
                <w:sz w:val="15"/>
              </w:rPr>
              <w:t>F-12</w:t>
            </w:r>
          </w:p>
        </w:tc>
        <w:tc>
          <w:tcPr>
            <w:tcW w:type="dxa" w:w="680"/>
            <w:shd w:val="clear" w:color="auto" w:fill="F2F5FA"/>
          </w:tcPr>
          <w:p>
            <w:pPr>
              <w:spacing w:after="20" w:line="240" w:lineRule="auto"/>
            </w:pPr>
            <w:r>
              <w:rPr>
                <w:sz w:val="15"/>
              </w:rPr>
              <w:t>D1</w:t>
            </w:r>
          </w:p>
        </w:tc>
        <w:tc>
          <w:tcPr>
            <w:tcW w:type="dxa" w:w="907"/>
            <w:shd w:val="clear" w:color="auto" w:fill="F2F5FA"/>
          </w:tcPr>
          <w:p>
            <w:pPr>
              <w:spacing w:after="20" w:line="240" w:lineRule="auto"/>
            </w:pPr>
            <w:r>
              <w:rPr>
                <w:sz w:val="15"/>
              </w:rPr>
              <w:t>High</w:t>
            </w:r>
          </w:p>
        </w:tc>
        <w:tc>
          <w:tcPr>
            <w:tcW w:type="dxa" w:w="3175"/>
            <w:shd w:val="clear" w:color="auto" w:fill="F2F5FA"/>
          </w:tcPr>
          <w:p>
            <w:pPr>
              <w:spacing w:after="20" w:line="240" w:lineRule="auto"/>
            </w:pPr>
            <w:r>
              <w:rPr>
                <w:sz w:val="15"/>
              </w:rPr>
              <w:t>The upgrade path did not ask whether the installer needs Kafka. From '25 Pega command-line tooling needs Kafka, but chart 4.13.0 passes no stream settings to the installer job.</w:t>
            </w:r>
          </w:p>
        </w:tc>
        <w:tc>
          <w:tcPr>
            <w:tcW w:type="dxa" w:w="1928"/>
            <w:shd w:val="clear" w:color="auto" w:fill="F2F5FA"/>
          </w:tcPr>
          <w:p>
            <w:pPr>
              <w:spacing w:after="20" w:line="240" w:lineRule="auto"/>
            </w:pPr>
            <w:r>
              <w:rPr>
                <w:sz w:val="15"/>
              </w:rPr>
              <w:t xml:space="preserve">R8; rendered run U has no </w:t>
            </w:r>
            <w:r>
              <w:rPr>
                <w:rFonts w:ascii="Consolas" w:hAnsi="Consolas"/>
                <w:color w:val="1F3864"/>
                <w:sz w:val="15"/>
              </w:rPr>
              <w:t>STREAM_*</w:t>
            </w:r>
            <w:r>
              <w:rPr>
                <w:sz w:val="15"/>
              </w:rPr>
              <w:t xml:space="preserve"> values</w:t>
            </w:r>
          </w:p>
        </w:tc>
        <w:tc>
          <w:tcPr>
            <w:tcW w:type="dxa" w:w="2098"/>
            <w:shd w:val="clear" w:color="auto" w:fill="F2F5FA"/>
          </w:tcPr>
          <w:p>
            <w:pPr>
              <w:spacing w:after="20" w:line="240" w:lineRule="auto"/>
            </w:pPr>
            <w:r>
              <w:rPr>
                <w:sz w:val="15"/>
              </w:rPr>
              <w:t>GQ-08; callout in Section 6.9; RK-15; known issue</w:t>
            </w:r>
          </w:p>
        </w:tc>
      </w:tr>
      <w:tr>
        <w:trPr>
          <w:cantSplit w:val="true"/>
        </w:trPr>
        <w:tc>
          <w:tcPr>
            <w:tcW w:type="dxa" w:w="624"/>
          </w:tcPr>
          <w:p>
            <w:pPr>
              <w:spacing w:after="20" w:line="240" w:lineRule="auto"/>
            </w:pPr>
            <w:r>
              <w:rPr>
                <w:sz w:val="15"/>
              </w:rPr>
              <w:t>F-13</w:t>
            </w:r>
          </w:p>
        </w:tc>
        <w:tc>
          <w:tcPr>
            <w:tcW w:type="dxa" w:w="680"/>
          </w:tcPr>
          <w:p>
            <w:pPr>
              <w:spacing w:after="20" w:line="240" w:lineRule="auto"/>
            </w:pPr>
            <w:r>
              <w:rPr>
                <w:sz w:val="15"/>
              </w:rPr>
              <w:t>D5, D7</w:t>
            </w:r>
          </w:p>
        </w:tc>
        <w:tc>
          <w:tcPr>
            <w:tcW w:type="dxa" w:w="907"/>
          </w:tcPr>
          <w:p>
            <w:pPr>
              <w:spacing w:after="20" w:line="240" w:lineRule="auto"/>
            </w:pPr>
            <w:r>
              <w:rPr>
                <w:sz w:val="15"/>
              </w:rPr>
              <w:t>High</w:t>
            </w:r>
          </w:p>
        </w:tc>
        <w:tc>
          <w:tcPr>
            <w:tcW w:type="dxa" w:w="3175"/>
          </w:tcPr>
          <w:p>
            <w:pPr>
              <w:spacing w:after="20" w:line="240" w:lineRule="auto"/>
            </w:pPr>
            <w:r>
              <w:rPr>
                <w:sz w:val="15"/>
              </w:rPr>
              <w:t>Okta signing key rotation (about four times a year) and org-wide rate limits shared by all environments were not covered.</w:t>
            </w:r>
          </w:p>
        </w:tc>
        <w:tc>
          <w:tcPr>
            <w:tcW w:type="dxa" w:w="1928"/>
          </w:tcPr>
          <w:p>
            <w:pPr>
              <w:spacing w:after="20" w:line="240" w:lineRule="auto"/>
            </w:pPr>
            <w:r>
              <w:rPr>
                <w:sz w:val="15"/>
              </w:rPr>
              <w:t>R52, R53</w:t>
            </w:r>
          </w:p>
        </w:tc>
        <w:tc>
          <w:tcPr>
            <w:tcW w:type="dxa" w:w="2098"/>
          </w:tcPr>
          <w:p>
            <w:pPr>
              <w:spacing w:after="20" w:line="240" w:lineRule="auto"/>
            </w:pPr>
            <w:r>
              <w:rPr>
                <w:sz w:val="15"/>
              </w:rPr>
              <w:t>Section 7.6 subsection; FS-33, FS-35; rate-limit alert; RK-14</w:t>
            </w:r>
          </w:p>
        </w:tc>
      </w:tr>
      <w:tr>
        <w:trPr>
          <w:cantSplit w:val="true"/>
        </w:trPr>
        <w:tc>
          <w:tcPr>
            <w:tcW w:type="dxa" w:w="624"/>
            <w:shd w:val="clear" w:color="auto" w:fill="F2F5FA"/>
          </w:tcPr>
          <w:p>
            <w:pPr>
              <w:spacing w:after="20" w:line="240" w:lineRule="auto"/>
            </w:pPr>
            <w:r>
              <w:rPr>
                <w:sz w:val="15"/>
              </w:rPr>
              <w:t>F-14</w:t>
            </w:r>
          </w:p>
        </w:tc>
        <w:tc>
          <w:tcPr>
            <w:tcW w:type="dxa" w:w="680"/>
            <w:shd w:val="clear" w:color="auto" w:fill="F2F5FA"/>
          </w:tcPr>
          <w:p>
            <w:pPr>
              <w:spacing w:after="20" w:line="240" w:lineRule="auto"/>
            </w:pPr>
            <w:r>
              <w:rPr>
                <w:sz w:val="15"/>
              </w:rPr>
              <w:t>D5</w:t>
            </w:r>
          </w:p>
        </w:tc>
        <w:tc>
          <w:tcPr>
            <w:tcW w:type="dxa" w:w="907"/>
            <w:shd w:val="clear" w:color="auto" w:fill="F2F5FA"/>
          </w:tcPr>
          <w:p>
            <w:pPr>
              <w:spacing w:after="20" w:line="240" w:lineRule="auto"/>
            </w:pPr>
            <w:r>
              <w:rPr>
                <w:sz w:val="15"/>
              </w:rPr>
              <w:t>Medium</w:t>
            </w:r>
          </w:p>
        </w:tc>
        <w:tc>
          <w:tcPr>
            <w:tcW w:type="dxa" w:w="3175"/>
            <w:shd w:val="clear" w:color="auto" w:fill="F2F5FA"/>
          </w:tcPr>
          <w:p>
            <w:pPr>
              <w:spacing w:after="20" w:line="240" w:lineRule="auto"/>
            </w:pPr>
            <w:r>
              <w:rPr>
                <w:sz w:val="15"/>
              </w:rPr>
              <w:t xml:space="preserve">Client key rotation assumed Okta would pick the right key; Pega does not state whether its client assertion carries a </w:t>
            </w:r>
            <w:r>
              <w:rPr>
                <w:rFonts w:ascii="Consolas" w:hAnsi="Consolas"/>
                <w:color w:val="1F3864"/>
                <w:sz w:val="15"/>
              </w:rPr>
              <w:t>kid</w:t>
            </w:r>
            <w:r>
              <w:rPr>
                <w:sz w:val="15"/>
              </w:rPr>
              <w:t xml:space="preserve"> header.</w:t>
            </w:r>
          </w:p>
        </w:tc>
        <w:tc>
          <w:tcPr>
            <w:tcW w:type="dxa" w:w="1928"/>
            <w:shd w:val="clear" w:color="auto" w:fill="F2F5FA"/>
          </w:tcPr>
          <w:p>
            <w:pPr>
              <w:spacing w:after="20" w:line="240" w:lineRule="auto"/>
            </w:pPr>
            <w:r>
              <w:rPr>
                <w:sz w:val="15"/>
              </w:rPr>
              <w:t>R45; Pega pages silent</w:t>
            </w:r>
          </w:p>
        </w:tc>
        <w:tc>
          <w:tcPr>
            <w:tcW w:type="dxa" w:w="2098"/>
            <w:shd w:val="clear" w:color="auto" w:fill="F2F5FA"/>
          </w:tcPr>
          <w:p>
            <w:pPr>
              <w:spacing w:after="20" w:line="240" w:lineRule="auto"/>
            </w:pPr>
            <w:r>
              <w:rPr>
                <w:sz w:val="15"/>
              </w:rPr>
              <w:t>FS-34 with two registered keys before any production rotation</w:t>
            </w:r>
          </w:p>
        </w:tc>
      </w:tr>
      <w:tr>
        <w:trPr>
          <w:cantSplit w:val="true"/>
        </w:trPr>
        <w:tc>
          <w:tcPr>
            <w:tcW w:type="dxa" w:w="624"/>
          </w:tcPr>
          <w:p>
            <w:pPr>
              <w:spacing w:after="20" w:line="240" w:lineRule="auto"/>
            </w:pPr>
            <w:r>
              <w:rPr>
                <w:sz w:val="15"/>
              </w:rPr>
              <w:t>F-15</w:t>
            </w:r>
          </w:p>
        </w:tc>
        <w:tc>
          <w:tcPr>
            <w:tcW w:type="dxa" w:w="680"/>
          </w:tcPr>
          <w:p>
            <w:pPr>
              <w:spacing w:after="20" w:line="240" w:lineRule="auto"/>
            </w:pPr>
            <w:r>
              <w:rPr>
                <w:sz w:val="15"/>
              </w:rPr>
              <w:t>D3, D10</w:t>
            </w:r>
          </w:p>
        </w:tc>
        <w:tc>
          <w:tcPr>
            <w:tcW w:type="dxa" w:w="907"/>
          </w:tcPr>
          <w:p>
            <w:pPr>
              <w:spacing w:after="20" w:line="240" w:lineRule="auto"/>
            </w:pPr>
            <w:r>
              <w:rPr>
                <w:sz w:val="15"/>
              </w:rPr>
              <w:t>Medium</w:t>
            </w:r>
          </w:p>
        </w:tc>
        <w:tc>
          <w:tcPr>
            <w:tcW w:type="dxa" w:w="3175"/>
          </w:tcPr>
          <w:p>
            <w:pPr>
              <w:spacing w:after="20" w:line="240" w:lineRule="auto"/>
            </w:pPr>
            <w:r>
              <w:rPr>
                <w:sz w:val="15"/>
              </w:rPr>
              <w:t>OpenSearch sizing gave starting sizes only, with no storage, shard or node formulas.</w:t>
            </w:r>
          </w:p>
        </w:tc>
        <w:tc>
          <w:tcPr>
            <w:tcW w:type="dxa" w:w="1928"/>
          </w:tcPr>
          <w:p>
            <w:pPr>
              <w:spacing w:after="20" w:line="240" w:lineRule="auto"/>
            </w:pPr>
            <w:r>
              <w:rPr>
                <w:sz w:val="15"/>
              </w:rPr>
              <w:t>R54, R55</w:t>
            </w:r>
          </w:p>
        </w:tc>
        <w:tc>
          <w:tcPr>
            <w:tcW w:type="dxa" w:w="2098"/>
          </w:tcPr>
          <w:p>
            <w:pPr>
              <w:spacing w:after="20" w:line="240" w:lineRule="auto"/>
            </w:pPr>
            <w:r>
              <w:rPr>
                <w:sz w:val="15"/>
              </w:rPr>
              <w:t>Formulas table in Section 7.4; zone awareness; Appendix H; RC-13</w:t>
            </w:r>
          </w:p>
        </w:tc>
      </w:tr>
      <w:tr>
        <w:trPr>
          <w:cantSplit w:val="true"/>
        </w:trPr>
        <w:tc>
          <w:tcPr>
            <w:tcW w:type="dxa" w:w="624"/>
            <w:shd w:val="clear" w:color="auto" w:fill="F2F5FA"/>
          </w:tcPr>
          <w:p>
            <w:pPr>
              <w:spacing w:after="20" w:line="240" w:lineRule="auto"/>
            </w:pPr>
            <w:r>
              <w:rPr>
                <w:sz w:val="15"/>
              </w:rPr>
              <w:t>F-16</w:t>
            </w:r>
          </w:p>
        </w:tc>
        <w:tc>
          <w:tcPr>
            <w:tcW w:type="dxa" w:w="680"/>
            <w:shd w:val="clear" w:color="auto" w:fill="F2F5FA"/>
          </w:tcPr>
          <w:p>
            <w:pPr>
              <w:spacing w:after="20" w:line="240" w:lineRule="auto"/>
            </w:pPr>
            <w:r>
              <w:rPr>
                <w:sz w:val="15"/>
              </w:rPr>
              <w:t>D1, D11</w:t>
            </w:r>
          </w:p>
        </w:tc>
        <w:tc>
          <w:tcPr>
            <w:tcW w:type="dxa" w:w="907"/>
            <w:shd w:val="clear" w:color="auto" w:fill="F2F5FA"/>
          </w:tcPr>
          <w:p>
            <w:pPr>
              <w:spacing w:after="20" w:line="240" w:lineRule="auto"/>
            </w:pPr>
            <w:r>
              <w:rPr>
                <w:sz w:val="15"/>
              </w:rPr>
              <w:t>Medium</w:t>
            </w:r>
          </w:p>
        </w:tc>
        <w:tc>
          <w:tcPr>
            <w:tcW w:type="dxa" w:w="3175"/>
            <w:shd w:val="clear" w:color="auto" w:fill="F2F5FA"/>
          </w:tcPr>
          <w:p>
            <w:pPr>
              <w:spacing w:after="20" w:line="240" w:lineRule="auto"/>
            </w:pPr>
            <w:r>
              <w:rPr>
                <w:sz w:val="15"/>
              </w:rPr>
              <w:t>No JVM guidance: no GC logging, no metaspace cap, no time zone setting for a database cloned from a non-UTC 8.8 system.</w:t>
            </w:r>
          </w:p>
        </w:tc>
        <w:tc>
          <w:tcPr>
            <w:tcW w:type="dxa" w:w="1928"/>
            <w:shd w:val="clear" w:color="auto" w:fill="F2F5FA"/>
          </w:tcPr>
          <w:p>
            <w:pPr>
              <w:spacing w:after="20" w:line="240" w:lineRule="auto"/>
            </w:pPr>
            <w:r>
              <w:rPr>
                <w:sz w:val="15"/>
              </w:rPr>
              <w:t>R23, R63</w:t>
            </w:r>
          </w:p>
        </w:tc>
        <w:tc>
          <w:tcPr>
            <w:tcW w:type="dxa" w:w="2098"/>
            <w:shd w:val="clear" w:color="auto" w:fill="F2F5FA"/>
          </w:tcPr>
          <w:p>
            <w:pPr>
              <w:spacing w:after="20" w:line="240" w:lineRule="auto"/>
            </w:pPr>
            <w:r>
              <w:rPr>
                <w:sz w:val="15"/>
              </w:rPr>
              <w:t xml:space="preserve">Section 9.2 subsection; </w:t>
            </w:r>
            <w:r>
              <w:rPr>
                <w:rFonts w:ascii="Consolas" w:hAnsi="Consolas"/>
                <w:color w:val="1F3864"/>
                <w:sz w:val="15"/>
              </w:rPr>
              <w:t>javaOpts</w:t>
            </w:r>
            <w:r>
              <w:rPr>
                <w:sz w:val="15"/>
              </w:rPr>
              <w:t xml:space="preserve"> in values (rendered); known issues</w:t>
            </w:r>
          </w:p>
        </w:tc>
      </w:tr>
      <w:tr>
        <w:trPr>
          <w:cantSplit w:val="true"/>
        </w:trPr>
        <w:tc>
          <w:tcPr>
            <w:tcW w:type="dxa" w:w="624"/>
          </w:tcPr>
          <w:p>
            <w:pPr>
              <w:spacing w:after="20" w:line="240" w:lineRule="auto"/>
            </w:pPr>
            <w:r>
              <w:rPr>
                <w:sz w:val="15"/>
              </w:rPr>
              <w:t>F-17</w:t>
            </w:r>
          </w:p>
        </w:tc>
        <w:tc>
          <w:tcPr>
            <w:tcW w:type="dxa" w:w="680"/>
          </w:tcPr>
          <w:p>
            <w:pPr>
              <w:spacing w:after="20" w:line="240" w:lineRule="auto"/>
            </w:pPr>
            <w:r>
              <w:rPr>
                <w:sz w:val="15"/>
              </w:rPr>
              <w:t>D1, D11</w:t>
            </w:r>
          </w:p>
        </w:tc>
        <w:tc>
          <w:tcPr>
            <w:tcW w:type="dxa" w:w="907"/>
          </w:tcPr>
          <w:p>
            <w:pPr>
              <w:spacing w:after="20" w:line="240" w:lineRule="auto"/>
            </w:pPr>
            <w:r>
              <w:rPr>
                <w:sz w:val="15"/>
              </w:rPr>
              <w:t>Medium</w:t>
            </w:r>
          </w:p>
        </w:tc>
        <w:tc>
          <w:tcPr>
            <w:tcW w:type="dxa" w:w="3175"/>
          </w:tcPr>
          <w:p>
            <w:pPr>
              <w:spacing w:after="20" w:line="240" w:lineRule="auto"/>
            </w:pPr>
            <w:r>
              <w:rPr>
                <w:sz w:val="15"/>
              </w:rPr>
              <w:t>A clone carries production's Pega Diagnostic Center setting, so non-production alerts would reach the production PDC system.</w:t>
            </w:r>
          </w:p>
        </w:tc>
        <w:tc>
          <w:tcPr>
            <w:tcW w:type="dxa" w:w="1928"/>
          </w:tcPr>
          <w:p>
            <w:pPr>
              <w:spacing w:after="20" w:line="240" w:lineRule="auto"/>
            </w:pPr>
            <w:r>
              <w:rPr>
                <w:sz w:val="15"/>
              </w:rPr>
              <w:t>R51</w:t>
            </w:r>
          </w:p>
        </w:tc>
        <w:tc>
          <w:tcPr>
            <w:tcW w:type="dxa" w:w="2098"/>
          </w:tcPr>
          <w:p>
            <w:pPr>
              <w:spacing w:after="20" w:line="240" w:lineRule="auto"/>
            </w:pPr>
            <w:r>
              <w:rPr>
                <w:sz w:val="15"/>
              </w:rPr>
              <w:t>CD-16; Section 18.3</w:t>
            </w:r>
          </w:p>
        </w:tc>
      </w:tr>
      <w:tr>
        <w:trPr>
          <w:cantSplit w:val="true"/>
        </w:trPr>
        <w:tc>
          <w:tcPr>
            <w:tcW w:type="dxa" w:w="624"/>
            <w:shd w:val="clear" w:color="auto" w:fill="F2F5FA"/>
          </w:tcPr>
          <w:p>
            <w:pPr>
              <w:spacing w:after="20" w:line="240" w:lineRule="auto"/>
            </w:pPr>
            <w:r>
              <w:rPr>
                <w:sz w:val="15"/>
              </w:rPr>
              <w:t>F-18</w:t>
            </w:r>
          </w:p>
        </w:tc>
        <w:tc>
          <w:tcPr>
            <w:tcW w:type="dxa" w:w="680"/>
            <w:shd w:val="clear" w:color="auto" w:fill="F2F5FA"/>
          </w:tcPr>
          <w:p>
            <w:pPr>
              <w:spacing w:after="20" w:line="240" w:lineRule="auto"/>
            </w:pPr>
            <w:r>
              <w:rPr>
                <w:sz w:val="15"/>
              </w:rPr>
              <w:t>D9</w:t>
            </w:r>
          </w:p>
        </w:tc>
        <w:tc>
          <w:tcPr>
            <w:tcW w:type="dxa" w:w="907"/>
            <w:shd w:val="clear" w:color="auto" w:fill="F2F5FA"/>
          </w:tcPr>
          <w:p>
            <w:pPr>
              <w:spacing w:after="20" w:line="240" w:lineRule="auto"/>
            </w:pPr>
            <w:r>
              <w:rPr>
                <w:sz w:val="15"/>
              </w:rPr>
              <w:t>High</w:t>
            </w:r>
          </w:p>
        </w:tc>
        <w:tc>
          <w:tcPr>
            <w:tcW w:type="dxa" w:w="3175"/>
            <w:shd w:val="clear" w:color="auto" w:fill="F2F5FA"/>
          </w:tcPr>
          <w:p>
            <w:pPr>
              <w:spacing w:after="20" w:line="240" w:lineRule="auto"/>
            </w:pPr>
            <w:r>
              <w:rPr>
                <w:sz w:val="15"/>
              </w:rPr>
              <w:t>Performance testing was four rows in a table: no reason why it is needed, workload model, test types, harness, measurement points, entry and exit criteria or pitfalls.</w:t>
            </w:r>
          </w:p>
        </w:tc>
        <w:tc>
          <w:tcPr>
            <w:tcW w:type="dxa" w:w="1928"/>
            <w:shd w:val="clear" w:color="auto" w:fill="F2F5FA"/>
          </w:tcPr>
          <w:p>
            <w:pPr>
              <w:spacing w:after="20" w:line="240" w:lineRule="auto"/>
            </w:pPr>
            <w:r>
              <w:rPr>
                <w:sz w:val="15"/>
              </w:rPr>
              <w:t>v2.0 Section 14.5</w:t>
            </w:r>
          </w:p>
        </w:tc>
        <w:tc>
          <w:tcPr>
            <w:tcW w:type="dxa" w:w="2098"/>
            <w:shd w:val="clear" w:color="auto" w:fill="F2F5FA"/>
          </w:tcPr>
          <w:p>
            <w:pPr>
              <w:spacing w:after="20" w:line="240" w:lineRule="auto"/>
            </w:pPr>
            <w:r>
              <w:rPr>
                <w:sz w:val="15"/>
              </w:rPr>
              <w:t>New Section 15 with harness figure and six measurement points; RK-16</w:t>
            </w:r>
          </w:p>
        </w:tc>
      </w:tr>
      <w:tr>
        <w:trPr>
          <w:cantSplit w:val="true"/>
        </w:trPr>
        <w:tc>
          <w:tcPr>
            <w:tcW w:type="dxa" w:w="624"/>
          </w:tcPr>
          <w:p>
            <w:pPr>
              <w:spacing w:after="20" w:line="240" w:lineRule="auto"/>
            </w:pPr>
            <w:r>
              <w:rPr>
                <w:sz w:val="15"/>
              </w:rPr>
              <w:t>F-19</w:t>
            </w:r>
          </w:p>
        </w:tc>
        <w:tc>
          <w:tcPr>
            <w:tcW w:type="dxa" w:w="680"/>
          </w:tcPr>
          <w:p>
            <w:pPr>
              <w:spacing w:after="20" w:line="240" w:lineRule="auto"/>
            </w:pPr>
            <w:r>
              <w:rPr>
                <w:sz w:val="15"/>
              </w:rPr>
              <w:t>D10</w:t>
            </w:r>
          </w:p>
        </w:tc>
        <w:tc>
          <w:tcPr>
            <w:tcW w:type="dxa" w:w="907"/>
          </w:tcPr>
          <w:p>
            <w:pPr>
              <w:spacing w:after="20" w:line="240" w:lineRule="auto"/>
            </w:pPr>
            <w:r>
              <w:rPr>
                <w:sz w:val="15"/>
              </w:rPr>
              <w:t>High</w:t>
            </w:r>
          </w:p>
        </w:tc>
        <w:tc>
          <w:tcPr>
            <w:tcW w:type="dxa" w:w="3175"/>
          </w:tcPr>
          <w:p>
            <w:pPr>
              <w:spacing w:after="20" w:line="240" w:lineRule="auto"/>
            </w:pPr>
            <w:r>
              <w:rPr>
                <w:sz w:val="15"/>
              </w:rPr>
              <w:t>No sizing method across layers and no calculator.</w:t>
            </w:r>
          </w:p>
        </w:tc>
        <w:tc>
          <w:tcPr>
            <w:tcW w:type="dxa" w:w="1928"/>
          </w:tcPr>
          <w:p>
            <w:pPr>
              <w:spacing w:after="20" w:line="240" w:lineRule="auto"/>
            </w:pPr>
            <w:r>
              <w:rPr>
                <w:sz w:val="15"/>
              </w:rPr>
              <w:t>v2.0</w:t>
            </w:r>
          </w:p>
        </w:tc>
        <w:tc>
          <w:tcPr>
            <w:tcW w:type="dxa" w:w="2098"/>
          </w:tcPr>
          <w:p>
            <w:pPr>
              <w:spacing w:after="20" w:line="240" w:lineRule="auto"/>
            </w:pPr>
            <w:r>
              <w:rPr>
                <w:sz w:val="15"/>
              </w:rPr>
              <w:t>Sections 15.7 to 15.9; Excel calculator with live formulas, checked by recalculation</w:t>
            </w:r>
          </w:p>
        </w:tc>
      </w:tr>
      <w:tr>
        <w:trPr>
          <w:cantSplit w:val="true"/>
        </w:trPr>
        <w:tc>
          <w:tcPr>
            <w:tcW w:type="dxa" w:w="624"/>
            <w:shd w:val="clear" w:color="auto" w:fill="F2F5FA"/>
          </w:tcPr>
          <w:p>
            <w:pPr>
              <w:spacing w:after="20" w:line="240" w:lineRule="auto"/>
            </w:pPr>
            <w:r>
              <w:rPr>
                <w:sz w:val="15"/>
              </w:rPr>
              <w:t>F-20</w:t>
            </w:r>
          </w:p>
        </w:tc>
        <w:tc>
          <w:tcPr>
            <w:tcW w:type="dxa" w:w="680"/>
            <w:shd w:val="clear" w:color="auto" w:fill="F2F5FA"/>
          </w:tcPr>
          <w:p>
            <w:pPr>
              <w:spacing w:after="20" w:line="240" w:lineRule="auto"/>
            </w:pPr>
            <w:r>
              <w:rPr>
                <w:sz w:val="15"/>
              </w:rPr>
              <w:t>D11</w:t>
            </w:r>
          </w:p>
        </w:tc>
        <w:tc>
          <w:tcPr>
            <w:tcW w:type="dxa" w:w="907"/>
            <w:shd w:val="clear" w:color="auto" w:fill="F2F5FA"/>
          </w:tcPr>
          <w:p>
            <w:pPr>
              <w:spacing w:after="20" w:line="240" w:lineRule="auto"/>
            </w:pPr>
            <w:r>
              <w:rPr>
                <w:sz w:val="15"/>
              </w:rPr>
              <w:t>High</w:t>
            </w:r>
          </w:p>
        </w:tc>
        <w:tc>
          <w:tcPr>
            <w:tcW w:type="dxa" w:w="3175"/>
            <w:shd w:val="clear" w:color="auto" w:fill="F2F5FA"/>
          </w:tcPr>
          <w:p>
            <w:pPr>
              <w:spacing w:after="20" w:line="240" w:lineRule="auto"/>
            </w:pPr>
            <w:r>
              <w:rPr>
                <w:sz w:val="15"/>
              </w:rPr>
              <w:t>Monitoring was one table and a small figure. No logging design, no Confluent Metrics API or audit log specifics, no OpenSearch slow logs, no PDC, dashboards, synthetic checks or correlation method.</w:t>
            </w:r>
          </w:p>
        </w:tc>
        <w:tc>
          <w:tcPr>
            <w:tcW w:type="dxa" w:w="1928"/>
            <w:shd w:val="clear" w:color="auto" w:fill="F2F5FA"/>
          </w:tcPr>
          <w:p>
            <w:pPr>
              <w:spacing w:after="20" w:line="240" w:lineRule="auto"/>
            </w:pPr>
            <w:r>
              <w:rPr>
                <w:sz w:val="15"/>
              </w:rPr>
              <w:t>v2.0 Section 17.1</w:t>
            </w:r>
          </w:p>
        </w:tc>
        <w:tc>
          <w:tcPr>
            <w:tcW w:type="dxa" w:w="2098"/>
            <w:shd w:val="clear" w:color="auto" w:fill="F2F5FA"/>
          </w:tcPr>
          <w:p>
            <w:pPr>
              <w:spacing w:after="20" w:line="240" w:lineRule="auto"/>
            </w:pPr>
            <w:r>
              <w:rPr>
                <w:sz w:val="15"/>
              </w:rPr>
              <w:t>New Section 18 with telemetry pipeline figure; alert table extended from 12 to 19 signals</w:t>
            </w:r>
          </w:p>
        </w:tc>
      </w:tr>
      <w:tr>
        <w:trPr>
          <w:cantSplit w:val="true"/>
        </w:trPr>
        <w:tc>
          <w:tcPr>
            <w:tcW w:type="dxa" w:w="624"/>
          </w:tcPr>
          <w:p>
            <w:pPr>
              <w:spacing w:after="20" w:line="240" w:lineRule="auto"/>
            </w:pPr>
            <w:r>
              <w:rPr>
                <w:sz w:val="15"/>
              </w:rPr>
              <w:t>F-21</w:t>
            </w:r>
          </w:p>
        </w:tc>
        <w:tc>
          <w:tcPr>
            <w:tcW w:type="dxa" w:w="680"/>
          </w:tcPr>
          <w:p>
            <w:pPr>
              <w:spacing w:after="20" w:line="240" w:lineRule="auto"/>
            </w:pPr>
            <w:r>
              <w:rPr>
                <w:sz w:val="15"/>
              </w:rPr>
              <w:t>D12</w:t>
            </w:r>
          </w:p>
        </w:tc>
        <w:tc>
          <w:tcPr>
            <w:tcW w:type="dxa" w:w="907"/>
          </w:tcPr>
          <w:p>
            <w:pPr>
              <w:spacing w:after="20" w:line="240" w:lineRule="auto"/>
            </w:pPr>
            <w:r>
              <w:rPr>
                <w:sz w:val="15"/>
              </w:rPr>
              <w:t>Medium</w:t>
            </w:r>
          </w:p>
        </w:tc>
        <w:tc>
          <w:tcPr>
            <w:tcW w:type="dxa" w:w="3175"/>
          </w:tcPr>
          <w:p>
            <w:pPr>
              <w:spacing w:after="20" w:line="240" w:lineRule="auto"/>
            </w:pPr>
            <w:r>
              <w:rPr>
                <w:sz w:val="15"/>
              </w:rPr>
              <w:t>No explicit order for building the six environments and no per-environment configuration checklist.</w:t>
            </w:r>
          </w:p>
        </w:tc>
        <w:tc>
          <w:tcPr>
            <w:tcW w:type="dxa" w:w="1928"/>
          </w:tcPr>
          <w:p>
            <w:pPr>
              <w:spacing w:after="20" w:line="240" w:lineRule="auto"/>
            </w:pPr>
            <w:r>
              <w:rPr>
                <w:sz w:val="15"/>
              </w:rPr>
              <w:t>v2.0 Section 12</w:t>
            </w:r>
          </w:p>
        </w:tc>
        <w:tc>
          <w:tcPr>
            <w:tcW w:type="dxa" w:w="2098"/>
          </w:tcPr>
          <w:p>
            <w:pPr>
              <w:spacing w:after="20" w:line="240" w:lineRule="auto"/>
            </w:pPr>
            <w:r>
              <w:rPr>
                <w:sz w:val="15"/>
              </w:rPr>
              <w:t>Section 12.10 with build waves figure, exit check per wave and a 13-item checklist</w:t>
            </w:r>
          </w:p>
        </w:tc>
      </w:tr>
      <w:tr>
        <w:trPr>
          <w:cantSplit w:val="true"/>
        </w:trPr>
        <w:tc>
          <w:tcPr>
            <w:tcW w:type="dxa" w:w="624"/>
            <w:shd w:val="clear" w:color="auto" w:fill="F2F5FA"/>
          </w:tcPr>
          <w:p>
            <w:pPr>
              <w:spacing w:after="20" w:line="240" w:lineRule="auto"/>
            </w:pPr>
            <w:r>
              <w:rPr>
                <w:sz w:val="15"/>
              </w:rPr>
              <w:t>F-22</w:t>
            </w:r>
          </w:p>
        </w:tc>
        <w:tc>
          <w:tcPr>
            <w:tcW w:type="dxa" w:w="680"/>
            <w:shd w:val="clear" w:color="auto" w:fill="F2F5FA"/>
          </w:tcPr>
          <w:p>
            <w:pPr>
              <w:spacing w:after="20" w:line="240" w:lineRule="auto"/>
            </w:pPr>
            <w:r>
              <w:rPr>
                <w:sz w:val="15"/>
              </w:rPr>
              <w:t>D7</w:t>
            </w:r>
          </w:p>
        </w:tc>
        <w:tc>
          <w:tcPr>
            <w:tcW w:type="dxa" w:w="907"/>
            <w:shd w:val="clear" w:color="auto" w:fill="F2F5FA"/>
          </w:tcPr>
          <w:p>
            <w:pPr>
              <w:spacing w:after="20" w:line="240" w:lineRule="auto"/>
            </w:pPr>
            <w:r>
              <w:rPr>
                <w:sz w:val="15"/>
              </w:rPr>
              <w:t>Low</w:t>
            </w:r>
          </w:p>
        </w:tc>
        <w:tc>
          <w:tcPr>
            <w:tcW w:type="dxa" w:w="3175"/>
            <w:shd w:val="clear" w:color="auto" w:fill="F2F5FA"/>
          </w:tcPr>
          <w:p>
            <w:pPr>
              <w:spacing w:after="20" w:line="240" w:lineRule="auto"/>
            </w:pPr>
            <w:r>
              <w:rPr>
                <w:sz w:val="15"/>
              </w:rPr>
              <w:t>Command S-5 called the SRS HTTPS endpoint without the private CA, so it would fail on TLS before testing the token.</w:t>
            </w:r>
          </w:p>
        </w:tc>
        <w:tc>
          <w:tcPr>
            <w:tcW w:type="dxa" w:w="1928"/>
            <w:shd w:val="clear" w:color="auto" w:fill="F2F5FA"/>
          </w:tcPr>
          <w:p>
            <w:pPr>
              <w:spacing w:after="20" w:line="240" w:lineRule="auto"/>
            </w:pPr>
            <w:r>
              <w:rPr>
                <w:sz w:val="15"/>
              </w:rPr>
              <w:t>Appendix C in v2.0</w:t>
            </w:r>
          </w:p>
        </w:tc>
        <w:tc>
          <w:tcPr>
            <w:tcW w:type="dxa" w:w="2098"/>
            <w:shd w:val="clear" w:color="auto" w:fill="F2F5FA"/>
          </w:tcPr>
          <w:p>
            <w:pPr>
              <w:spacing w:after="20" w:line="240" w:lineRule="auto"/>
            </w:pPr>
            <w:r>
              <w:rPr>
                <w:rFonts w:ascii="Consolas" w:hAnsi="Consolas"/>
                <w:color w:val="1F3864"/>
                <w:sz w:val="15"/>
              </w:rPr>
              <w:t>--cacert</w:t>
            </w:r>
            <w:r>
              <w:rPr>
                <w:sz w:val="15"/>
              </w:rPr>
              <w:t xml:space="preserve"> added; health call added</w:t>
            </w:r>
          </w:p>
        </w:tc>
      </w:tr>
      <w:tr>
        <w:trPr>
          <w:cantSplit w:val="true"/>
        </w:trPr>
        <w:tc>
          <w:tcPr>
            <w:tcW w:type="dxa" w:w="624"/>
          </w:tcPr>
          <w:p>
            <w:pPr>
              <w:spacing w:after="20" w:line="240" w:lineRule="auto"/>
            </w:pPr>
            <w:r>
              <w:rPr>
                <w:sz w:val="15"/>
              </w:rPr>
              <w:t>F-23</w:t>
            </w:r>
          </w:p>
        </w:tc>
        <w:tc>
          <w:tcPr>
            <w:tcW w:type="dxa" w:w="680"/>
          </w:tcPr>
          <w:p>
            <w:pPr>
              <w:spacing w:after="20" w:line="240" w:lineRule="auto"/>
            </w:pPr>
            <w:r>
              <w:rPr>
                <w:sz w:val="15"/>
              </w:rPr>
              <w:t>D13</w:t>
            </w:r>
          </w:p>
        </w:tc>
        <w:tc>
          <w:tcPr>
            <w:tcW w:type="dxa" w:w="907"/>
          </w:tcPr>
          <w:p>
            <w:pPr>
              <w:spacing w:after="20" w:line="240" w:lineRule="auto"/>
            </w:pPr>
            <w:r>
              <w:rPr>
                <w:sz w:val="15"/>
              </w:rPr>
              <w:t>Low</w:t>
            </w:r>
          </w:p>
        </w:tc>
        <w:tc>
          <w:tcPr>
            <w:tcW w:type="dxa" w:w="3175"/>
          </w:tcPr>
          <w:p>
            <w:pPr>
              <w:spacing w:after="20" w:line="240" w:lineRule="auto"/>
            </w:pPr>
            <w:r>
              <w:rPr>
                <w:sz w:val="15"/>
              </w:rPr>
              <w:t>The telemetry figure showed GC logs on stdout, while Pega's recommended setting writes them to a file.</w:t>
            </w:r>
          </w:p>
        </w:tc>
        <w:tc>
          <w:tcPr>
            <w:tcW w:type="dxa" w:w="1928"/>
          </w:tcPr>
          <w:p>
            <w:pPr>
              <w:spacing w:after="20" w:line="240" w:lineRule="auto"/>
            </w:pPr>
            <w:r>
              <w:rPr>
                <w:sz w:val="15"/>
              </w:rPr>
              <w:t>R63</w:t>
            </w:r>
          </w:p>
        </w:tc>
        <w:tc>
          <w:tcPr>
            <w:tcW w:type="dxa" w:w="2098"/>
          </w:tcPr>
          <w:p>
            <w:pPr>
              <w:spacing w:after="20" w:line="240" w:lineRule="auto"/>
            </w:pPr>
            <w:r>
              <w:rPr>
                <w:sz w:val="15"/>
              </w:rPr>
              <w:t>Figure redrawn</w:t>
            </w:r>
          </w:p>
        </w:tc>
      </w:tr>
      <w:tr>
        <w:trPr>
          <w:cantSplit w:val="true"/>
        </w:trPr>
        <w:tc>
          <w:tcPr>
            <w:tcW w:type="dxa" w:w="624"/>
            <w:shd w:val="clear" w:color="auto" w:fill="F2F5FA"/>
          </w:tcPr>
          <w:p>
            <w:pPr>
              <w:spacing w:after="20" w:line="240" w:lineRule="auto"/>
            </w:pPr>
            <w:r>
              <w:rPr>
                <w:sz w:val="15"/>
              </w:rPr>
              <w:t>F-24</w:t>
            </w:r>
          </w:p>
        </w:tc>
        <w:tc>
          <w:tcPr>
            <w:tcW w:type="dxa" w:w="680"/>
            <w:shd w:val="clear" w:color="auto" w:fill="F2F5FA"/>
          </w:tcPr>
          <w:p>
            <w:pPr>
              <w:spacing w:after="20" w:line="240" w:lineRule="auto"/>
            </w:pPr>
            <w:r>
              <w:rPr>
                <w:sz w:val="15"/>
              </w:rPr>
              <w:t>D7</w:t>
            </w:r>
          </w:p>
        </w:tc>
        <w:tc>
          <w:tcPr>
            <w:tcW w:type="dxa" w:w="907"/>
            <w:shd w:val="clear" w:color="auto" w:fill="F2F5FA"/>
          </w:tcPr>
          <w:p>
            <w:pPr>
              <w:spacing w:after="20" w:line="240" w:lineRule="auto"/>
            </w:pPr>
            <w:r>
              <w:rPr>
                <w:sz w:val="15"/>
              </w:rPr>
              <w:t>Medium</w:t>
            </w:r>
          </w:p>
        </w:tc>
        <w:tc>
          <w:tcPr>
            <w:tcW w:type="dxa" w:w="3175"/>
            <w:shd w:val="clear" w:color="auto" w:fill="F2F5FA"/>
          </w:tcPr>
          <w:p>
            <w:pPr>
              <w:spacing w:after="20" w:line="240" w:lineRule="auto"/>
            </w:pPr>
            <w:r>
              <w:rPr>
                <w:sz w:val="15"/>
              </w:rPr>
              <w:t>Known issues did not cover the defects above, or platform issues such as uneven zone spread, out-of-memory kills and time zone drift.</w:t>
            </w:r>
          </w:p>
        </w:tc>
        <w:tc>
          <w:tcPr>
            <w:tcW w:type="dxa" w:w="1928"/>
            <w:shd w:val="clear" w:color="auto" w:fill="F2F5FA"/>
          </w:tcPr>
          <w:p>
            <w:pPr>
              <w:spacing w:after="20" w:line="240" w:lineRule="auto"/>
            </w:pPr>
            <w:r>
              <w:rPr>
                <w:sz w:val="15"/>
              </w:rPr>
              <w:t>v2.0 Section 15</w:t>
            </w:r>
          </w:p>
        </w:tc>
        <w:tc>
          <w:tcPr>
            <w:tcW w:type="dxa" w:w="2098"/>
            <w:shd w:val="clear" w:color="auto" w:fill="F2F5FA"/>
          </w:tcPr>
          <w:p>
            <w:pPr>
              <w:spacing w:after="20" w:line="240" w:lineRule="auto"/>
            </w:pPr>
            <w:r>
              <w:rPr>
                <w:sz w:val="15"/>
              </w:rPr>
              <w:t>14 new known-issue rows, including a new Platform table; 5 new failure scenarios</w:t>
            </w:r>
          </w:p>
        </w:tc>
      </w:tr>
    </w:tbl>
    <w:p>
      <w:pPr>
        <w:spacing w:after="0" w:before="0" w:line="120" w:lineRule="exact"/>
      </w:pPr>
      <w:r>
        <w:rPr>
          <w:sz w:val="12"/>
        </w:rPr>
      </w:r>
    </w:p>
    <w:p>
      <w:pPr>
        <w:pStyle w:val="Heading2"/>
      </w:pPr>
      <w:r>
        <w:t>4.1  Confirmed as correct</w:t>
      </w:r>
    </w:p>
    <w:p>
      <w:r>
        <w:t>These design points were checked and needed no change.</w:t>
      </w:r>
    </w:p>
    <w:p>
      <w:pPr>
        <w:pStyle w:val="Caption"/>
        <w:keepNext/>
        <w:spacing w:before="80"/>
      </w:pPr>
      <w:r>
        <w:t>Table 4. Design points confirmed</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2041"/>
        <w:gridCol w:w="6010"/>
        <w:gridCol w:w="1360"/>
      </w:tblGrid>
      <w:tr>
        <w:trPr>
          <w:tblHeader w:val="true"/>
          <w:cantSplit w:val="true"/>
        </w:trPr>
        <w:tc>
          <w:tcPr>
            <w:tcW w:type="dxa" w:w="2041"/>
            <w:shd w:val="clear" w:color="auto" w:fill="1F3864"/>
          </w:tcPr>
          <w:p>
            <w:pPr>
              <w:spacing w:after="0"/>
            </w:pPr>
            <w:r>
              <w:rPr>
                <w:b/>
                <w:color w:val="FFFFFF"/>
                <w:sz w:val="17"/>
              </w:rPr>
              <w:t>Area</w:t>
            </w:r>
          </w:p>
        </w:tc>
        <w:tc>
          <w:tcPr>
            <w:tcW w:type="dxa" w:w="6009"/>
            <w:shd w:val="clear" w:color="auto" w:fill="1F3864"/>
          </w:tcPr>
          <w:p>
            <w:pPr>
              <w:spacing w:after="0"/>
            </w:pPr>
            <w:r>
              <w:rPr>
                <w:b/>
                <w:color w:val="FFFFFF"/>
                <w:sz w:val="17"/>
              </w:rPr>
              <w:t>Design point</w:t>
            </w:r>
          </w:p>
        </w:tc>
        <w:tc>
          <w:tcPr>
            <w:tcW w:type="dxa" w:w="1361"/>
            <w:shd w:val="clear" w:color="auto" w:fill="1F3864"/>
          </w:tcPr>
          <w:p>
            <w:pPr>
              <w:spacing w:after="0"/>
            </w:pPr>
            <w:r>
              <w:rPr>
                <w:b/>
                <w:color w:val="FFFFFF"/>
                <w:sz w:val="17"/>
              </w:rPr>
              <w:t>Source</w:t>
            </w:r>
          </w:p>
        </w:tc>
      </w:tr>
      <w:tr>
        <w:trPr>
          <w:cantSplit w:val="true"/>
        </w:trPr>
        <w:tc>
          <w:tcPr>
            <w:tcW w:type="dxa" w:w="2041"/>
          </w:tcPr>
          <w:p>
            <w:pPr>
              <w:spacing w:after="20" w:line="240" w:lineRule="auto"/>
            </w:pPr>
            <w:r>
              <w:rPr>
                <w:sz w:val="17"/>
              </w:rPr>
              <w:t>Kafka ACLs</w:t>
            </w:r>
          </w:p>
        </w:tc>
        <w:tc>
          <w:tcPr>
            <w:tcW w:type="dxa" w:w="6009"/>
          </w:tcPr>
          <w:p>
            <w:pPr>
              <w:spacing w:after="20" w:line="240" w:lineRule="auto"/>
            </w:pPr>
            <w:r>
              <w:rPr>
                <w:sz w:val="17"/>
              </w:rPr>
              <w:t xml:space="preserve">TOPIC and GROUP ALL PREFIXED on the environment prefix; TRANSACTIONAL_ID </w:t>
            </w:r>
            <w:r>
              <w:rPr>
                <w:rFonts w:ascii="Consolas" w:hAnsi="Consolas"/>
                <w:color w:val="1F3864"/>
                <w:sz w:val="17"/>
              </w:rPr>
              <w:t>*</w:t>
            </w:r>
            <w:r>
              <w:rPr>
                <w:sz w:val="17"/>
              </w:rPr>
              <w:t>; CLUSTER IDEMPOTENT_WRITE</w:t>
            </w:r>
          </w:p>
        </w:tc>
        <w:tc>
          <w:tcPr>
            <w:tcW w:type="dxa" w:w="1361"/>
          </w:tcPr>
          <w:p>
            <w:pPr>
              <w:spacing w:after="20" w:line="240" w:lineRule="auto"/>
            </w:pPr>
            <w:r>
              <w:rPr>
                <w:sz w:val="17"/>
              </w:rPr>
              <w:t>R11</w:t>
            </w:r>
          </w:p>
        </w:tc>
      </w:tr>
      <w:tr>
        <w:trPr>
          <w:cantSplit w:val="true"/>
        </w:trPr>
        <w:tc>
          <w:tcPr>
            <w:tcW w:type="dxa" w:w="2041"/>
            <w:shd w:val="clear" w:color="auto" w:fill="F2F5FA"/>
          </w:tcPr>
          <w:p>
            <w:pPr>
              <w:spacing w:after="20" w:line="240" w:lineRule="auto"/>
            </w:pPr>
            <w:r>
              <w:rPr>
                <w:sz w:val="17"/>
              </w:rPr>
              <w:t>Kafka settings</w:t>
            </w:r>
          </w:p>
        </w:tc>
        <w:tc>
          <w:tcPr>
            <w:tcW w:type="dxa" w:w="6009"/>
            <w:shd w:val="clear" w:color="auto" w:fill="F2F5FA"/>
          </w:tcPr>
          <w:p>
            <w:pPr>
              <w:spacing w:after="20" w:line="240" w:lineRule="auto"/>
            </w:pPr>
            <w:r>
              <w:rPr>
                <w:sz w:val="17"/>
              </w:rPr>
              <w:t xml:space="preserve">Replication factor 3; topic </w:t>
            </w:r>
            <w:r>
              <w:rPr>
                <w:rFonts w:ascii="Consolas" w:hAnsi="Consolas"/>
                <w:color w:val="1F3864"/>
                <w:sz w:val="17"/>
              </w:rPr>
              <w:t>max.message.bytes</w:t>
            </w:r>
            <w:r>
              <w:rPr>
                <w:sz w:val="17"/>
              </w:rPr>
              <w:t xml:space="preserve"> 5,000,000; broker settings that are not editable on Confluent Cloud logged as RC-03</w:t>
            </w:r>
          </w:p>
        </w:tc>
        <w:tc>
          <w:tcPr>
            <w:tcW w:type="dxa" w:w="1361"/>
            <w:shd w:val="clear" w:color="auto" w:fill="F2F5FA"/>
          </w:tcPr>
          <w:p>
            <w:pPr>
              <w:spacing w:after="20" w:line="240" w:lineRule="auto"/>
            </w:pPr>
            <w:r>
              <w:rPr>
                <w:sz w:val="17"/>
              </w:rPr>
              <w:t>R11, R33, R34</w:t>
            </w:r>
          </w:p>
        </w:tc>
      </w:tr>
      <w:tr>
        <w:trPr>
          <w:cantSplit w:val="true"/>
        </w:trPr>
        <w:tc>
          <w:tcPr>
            <w:tcW w:type="dxa" w:w="2041"/>
          </w:tcPr>
          <w:p>
            <w:pPr>
              <w:spacing w:after="20" w:line="240" w:lineRule="auto"/>
            </w:pPr>
            <w:r>
              <w:rPr>
                <w:sz w:val="17"/>
              </w:rPr>
              <w:t>No stream or index migration from 8.8</w:t>
            </w:r>
          </w:p>
        </w:tc>
        <w:tc>
          <w:tcPr>
            <w:tcW w:type="dxa" w:w="6009"/>
          </w:tcPr>
          <w:p>
            <w:pPr>
              <w:spacing w:after="20" w:line="240" w:lineRule="auto"/>
            </w:pPr>
            <w:r>
              <w:rPr>
                <w:sz w:val="17"/>
              </w:rPr>
              <w:t>Embedded Kafka and Elasticsearch data cannot be moved; indexes are rebuilt through SRS</w:t>
            </w:r>
          </w:p>
        </w:tc>
        <w:tc>
          <w:tcPr>
            <w:tcW w:type="dxa" w:w="1361"/>
          </w:tcPr>
          <w:p>
            <w:pPr>
              <w:spacing w:after="20" w:line="240" w:lineRule="auto"/>
            </w:pPr>
            <w:r>
              <w:rPr>
                <w:sz w:val="17"/>
              </w:rPr>
              <w:t>R13, R15</w:t>
            </w:r>
          </w:p>
        </w:tc>
      </w:tr>
      <w:tr>
        <w:trPr>
          <w:cantSplit w:val="true"/>
        </w:trPr>
        <w:tc>
          <w:tcPr>
            <w:tcW w:type="dxa" w:w="2041"/>
            <w:shd w:val="clear" w:color="auto" w:fill="F2F5FA"/>
          </w:tcPr>
          <w:p>
            <w:pPr>
              <w:spacing w:after="20" w:line="240" w:lineRule="auto"/>
            </w:pPr>
            <w:r>
              <w:rPr>
                <w:sz w:val="17"/>
              </w:rPr>
              <w:t>Run sequence</w:t>
            </w:r>
          </w:p>
        </w:tc>
        <w:tc>
          <w:tcPr>
            <w:tcW w:type="dxa" w:w="6009"/>
            <w:shd w:val="clear" w:color="auto" w:fill="F2F5FA"/>
          </w:tcPr>
          <w:p>
            <w:pPr>
              <w:spacing w:after="20" w:line="240" w:lineRule="auto"/>
            </w:pPr>
            <w:r>
              <w:rPr>
                <w:rFonts w:ascii="Consolas" w:hAnsi="Consolas"/>
                <w:color w:val="1F3864"/>
                <w:sz w:val="17"/>
              </w:rPr>
              <w:t>upgrade</w:t>
            </w:r>
            <w:r>
              <w:rPr>
                <w:sz w:val="17"/>
              </w:rPr>
              <w:t xml:space="preserve"> run, then first start with the batch tier at zero, then deploy; </w:t>
            </w:r>
            <w:r>
              <w:rPr>
                <w:rFonts w:ascii="Consolas" w:hAnsi="Consolas"/>
                <w:color w:val="1F3864"/>
                <w:sz w:val="17"/>
              </w:rPr>
              <w:t>upgrade-deploy</w:t>
            </w:r>
            <w:r>
              <w:rPr>
                <w:sz w:val="17"/>
              </w:rPr>
              <w:t xml:space="preserve"> avoided</w:t>
            </w:r>
          </w:p>
        </w:tc>
        <w:tc>
          <w:tcPr>
            <w:tcW w:type="dxa" w:w="1361"/>
            <w:shd w:val="clear" w:color="auto" w:fill="F2F5FA"/>
          </w:tcPr>
          <w:p>
            <w:pPr>
              <w:spacing w:after="20" w:line="240" w:lineRule="auto"/>
            </w:pPr>
            <w:r>
              <w:rPr>
                <w:sz w:val="17"/>
              </w:rPr>
              <w:t>R23</w:t>
            </w:r>
          </w:p>
        </w:tc>
      </w:tr>
      <w:tr>
        <w:trPr>
          <w:cantSplit w:val="true"/>
        </w:trPr>
        <w:tc>
          <w:tcPr>
            <w:tcW w:type="dxa" w:w="2041"/>
          </w:tcPr>
          <w:p>
            <w:pPr>
              <w:spacing w:after="20" w:line="240" w:lineRule="auto"/>
            </w:pPr>
            <w:r>
              <w:rPr>
                <w:sz w:val="17"/>
              </w:rPr>
              <w:t>Hazelcast</w:t>
            </w:r>
          </w:p>
        </w:tc>
        <w:tc>
          <w:tcPr>
            <w:tcW w:type="dxa" w:w="6009"/>
          </w:tcPr>
          <w:p>
            <w:pPr>
              <w:spacing w:after="20" w:line="240" w:lineRule="auto"/>
            </w:pPr>
            <w:r>
              <w:rPr>
                <w:sz w:val="17"/>
              </w:rPr>
              <w:t>Disabled; removal question raised for an offline-upgraded clone (GQ-03)</w:t>
            </w:r>
          </w:p>
        </w:tc>
        <w:tc>
          <w:tcPr>
            <w:tcW w:type="dxa" w:w="1361"/>
          </w:tcPr>
          <w:p>
            <w:pPr>
              <w:spacing w:after="20" w:line="240" w:lineRule="auto"/>
            </w:pPr>
            <w:r>
              <w:rPr>
                <w:sz w:val="17"/>
              </w:rPr>
              <w:t>R5, R6</w:t>
            </w:r>
          </w:p>
        </w:tc>
      </w:tr>
      <w:tr>
        <w:trPr>
          <w:cantSplit w:val="true"/>
        </w:trPr>
        <w:tc>
          <w:tcPr>
            <w:tcW w:type="dxa" w:w="2041"/>
            <w:shd w:val="clear" w:color="auto" w:fill="F2F5FA"/>
          </w:tcPr>
          <w:p>
            <w:pPr>
              <w:spacing w:after="20" w:line="240" w:lineRule="auto"/>
            </w:pPr>
            <w:r>
              <w:rPr>
                <w:sz w:val="17"/>
              </w:rPr>
              <w:t>customerDeploymentId</w:t>
            </w:r>
          </w:p>
        </w:tc>
        <w:tc>
          <w:tcPr>
            <w:tcW w:type="dxa" w:w="6009"/>
            <w:shd w:val="clear" w:color="auto" w:fill="F2F5FA"/>
          </w:tcPr>
          <w:p>
            <w:pPr>
              <w:spacing w:after="20" w:line="240" w:lineRule="auto"/>
            </w:pPr>
            <w:r>
              <w:rPr>
                <w:sz w:val="17"/>
              </w:rPr>
              <w:t xml:space="preserve">Set explicitly per environment and matched to the Okta </w:t>
            </w:r>
            <w:r>
              <w:rPr>
                <w:rFonts w:ascii="Consolas" w:hAnsi="Consolas"/>
                <w:color w:val="1F3864"/>
                <w:sz w:val="17"/>
              </w:rPr>
              <w:t>guid</w:t>
            </w:r>
            <w:r>
              <w:rPr>
                <w:sz w:val="17"/>
              </w:rPr>
              <w:t xml:space="preserve"> claim</w:t>
            </w:r>
          </w:p>
        </w:tc>
        <w:tc>
          <w:tcPr>
            <w:tcW w:type="dxa" w:w="1361"/>
            <w:shd w:val="clear" w:color="auto" w:fill="F2F5FA"/>
          </w:tcPr>
          <w:p>
            <w:pPr>
              <w:spacing w:after="20" w:line="240" w:lineRule="auto"/>
            </w:pPr>
            <w:r>
              <w:rPr>
                <w:sz w:val="17"/>
              </w:rPr>
              <w:t>R23</w:t>
            </w:r>
          </w:p>
        </w:tc>
      </w:tr>
      <w:tr>
        <w:trPr>
          <w:cantSplit w:val="true"/>
        </w:trPr>
        <w:tc>
          <w:tcPr>
            <w:tcW w:type="dxa" w:w="2041"/>
          </w:tcPr>
          <w:p>
            <w:pPr>
              <w:spacing w:after="20" w:line="240" w:lineRule="auto"/>
            </w:pPr>
            <w:r>
              <w:rPr>
                <w:sz w:val="17"/>
              </w:rPr>
              <w:t>Okta</w:t>
            </w:r>
          </w:p>
        </w:tc>
        <w:tc>
          <w:tcPr>
            <w:tcW w:type="dxa" w:w="6009"/>
          </w:tcPr>
          <w:p>
            <w:pPr>
              <w:spacing w:after="20" w:line="240" w:lineRule="auto"/>
            </w:pPr>
            <w:r>
              <w:rPr>
                <w:sz w:val="17"/>
              </w:rPr>
              <w:t>Custom authorization server needed for the custom scope and claim</w:t>
            </w:r>
          </w:p>
        </w:tc>
        <w:tc>
          <w:tcPr>
            <w:tcW w:type="dxa" w:w="1361"/>
          </w:tcPr>
          <w:p>
            <w:pPr>
              <w:spacing w:after="20" w:line="240" w:lineRule="auto"/>
            </w:pPr>
            <w:r>
              <w:rPr>
                <w:sz w:val="17"/>
              </w:rPr>
              <w:t>R42 to R44</w:t>
            </w:r>
          </w:p>
        </w:tc>
      </w:tr>
      <w:tr>
        <w:trPr>
          <w:cantSplit w:val="true"/>
        </w:trPr>
        <w:tc>
          <w:tcPr>
            <w:tcW w:type="dxa" w:w="2041"/>
            <w:shd w:val="clear" w:color="auto" w:fill="F2F5FA"/>
          </w:tcPr>
          <w:p>
            <w:pPr>
              <w:spacing w:after="20" w:line="240" w:lineRule="auto"/>
            </w:pPr>
            <w:r>
              <w:rPr>
                <w:sz w:val="17"/>
              </w:rPr>
              <w:t>Cluster settings for SRS</w:t>
            </w:r>
          </w:p>
        </w:tc>
        <w:tc>
          <w:tcPr>
            <w:tcW w:type="dxa" w:w="6009"/>
            <w:shd w:val="clear" w:color="auto" w:fill="F2F5FA"/>
          </w:tcPr>
          <w:p>
            <w:pPr>
              <w:spacing w:after="20" w:line="240" w:lineRule="auto"/>
            </w:pPr>
            <w:r>
              <w:rPr>
                <w:sz w:val="17"/>
              </w:rPr>
              <w:t xml:space="preserve">Index auto-creation off; </w:t>
            </w:r>
            <w:r>
              <w:rPr>
                <w:rFonts w:ascii="Consolas" w:hAnsi="Consolas"/>
                <w:color w:val="1F3864"/>
                <w:sz w:val="17"/>
              </w:rPr>
              <w:t>destructive_requires_name</w:t>
            </w:r>
            <w:r>
              <w:rPr>
                <w:sz w:val="17"/>
              </w:rPr>
              <w:t xml:space="preserve"> false</w:t>
            </w:r>
          </w:p>
        </w:tc>
        <w:tc>
          <w:tcPr>
            <w:tcW w:type="dxa" w:w="1361"/>
            <w:shd w:val="clear" w:color="auto" w:fill="F2F5FA"/>
          </w:tcPr>
          <w:p>
            <w:pPr>
              <w:spacing w:after="20" w:line="240" w:lineRule="auto"/>
            </w:pPr>
            <w:r>
              <w:rPr>
                <w:sz w:val="17"/>
              </w:rPr>
              <w:t>R14</w:t>
            </w:r>
          </w:p>
        </w:tc>
      </w:tr>
      <w:tr>
        <w:trPr>
          <w:cantSplit w:val="true"/>
        </w:trPr>
        <w:tc>
          <w:tcPr>
            <w:tcW w:type="dxa" w:w="2041"/>
          </w:tcPr>
          <w:p>
            <w:pPr>
              <w:spacing w:after="20" w:line="240" w:lineRule="auto"/>
            </w:pPr>
            <w:r>
              <w:rPr>
                <w:sz w:val="17"/>
              </w:rPr>
              <w:t>Private Link DNS</w:t>
            </w:r>
          </w:p>
        </w:tc>
        <w:tc>
          <w:tcPr>
            <w:tcW w:type="dxa" w:w="6009"/>
          </w:tcPr>
          <w:p>
            <w:pPr>
              <w:spacing w:after="20" w:line="240" w:lineRule="auto"/>
            </w:pPr>
            <w:r>
              <w:rPr>
                <w:sz w:val="17"/>
              </w:rPr>
              <w:t>Wildcard and zonal records; checks K-1 to K-3</w:t>
            </w:r>
          </w:p>
        </w:tc>
        <w:tc>
          <w:tcPr>
            <w:tcW w:type="dxa" w:w="1361"/>
          </w:tcPr>
          <w:p>
            <w:pPr>
              <w:spacing w:after="20" w:line="240" w:lineRule="auto"/>
            </w:pPr>
            <w:r>
              <w:rPr>
                <w:sz w:val="17"/>
              </w:rPr>
              <w:t>R32</w:t>
            </w:r>
          </w:p>
        </w:tc>
      </w:tr>
      <w:tr>
        <w:trPr>
          <w:cantSplit w:val="true"/>
        </w:trPr>
        <w:tc>
          <w:tcPr>
            <w:tcW w:type="dxa" w:w="2041"/>
            <w:shd w:val="clear" w:color="auto" w:fill="F2F5FA"/>
          </w:tcPr>
          <w:p>
            <w:pPr>
              <w:spacing w:after="20" w:line="240" w:lineRule="auto"/>
            </w:pPr>
            <w:r>
              <w:rPr>
                <w:sz w:val="17"/>
              </w:rPr>
              <w:t>Secrets</w:t>
            </w:r>
          </w:p>
        </w:tc>
        <w:tc>
          <w:tcPr>
            <w:tcW w:type="dxa" w:w="6009"/>
            <w:shd w:val="clear" w:color="auto" w:fill="F2F5FA"/>
          </w:tcPr>
          <w:p>
            <w:pPr>
              <w:spacing w:after="20" w:line="240" w:lineRule="auto"/>
            </w:pPr>
            <w:r>
              <w:rPr>
                <w:sz w:val="17"/>
              </w:rPr>
              <w:t>External secrets only; keys named as the chart requires</w:t>
            </w:r>
          </w:p>
        </w:tc>
        <w:tc>
          <w:tcPr>
            <w:tcW w:type="dxa" w:w="1361"/>
            <w:shd w:val="clear" w:color="auto" w:fill="F2F5FA"/>
          </w:tcPr>
          <w:p>
            <w:pPr>
              <w:spacing w:after="20" w:line="240" w:lineRule="auto"/>
            </w:pPr>
            <w:r>
              <w:rPr>
                <w:sz w:val="17"/>
              </w:rPr>
              <w:t>R23, R48</w:t>
            </w:r>
          </w:p>
        </w:tc>
      </w:tr>
    </w:tbl>
    <w:p>
      <w:pPr>
        <w:spacing w:after="0" w:before="0" w:line="120" w:lineRule="exact"/>
      </w:pPr>
      <w:r>
        <w:rPr>
          <w:sz w:val="12"/>
        </w:rPr>
      </w:r>
    </w:p>
    <w:p>
      <w:pPr>
        <w:pStyle w:val="Heading1"/>
        <w:pageBreakBefore/>
      </w:pPr>
      <w:r>
        <w:t>5  Scorecard</w:t>
      </w:r>
    </w:p>
    <w:p>
      <w:r>
        <w:t>Scores are the reviewer's judgement on a five-point scale: 1 missing or wrong; 2 present with errors that would cause failures; 3 correct but with material gaps; 4 complete for the current stage, with inputs still to be measured; 5 complete and verified. A score of 4 after correction means the method is in place but depends on measurements or decisions that only the programme can supply.</w:t>
      </w:r>
    </w:p>
    <w:p>
      <w:pPr>
        <w:pStyle w:val="Caption"/>
        <w:keepNext/>
        <w:spacing w:before="80"/>
      </w:pPr>
      <w:r>
        <w:t>Table 5. Scorecard before and after the corrections</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623"/>
        <w:gridCol w:w="2608"/>
        <w:gridCol w:w="1134"/>
        <w:gridCol w:w="1134"/>
        <w:gridCol w:w="3912"/>
      </w:tblGrid>
      <w:tr>
        <w:trPr>
          <w:tblHeader w:val="true"/>
          <w:cantSplit w:val="true"/>
        </w:trPr>
        <w:tc>
          <w:tcPr>
            <w:tcW w:type="dxa" w:w="624"/>
            <w:shd w:val="clear" w:color="auto" w:fill="1F3864"/>
          </w:tcPr>
          <w:p>
            <w:pPr>
              <w:spacing w:after="0"/>
            </w:pPr>
            <w:r>
              <w:rPr>
                <w:b/>
                <w:color w:val="FFFFFF"/>
                <w:sz w:val="17"/>
              </w:rPr>
              <w:t>ID</w:t>
            </w:r>
          </w:p>
        </w:tc>
        <w:tc>
          <w:tcPr>
            <w:tcW w:type="dxa" w:w="2608"/>
            <w:shd w:val="clear" w:color="auto" w:fill="1F3864"/>
          </w:tcPr>
          <w:p>
            <w:pPr>
              <w:spacing w:after="0"/>
            </w:pPr>
            <w:r>
              <w:rPr>
                <w:b/>
                <w:color w:val="FFFFFF"/>
                <w:sz w:val="17"/>
              </w:rPr>
              <w:t>Dimension</w:t>
            </w:r>
          </w:p>
        </w:tc>
        <w:tc>
          <w:tcPr>
            <w:tcW w:type="dxa" w:w="1134"/>
            <w:shd w:val="clear" w:color="auto" w:fill="1F3864"/>
          </w:tcPr>
          <w:p>
            <w:pPr>
              <w:spacing w:after="0"/>
            </w:pPr>
            <w:r>
              <w:rPr>
                <w:b/>
                <w:color w:val="FFFFFF"/>
                <w:sz w:val="17"/>
              </w:rPr>
              <w:t>Version 2.0</w:t>
            </w:r>
          </w:p>
        </w:tc>
        <w:tc>
          <w:tcPr>
            <w:tcW w:type="dxa" w:w="1134"/>
            <w:shd w:val="clear" w:color="auto" w:fill="1F3864"/>
          </w:tcPr>
          <w:p>
            <w:pPr>
              <w:spacing w:after="0"/>
            </w:pPr>
            <w:r>
              <w:rPr>
                <w:b/>
                <w:color w:val="FFFFFF"/>
                <w:sz w:val="17"/>
              </w:rPr>
              <w:t>Version 2.1</w:t>
            </w:r>
          </w:p>
        </w:tc>
        <w:tc>
          <w:tcPr>
            <w:tcW w:type="dxa" w:w="3912"/>
            <w:shd w:val="clear" w:color="auto" w:fill="1F3864"/>
          </w:tcPr>
          <w:p>
            <w:pPr>
              <w:spacing w:after="0"/>
            </w:pPr>
            <w:r>
              <w:rPr>
                <w:b/>
                <w:color w:val="FFFFFF"/>
                <w:sz w:val="17"/>
              </w:rPr>
              <w:t>What limits the score</w:t>
            </w:r>
          </w:p>
        </w:tc>
      </w:tr>
      <w:tr>
        <w:trPr>
          <w:cantSplit w:val="true"/>
        </w:trPr>
        <w:tc>
          <w:tcPr>
            <w:tcW w:type="dxa" w:w="624"/>
          </w:tcPr>
          <w:p>
            <w:pPr>
              <w:spacing w:after="20" w:line="240" w:lineRule="auto"/>
            </w:pPr>
            <w:r>
              <w:rPr>
                <w:sz w:val="17"/>
              </w:rPr>
              <w:t>D1</w:t>
            </w:r>
          </w:p>
        </w:tc>
        <w:tc>
          <w:tcPr>
            <w:tcW w:type="dxa" w:w="2608"/>
          </w:tcPr>
          <w:p>
            <w:pPr>
              <w:spacing w:after="20" w:line="240" w:lineRule="auto"/>
            </w:pPr>
            <w:r>
              <w:rPr>
                <w:sz w:val="17"/>
              </w:rPr>
              <w:t>Alignment with Pega</w:t>
            </w:r>
          </w:p>
        </w:tc>
        <w:tc>
          <w:tcPr>
            <w:tcW w:type="dxa" w:w="1134"/>
          </w:tcPr>
          <w:p>
            <w:pPr>
              <w:spacing w:after="20" w:line="240" w:lineRule="auto"/>
            </w:pPr>
            <w:r>
              <w:rPr>
                <w:sz w:val="17"/>
              </w:rPr>
              <w:t>4</w:t>
            </w:r>
          </w:p>
        </w:tc>
        <w:tc>
          <w:tcPr>
            <w:tcW w:type="dxa" w:w="1134"/>
          </w:tcPr>
          <w:p>
            <w:pPr>
              <w:spacing w:after="20" w:line="240" w:lineRule="auto"/>
            </w:pPr>
            <w:r>
              <w:rPr>
                <w:sz w:val="17"/>
              </w:rPr>
              <w:t>5</w:t>
            </w:r>
          </w:p>
        </w:tc>
        <w:tc>
          <w:tcPr>
            <w:tcW w:type="dxa" w:w="3912"/>
          </w:tcPr>
          <w:p>
            <w:pPr>
              <w:spacing w:after="20" w:line="240" w:lineRule="auto"/>
            </w:pPr>
            <w:r>
              <w:rPr>
                <w:sz w:val="17"/>
              </w:rPr>
              <w:t>None, pending Pega Support answers</w:t>
            </w:r>
          </w:p>
        </w:tc>
      </w:tr>
      <w:tr>
        <w:trPr>
          <w:cantSplit w:val="true"/>
        </w:trPr>
        <w:tc>
          <w:tcPr>
            <w:tcW w:type="dxa" w:w="624"/>
            <w:shd w:val="clear" w:color="auto" w:fill="F2F5FA"/>
          </w:tcPr>
          <w:p>
            <w:pPr>
              <w:spacing w:after="20" w:line="240" w:lineRule="auto"/>
            </w:pPr>
            <w:r>
              <w:rPr>
                <w:sz w:val="17"/>
              </w:rPr>
              <w:t>D2</w:t>
            </w:r>
          </w:p>
        </w:tc>
        <w:tc>
          <w:tcPr>
            <w:tcW w:type="dxa" w:w="2608"/>
            <w:shd w:val="clear" w:color="auto" w:fill="F2F5FA"/>
          </w:tcPr>
          <w:p>
            <w:pPr>
              <w:spacing w:after="20" w:line="240" w:lineRule="auto"/>
            </w:pPr>
            <w:r>
              <w:rPr>
                <w:sz w:val="17"/>
              </w:rPr>
              <w:t>Alignment with Confluent Cloud</w:t>
            </w:r>
          </w:p>
        </w:tc>
        <w:tc>
          <w:tcPr>
            <w:tcW w:type="dxa" w:w="1134"/>
            <w:shd w:val="clear" w:color="auto" w:fill="F2F5FA"/>
          </w:tcPr>
          <w:p>
            <w:pPr>
              <w:spacing w:after="20" w:line="240" w:lineRule="auto"/>
            </w:pPr>
            <w:r>
              <w:rPr>
                <w:sz w:val="17"/>
              </w:rPr>
              <w:t>3</w:t>
            </w:r>
          </w:p>
        </w:tc>
        <w:tc>
          <w:tcPr>
            <w:tcW w:type="dxa" w:w="1134"/>
            <w:shd w:val="clear" w:color="auto" w:fill="F2F5FA"/>
          </w:tcPr>
          <w:p>
            <w:pPr>
              <w:spacing w:after="20" w:line="240" w:lineRule="auto"/>
            </w:pPr>
            <w:r>
              <w:rPr>
                <w:sz w:val="17"/>
              </w:rPr>
              <w:t>5</w:t>
            </w:r>
          </w:p>
        </w:tc>
        <w:tc>
          <w:tcPr>
            <w:tcW w:type="dxa" w:w="3912"/>
            <w:shd w:val="clear" w:color="auto" w:fill="F2F5FA"/>
          </w:tcPr>
          <w:p>
            <w:pPr>
              <w:spacing w:after="20" w:line="240" w:lineRule="auto"/>
            </w:pPr>
            <w:r>
              <w:rPr>
                <w:sz w:val="17"/>
              </w:rPr>
              <w:t>None</w:t>
            </w:r>
          </w:p>
        </w:tc>
      </w:tr>
      <w:tr>
        <w:trPr>
          <w:cantSplit w:val="true"/>
        </w:trPr>
        <w:tc>
          <w:tcPr>
            <w:tcW w:type="dxa" w:w="624"/>
          </w:tcPr>
          <w:p>
            <w:pPr>
              <w:spacing w:after="20" w:line="240" w:lineRule="auto"/>
            </w:pPr>
            <w:r>
              <w:rPr>
                <w:sz w:val="17"/>
              </w:rPr>
              <w:t>D3</w:t>
            </w:r>
          </w:p>
        </w:tc>
        <w:tc>
          <w:tcPr>
            <w:tcW w:type="dxa" w:w="2608"/>
          </w:tcPr>
          <w:p>
            <w:pPr>
              <w:spacing w:after="20" w:line="240" w:lineRule="auto"/>
            </w:pPr>
            <w:r>
              <w:rPr>
                <w:sz w:val="17"/>
              </w:rPr>
              <w:t>Alignment with OpenSearch and SRS</w:t>
            </w:r>
          </w:p>
        </w:tc>
        <w:tc>
          <w:tcPr>
            <w:tcW w:type="dxa" w:w="1134"/>
          </w:tcPr>
          <w:p>
            <w:pPr>
              <w:spacing w:after="20" w:line="240" w:lineRule="auto"/>
            </w:pPr>
            <w:r>
              <w:rPr>
                <w:sz w:val="17"/>
              </w:rPr>
              <w:t>3</w:t>
            </w:r>
          </w:p>
        </w:tc>
        <w:tc>
          <w:tcPr>
            <w:tcW w:type="dxa" w:w="1134"/>
          </w:tcPr>
          <w:p>
            <w:pPr>
              <w:spacing w:after="20" w:line="240" w:lineRule="auto"/>
            </w:pPr>
            <w:r>
              <w:rPr>
                <w:sz w:val="17"/>
              </w:rPr>
              <w:t>5</w:t>
            </w:r>
          </w:p>
        </w:tc>
        <w:tc>
          <w:tcPr>
            <w:tcW w:type="dxa" w:w="3912"/>
          </w:tcPr>
          <w:p>
            <w:pPr>
              <w:spacing w:after="20" w:line="240" w:lineRule="auto"/>
            </w:pPr>
            <w:r>
              <w:rPr>
                <w:sz w:val="17"/>
              </w:rPr>
              <w:t>None, pending the provider choice</w:t>
            </w:r>
          </w:p>
        </w:tc>
      </w:tr>
      <w:tr>
        <w:trPr>
          <w:cantSplit w:val="true"/>
        </w:trPr>
        <w:tc>
          <w:tcPr>
            <w:tcW w:type="dxa" w:w="624"/>
            <w:shd w:val="clear" w:color="auto" w:fill="F2F5FA"/>
          </w:tcPr>
          <w:p>
            <w:pPr>
              <w:spacing w:after="20" w:line="240" w:lineRule="auto"/>
            </w:pPr>
            <w:r>
              <w:rPr>
                <w:sz w:val="17"/>
              </w:rPr>
              <w:t>D4</w:t>
            </w:r>
          </w:p>
        </w:tc>
        <w:tc>
          <w:tcPr>
            <w:tcW w:type="dxa" w:w="2608"/>
            <w:shd w:val="clear" w:color="auto" w:fill="F2F5FA"/>
          </w:tcPr>
          <w:p>
            <w:pPr>
              <w:spacing w:after="20" w:line="240" w:lineRule="auto"/>
            </w:pPr>
            <w:r>
              <w:rPr>
                <w:sz w:val="17"/>
              </w:rPr>
              <w:t>Helm correctness</w:t>
            </w:r>
          </w:p>
        </w:tc>
        <w:tc>
          <w:tcPr>
            <w:tcW w:type="dxa" w:w="1134"/>
            <w:shd w:val="clear" w:color="auto" w:fill="F2F5FA"/>
          </w:tcPr>
          <w:p>
            <w:pPr>
              <w:spacing w:after="20" w:line="240" w:lineRule="auto"/>
            </w:pPr>
            <w:r>
              <w:rPr>
                <w:sz w:val="17"/>
              </w:rPr>
              <w:t>2</w:t>
            </w:r>
          </w:p>
        </w:tc>
        <w:tc>
          <w:tcPr>
            <w:tcW w:type="dxa" w:w="1134"/>
            <w:shd w:val="clear" w:color="auto" w:fill="F2F5FA"/>
          </w:tcPr>
          <w:p>
            <w:pPr>
              <w:spacing w:after="20" w:line="240" w:lineRule="auto"/>
            </w:pPr>
            <w:r>
              <w:rPr>
                <w:sz w:val="17"/>
              </w:rPr>
              <w:t>5</w:t>
            </w:r>
          </w:p>
        </w:tc>
        <w:tc>
          <w:tcPr>
            <w:tcW w:type="dxa" w:w="3912"/>
            <w:shd w:val="clear" w:color="auto" w:fill="F2F5FA"/>
          </w:tcPr>
          <w:p>
            <w:pPr>
              <w:spacing w:after="20" w:line="240" w:lineRule="auto"/>
            </w:pPr>
            <w:r>
              <w:rPr>
                <w:sz w:val="17"/>
              </w:rPr>
              <w:t>None; all files render</w:t>
            </w:r>
          </w:p>
        </w:tc>
      </w:tr>
      <w:tr>
        <w:trPr>
          <w:cantSplit w:val="true"/>
        </w:trPr>
        <w:tc>
          <w:tcPr>
            <w:tcW w:type="dxa" w:w="624"/>
          </w:tcPr>
          <w:p>
            <w:pPr>
              <w:spacing w:after="20" w:line="240" w:lineRule="auto"/>
            </w:pPr>
            <w:r>
              <w:rPr>
                <w:sz w:val="17"/>
              </w:rPr>
              <w:t>D5</w:t>
            </w:r>
          </w:p>
        </w:tc>
        <w:tc>
          <w:tcPr>
            <w:tcW w:type="dxa" w:w="2608"/>
          </w:tcPr>
          <w:p>
            <w:pPr>
              <w:spacing w:after="20" w:line="240" w:lineRule="auto"/>
            </w:pPr>
            <w:r>
              <w:rPr>
                <w:sz w:val="17"/>
              </w:rPr>
              <w:t>Security and isolation</w:t>
            </w:r>
          </w:p>
        </w:tc>
        <w:tc>
          <w:tcPr>
            <w:tcW w:type="dxa" w:w="1134"/>
          </w:tcPr>
          <w:p>
            <w:pPr>
              <w:spacing w:after="20" w:line="240" w:lineRule="auto"/>
            </w:pPr>
            <w:r>
              <w:rPr>
                <w:sz w:val="17"/>
              </w:rPr>
              <w:t>4</w:t>
            </w:r>
          </w:p>
        </w:tc>
        <w:tc>
          <w:tcPr>
            <w:tcW w:type="dxa" w:w="1134"/>
          </w:tcPr>
          <w:p>
            <w:pPr>
              <w:spacing w:after="20" w:line="240" w:lineRule="auto"/>
            </w:pPr>
            <w:r>
              <w:rPr>
                <w:sz w:val="17"/>
              </w:rPr>
              <w:t>5</w:t>
            </w:r>
          </w:p>
        </w:tc>
        <w:tc>
          <w:tcPr>
            <w:tcW w:type="dxa" w:w="3912"/>
          </w:tcPr>
          <w:p>
            <w:pPr>
              <w:spacing w:after="20" w:line="240" w:lineRule="auto"/>
            </w:pPr>
            <w:r>
              <w:rPr>
                <w:sz w:val="17"/>
              </w:rPr>
              <w:t>None</w:t>
            </w:r>
          </w:p>
        </w:tc>
      </w:tr>
      <w:tr>
        <w:trPr>
          <w:cantSplit w:val="true"/>
        </w:trPr>
        <w:tc>
          <w:tcPr>
            <w:tcW w:type="dxa" w:w="624"/>
            <w:shd w:val="clear" w:color="auto" w:fill="F2F5FA"/>
          </w:tcPr>
          <w:p>
            <w:pPr>
              <w:spacing w:after="20" w:line="240" w:lineRule="auto"/>
            </w:pPr>
            <w:r>
              <w:rPr>
                <w:sz w:val="17"/>
              </w:rPr>
              <w:t>D6</w:t>
            </w:r>
          </w:p>
        </w:tc>
        <w:tc>
          <w:tcPr>
            <w:tcW w:type="dxa" w:w="2608"/>
            <w:shd w:val="clear" w:color="auto" w:fill="F2F5FA"/>
          </w:tcPr>
          <w:p>
            <w:pPr>
              <w:spacing w:after="20" w:line="240" w:lineRule="auto"/>
            </w:pPr>
            <w:r>
              <w:rPr>
                <w:sz w:val="17"/>
              </w:rPr>
              <w:t>Architecture and cloud design</w:t>
            </w:r>
          </w:p>
        </w:tc>
        <w:tc>
          <w:tcPr>
            <w:tcW w:type="dxa" w:w="1134"/>
            <w:shd w:val="clear" w:color="auto" w:fill="F2F5FA"/>
          </w:tcPr>
          <w:p>
            <w:pPr>
              <w:spacing w:after="20" w:line="240" w:lineRule="auto"/>
            </w:pPr>
            <w:r>
              <w:rPr>
                <w:sz w:val="17"/>
              </w:rPr>
              <w:t>3</w:t>
            </w:r>
          </w:p>
        </w:tc>
        <w:tc>
          <w:tcPr>
            <w:tcW w:type="dxa" w:w="1134"/>
            <w:shd w:val="clear" w:color="auto" w:fill="F2F5FA"/>
          </w:tcPr>
          <w:p>
            <w:pPr>
              <w:spacing w:after="20" w:line="240" w:lineRule="auto"/>
            </w:pPr>
            <w:r>
              <w:rPr>
                <w:sz w:val="17"/>
              </w:rPr>
              <w:t>4</w:t>
            </w:r>
          </w:p>
        </w:tc>
        <w:tc>
          <w:tcPr>
            <w:tcW w:type="dxa" w:w="3912"/>
            <w:shd w:val="clear" w:color="auto" w:fill="F2F5FA"/>
          </w:tcPr>
          <w:p>
            <w:pPr>
              <w:spacing w:after="20" w:line="240" w:lineRule="auto"/>
            </w:pPr>
            <w:r>
              <w:rPr>
                <w:sz w:val="17"/>
              </w:rPr>
              <w:t>NP1 may run in fewer zones to save cost; provider zone features not yet known</w:t>
            </w:r>
          </w:p>
        </w:tc>
      </w:tr>
      <w:tr>
        <w:trPr>
          <w:cantSplit w:val="true"/>
        </w:trPr>
        <w:tc>
          <w:tcPr>
            <w:tcW w:type="dxa" w:w="624"/>
          </w:tcPr>
          <w:p>
            <w:pPr>
              <w:spacing w:after="20" w:line="240" w:lineRule="auto"/>
            </w:pPr>
            <w:r>
              <w:rPr>
                <w:sz w:val="17"/>
              </w:rPr>
              <w:t>D7</w:t>
            </w:r>
          </w:p>
        </w:tc>
        <w:tc>
          <w:tcPr>
            <w:tcW w:type="dxa" w:w="2608"/>
          </w:tcPr>
          <w:p>
            <w:pPr>
              <w:spacing w:after="20" w:line="240" w:lineRule="auto"/>
            </w:pPr>
            <w:r>
              <w:rPr>
                <w:sz w:val="17"/>
              </w:rPr>
              <w:t>Failure handling and remediation</w:t>
            </w:r>
          </w:p>
        </w:tc>
        <w:tc>
          <w:tcPr>
            <w:tcW w:type="dxa" w:w="1134"/>
          </w:tcPr>
          <w:p>
            <w:pPr>
              <w:spacing w:after="20" w:line="240" w:lineRule="auto"/>
            </w:pPr>
            <w:r>
              <w:rPr>
                <w:sz w:val="17"/>
              </w:rPr>
              <w:t>4</w:t>
            </w:r>
          </w:p>
        </w:tc>
        <w:tc>
          <w:tcPr>
            <w:tcW w:type="dxa" w:w="1134"/>
          </w:tcPr>
          <w:p>
            <w:pPr>
              <w:spacing w:after="20" w:line="240" w:lineRule="auto"/>
            </w:pPr>
            <w:r>
              <w:rPr>
                <w:sz w:val="17"/>
              </w:rPr>
              <w:t>5</w:t>
            </w:r>
          </w:p>
        </w:tc>
        <w:tc>
          <w:tcPr>
            <w:tcW w:type="dxa" w:w="3912"/>
          </w:tcPr>
          <w:p>
            <w:pPr>
              <w:spacing w:after="20" w:line="240" w:lineRule="auto"/>
            </w:pPr>
            <w:r>
              <w:rPr>
                <w:sz w:val="17"/>
              </w:rPr>
              <w:t>None</w:t>
            </w:r>
          </w:p>
        </w:tc>
      </w:tr>
      <w:tr>
        <w:trPr>
          <w:cantSplit w:val="true"/>
        </w:trPr>
        <w:tc>
          <w:tcPr>
            <w:tcW w:type="dxa" w:w="624"/>
            <w:shd w:val="clear" w:color="auto" w:fill="F2F5FA"/>
          </w:tcPr>
          <w:p>
            <w:pPr>
              <w:spacing w:after="20" w:line="240" w:lineRule="auto"/>
            </w:pPr>
            <w:r>
              <w:rPr>
                <w:sz w:val="17"/>
              </w:rPr>
              <w:t>D8</w:t>
            </w:r>
          </w:p>
        </w:tc>
        <w:tc>
          <w:tcPr>
            <w:tcW w:type="dxa" w:w="2608"/>
            <w:shd w:val="clear" w:color="auto" w:fill="F2F5FA"/>
          </w:tcPr>
          <w:p>
            <w:pPr>
              <w:spacing w:after="20" w:line="240" w:lineRule="auto"/>
            </w:pPr>
            <w:r>
              <w:rPr>
                <w:sz w:val="17"/>
              </w:rPr>
              <w:t>Testing methodology</w:t>
            </w:r>
          </w:p>
        </w:tc>
        <w:tc>
          <w:tcPr>
            <w:tcW w:type="dxa" w:w="1134"/>
            <w:shd w:val="clear" w:color="auto" w:fill="F2F5FA"/>
          </w:tcPr>
          <w:p>
            <w:pPr>
              <w:spacing w:after="20" w:line="240" w:lineRule="auto"/>
            </w:pPr>
            <w:r>
              <w:rPr>
                <w:sz w:val="17"/>
              </w:rPr>
              <w:t>4</w:t>
            </w:r>
          </w:p>
        </w:tc>
        <w:tc>
          <w:tcPr>
            <w:tcW w:type="dxa" w:w="1134"/>
            <w:shd w:val="clear" w:color="auto" w:fill="F2F5FA"/>
          </w:tcPr>
          <w:p>
            <w:pPr>
              <w:spacing w:after="20" w:line="240" w:lineRule="auto"/>
            </w:pPr>
            <w:r>
              <w:rPr>
                <w:sz w:val="17"/>
              </w:rPr>
              <w:t>4</w:t>
            </w:r>
          </w:p>
        </w:tc>
        <w:tc>
          <w:tcPr>
            <w:tcW w:type="dxa" w:w="3912"/>
            <w:shd w:val="clear" w:color="auto" w:fill="F2F5FA"/>
          </w:tcPr>
          <w:p>
            <w:pPr>
              <w:spacing w:after="20" w:line="240" w:lineRule="auto"/>
            </w:pPr>
            <w:r>
              <w:rPr>
                <w:sz w:val="17"/>
              </w:rPr>
              <w:t>Results of DEV-only tests still to be recorded</w:t>
            </w:r>
          </w:p>
        </w:tc>
      </w:tr>
      <w:tr>
        <w:trPr>
          <w:cantSplit w:val="true"/>
        </w:trPr>
        <w:tc>
          <w:tcPr>
            <w:tcW w:type="dxa" w:w="624"/>
          </w:tcPr>
          <w:p>
            <w:pPr>
              <w:spacing w:after="20" w:line="240" w:lineRule="auto"/>
            </w:pPr>
            <w:r>
              <w:rPr>
                <w:sz w:val="17"/>
              </w:rPr>
              <w:t>D9</w:t>
            </w:r>
          </w:p>
        </w:tc>
        <w:tc>
          <w:tcPr>
            <w:tcW w:type="dxa" w:w="2608"/>
          </w:tcPr>
          <w:p>
            <w:pPr>
              <w:spacing w:after="20" w:line="240" w:lineRule="auto"/>
            </w:pPr>
            <w:r>
              <w:rPr>
                <w:sz w:val="17"/>
              </w:rPr>
              <w:t>Performance testing</w:t>
            </w:r>
          </w:p>
        </w:tc>
        <w:tc>
          <w:tcPr>
            <w:tcW w:type="dxa" w:w="1134"/>
          </w:tcPr>
          <w:p>
            <w:pPr>
              <w:spacing w:after="20" w:line="240" w:lineRule="auto"/>
            </w:pPr>
            <w:r>
              <w:rPr>
                <w:sz w:val="17"/>
              </w:rPr>
              <w:t>2</w:t>
            </w:r>
          </w:p>
        </w:tc>
        <w:tc>
          <w:tcPr>
            <w:tcW w:type="dxa" w:w="1134"/>
          </w:tcPr>
          <w:p>
            <w:pPr>
              <w:spacing w:after="20" w:line="240" w:lineRule="auto"/>
            </w:pPr>
            <w:r>
              <w:rPr>
                <w:sz w:val="17"/>
              </w:rPr>
              <w:t>4</w:t>
            </w:r>
          </w:p>
        </w:tc>
        <w:tc>
          <w:tcPr>
            <w:tcW w:type="dxa" w:w="3912"/>
          </w:tcPr>
          <w:p>
            <w:pPr>
              <w:spacing w:after="20" w:line="240" w:lineRule="auto"/>
            </w:pPr>
            <w:r>
              <w:rPr>
                <w:sz w:val="17"/>
              </w:rPr>
              <w:t>Workload model needs 8.8 production data</w:t>
            </w:r>
          </w:p>
        </w:tc>
      </w:tr>
      <w:tr>
        <w:trPr>
          <w:cantSplit w:val="true"/>
        </w:trPr>
        <w:tc>
          <w:tcPr>
            <w:tcW w:type="dxa" w:w="624"/>
            <w:shd w:val="clear" w:color="auto" w:fill="F2F5FA"/>
          </w:tcPr>
          <w:p>
            <w:pPr>
              <w:spacing w:after="20" w:line="240" w:lineRule="auto"/>
            </w:pPr>
            <w:r>
              <w:rPr>
                <w:sz w:val="17"/>
              </w:rPr>
              <w:t>D10</w:t>
            </w:r>
          </w:p>
        </w:tc>
        <w:tc>
          <w:tcPr>
            <w:tcW w:type="dxa" w:w="2608"/>
            <w:shd w:val="clear" w:color="auto" w:fill="F2F5FA"/>
          </w:tcPr>
          <w:p>
            <w:pPr>
              <w:spacing w:after="20" w:line="240" w:lineRule="auto"/>
            </w:pPr>
            <w:r>
              <w:rPr>
                <w:sz w:val="17"/>
              </w:rPr>
              <w:t>Sizing</w:t>
            </w:r>
          </w:p>
        </w:tc>
        <w:tc>
          <w:tcPr>
            <w:tcW w:type="dxa" w:w="1134"/>
            <w:shd w:val="clear" w:color="auto" w:fill="F2F5FA"/>
          </w:tcPr>
          <w:p>
            <w:pPr>
              <w:spacing w:after="20" w:line="240" w:lineRule="auto"/>
            </w:pPr>
            <w:r>
              <w:rPr>
                <w:sz w:val="17"/>
              </w:rPr>
              <w:t>2</w:t>
            </w:r>
          </w:p>
        </w:tc>
        <w:tc>
          <w:tcPr>
            <w:tcW w:type="dxa" w:w="1134"/>
            <w:shd w:val="clear" w:color="auto" w:fill="F2F5FA"/>
          </w:tcPr>
          <w:p>
            <w:pPr>
              <w:spacing w:after="20" w:line="240" w:lineRule="auto"/>
            </w:pPr>
            <w:r>
              <w:rPr>
                <w:sz w:val="17"/>
              </w:rPr>
              <w:t>4</w:t>
            </w:r>
          </w:p>
        </w:tc>
        <w:tc>
          <w:tcPr>
            <w:tcW w:type="dxa" w:w="3912"/>
            <w:shd w:val="clear" w:color="auto" w:fill="F2F5FA"/>
          </w:tcPr>
          <w:p>
            <w:pPr>
              <w:spacing w:after="20" w:line="240" w:lineRule="auto"/>
            </w:pPr>
            <w:r>
              <w:rPr>
                <w:sz w:val="17"/>
              </w:rPr>
              <w:t>Inputs are illustrative until measured</w:t>
            </w:r>
          </w:p>
        </w:tc>
      </w:tr>
      <w:tr>
        <w:trPr>
          <w:cantSplit w:val="true"/>
        </w:trPr>
        <w:tc>
          <w:tcPr>
            <w:tcW w:type="dxa" w:w="624"/>
          </w:tcPr>
          <w:p>
            <w:pPr>
              <w:spacing w:after="20" w:line="240" w:lineRule="auto"/>
            </w:pPr>
            <w:r>
              <w:rPr>
                <w:sz w:val="17"/>
              </w:rPr>
              <w:t>D11</w:t>
            </w:r>
          </w:p>
        </w:tc>
        <w:tc>
          <w:tcPr>
            <w:tcW w:type="dxa" w:w="2608"/>
          </w:tcPr>
          <w:p>
            <w:pPr>
              <w:spacing w:after="20" w:line="240" w:lineRule="auto"/>
            </w:pPr>
            <w:r>
              <w:rPr>
                <w:sz w:val="17"/>
              </w:rPr>
              <w:t>Monitoring, logging and observability</w:t>
            </w:r>
          </w:p>
        </w:tc>
        <w:tc>
          <w:tcPr>
            <w:tcW w:type="dxa" w:w="1134"/>
          </w:tcPr>
          <w:p>
            <w:pPr>
              <w:spacing w:after="20" w:line="240" w:lineRule="auto"/>
            </w:pPr>
            <w:r>
              <w:rPr>
                <w:sz w:val="17"/>
              </w:rPr>
              <w:t>2</w:t>
            </w:r>
          </w:p>
        </w:tc>
        <w:tc>
          <w:tcPr>
            <w:tcW w:type="dxa" w:w="1134"/>
          </w:tcPr>
          <w:p>
            <w:pPr>
              <w:spacing w:after="20" w:line="240" w:lineRule="auto"/>
            </w:pPr>
            <w:r>
              <w:rPr>
                <w:sz w:val="17"/>
              </w:rPr>
              <w:t>4</w:t>
            </w:r>
          </w:p>
        </w:tc>
        <w:tc>
          <w:tcPr>
            <w:tcW w:type="dxa" w:w="3912"/>
          </w:tcPr>
          <w:p>
            <w:pPr>
              <w:spacing w:after="20" w:line="240" w:lineRule="auto"/>
            </w:pPr>
            <w:r>
              <w:rPr>
                <w:sz w:val="17"/>
              </w:rPr>
              <w:t>Provider log export and the customer's SIEM not yet confirmed</w:t>
            </w:r>
          </w:p>
        </w:tc>
      </w:tr>
      <w:tr>
        <w:trPr>
          <w:cantSplit w:val="true"/>
        </w:trPr>
        <w:tc>
          <w:tcPr>
            <w:tcW w:type="dxa" w:w="624"/>
            <w:shd w:val="clear" w:color="auto" w:fill="F2F5FA"/>
          </w:tcPr>
          <w:p>
            <w:pPr>
              <w:spacing w:after="20" w:line="240" w:lineRule="auto"/>
            </w:pPr>
            <w:r>
              <w:rPr>
                <w:sz w:val="17"/>
              </w:rPr>
              <w:t>D12</w:t>
            </w:r>
          </w:p>
        </w:tc>
        <w:tc>
          <w:tcPr>
            <w:tcW w:type="dxa" w:w="2608"/>
            <w:shd w:val="clear" w:color="auto" w:fill="F2F5FA"/>
          </w:tcPr>
          <w:p>
            <w:pPr>
              <w:spacing w:after="20" w:line="240" w:lineRule="auto"/>
            </w:pPr>
            <w:r>
              <w:rPr>
                <w:sz w:val="17"/>
              </w:rPr>
              <w:t>Environment sequencing and configuration</w:t>
            </w:r>
          </w:p>
        </w:tc>
        <w:tc>
          <w:tcPr>
            <w:tcW w:type="dxa" w:w="1134"/>
            <w:shd w:val="clear" w:color="auto" w:fill="F2F5FA"/>
          </w:tcPr>
          <w:p>
            <w:pPr>
              <w:spacing w:after="20" w:line="240" w:lineRule="auto"/>
            </w:pPr>
            <w:r>
              <w:rPr>
                <w:sz w:val="17"/>
              </w:rPr>
              <w:t>3</w:t>
            </w:r>
          </w:p>
        </w:tc>
        <w:tc>
          <w:tcPr>
            <w:tcW w:type="dxa" w:w="1134"/>
            <w:shd w:val="clear" w:color="auto" w:fill="F2F5FA"/>
          </w:tcPr>
          <w:p>
            <w:pPr>
              <w:spacing w:after="20" w:line="240" w:lineRule="auto"/>
            </w:pPr>
            <w:r>
              <w:rPr>
                <w:sz w:val="17"/>
              </w:rPr>
              <w:t>4</w:t>
            </w:r>
          </w:p>
        </w:tc>
        <w:tc>
          <w:tcPr>
            <w:tcW w:type="dxa" w:w="3912"/>
            <w:shd w:val="clear" w:color="auto" w:fill="F2F5FA"/>
          </w:tcPr>
          <w:p>
            <w:pPr>
              <w:spacing w:after="20" w:line="240" w:lineRule="auto"/>
            </w:pPr>
            <w:r>
              <w:rPr>
                <w:sz w:val="17"/>
              </w:rPr>
              <w:t>Wave dates set by the programme</w:t>
            </w:r>
          </w:p>
        </w:tc>
      </w:tr>
      <w:tr>
        <w:trPr>
          <w:cantSplit w:val="true"/>
        </w:trPr>
        <w:tc>
          <w:tcPr>
            <w:tcW w:type="dxa" w:w="624"/>
          </w:tcPr>
          <w:p>
            <w:pPr>
              <w:spacing w:after="20" w:line="240" w:lineRule="auto"/>
            </w:pPr>
            <w:r>
              <w:rPr>
                <w:sz w:val="17"/>
              </w:rPr>
              <w:t>D13</w:t>
            </w:r>
          </w:p>
        </w:tc>
        <w:tc>
          <w:tcPr>
            <w:tcW w:type="dxa" w:w="2608"/>
          </w:tcPr>
          <w:p>
            <w:pPr>
              <w:spacing w:after="20" w:line="240" w:lineRule="auto"/>
            </w:pPr>
            <w:r>
              <w:rPr>
                <w:sz w:val="17"/>
              </w:rPr>
              <w:t>Evidence and traceability</w:t>
            </w:r>
          </w:p>
        </w:tc>
        <w:tc>
          <w:tcPr>
            <w:tcW w:type="dxa" w:w="1134"/>
          </w:tcPr>
          <w:p>
            <w:pPr>
              <w:spacing w:after="20" w:line="240" w:lineRule="auto"/>
            </w:pPr>
            <w:r>
              <w:rPr>
                <w:sz w:val="17"/>
              </w:rPr>
              <w:t>4</w:t>
            </w:r>
          </w:p>
        </w:tc>
        <w:tc>
          <w:tcPr>
            <w:tcW w:type="dxa" w:w="1134"/>
          </w:tcPr>
          <w:p>
            <w:pPr>
              <w:spacing w:after="20" w:line="240" w:lineRule="auto"/>
            </w:pPr>
            <w:r>
              <w:rPr>
                <w:sz w:val="17"/>
              </w:rPr>
              <w:t>5</w:t>
            </w:r>
          </w:p>
        </w:tc>
        <w:tc>
          <w:tcPr>
            <w:tcW w:type="dxa" w:w="3912"/>
          </w:tcPr>
          <w:p>
            <w:pPr>
              <w:spacing w:after="20" w:line="240" w:lineRule="auto"/>
            </w:pPr>
            <w:r>
              <w:rPr>
                <w:sz w:val="17"/>
              </w:rPr>
              <w:t>None</w:t>
            </w:r>
          </w:p>
        </w:tc>
      </w:tr>
      <w:tr>
        <w:trPr>
          <w:cantSplit w:val="true"/>
        </w:trPr>
        <w:tc>
          <w:tcPr>
            <w:tcW w:type="dxa" w:w="624"/>
            <w:shd w:val="clear" w:color="auto" w:fill="F2F5FA"/>
          </w:tcPr>
          <w:p>
            <w:pPr>
              <w:spacing w:after="20" w:line="240" w:lineRule="auto"/>
            </w:pPr>
            <w:r>
              <w:rPr>
                <w:sz w:val="17"/>
              </w:rPr>
              <w:t>D14</w:t>
            </w:r>
          </w:p>
        </w:tc>
        <w:tc>
          <w:tcPr>
            <w:tcW w:type="dxa" w:w="2608"/>
            <w:shd w:val="clear" w:color="auto" w:fill="F2F5FA"/>
          </w:tcPr>
          <w:p>
            <w:pPr>
              <w:spacing w:after="20" w:line="240" w:lineRule="auto"/>
            </w:pPr>
            <w:r>
              <w:rPr>
                <w:sz w:val="17"/>
              </w:rPr>
              <w:t>Readability for the customer</w:t>
            </w:r>
          </w:p>
        </w:tc>
        <w:tc>
          <w:tcPr>
            <w:tcW w:type="dxa" w:w="1134"/>
            <w:shd w:val="clear" w:color="auto" w:fill="F2F5FA"/>
          </w:tcPr>
          <w:p>
            <w:pPr>
              <w:spacing w:after="20" w:line="240" w:lineRule="auto"/>
            </w:pPr>
            <w:r>
              <w:rPr>
                <w:sz w:val="17"/>
              </w:rPr>
              <w:t>4</w:t>
            </w:r>
          </w:p>
        </w:tc>
        <w:tc>
          <w:tcPr>
            <w:tcW w:type="dxa" w:w="1134"/>
            <w:shd w:val="clear" w:color="auto" w:fill="F2F5FA"/>
          </w:tcPr>
          <w:p>
            <w:pPr>
              <w:spacing w:after="20" w:line="240" w:lineRule="auto"/>
            </w:pPr>
            <w:r>
              <w:rPr>
                <w:sz w:val="17"/>
              </w:rPr>
              <w:t>4</w:t>
            </w:r>
          </w:p>
        </w:tc>
        <w:tc>
          <w:tcPr>
            <w:tcW w:type="dxa" w:w="3912"/>
            <w:shd w:val="clear" w:color="auto" w:fill="F2F5FA"/>
          </w:tcPr>
          <w:p>
            <w:pPr>
              <w:spacing w:after="20" w:line="240" w:lineRule="auto"/>
            </w:pPr>
            <w:r>
              <w:rPr>
                <w:sz w:val="17"/>
              </w:rPr>
              <w:t>Long technical tables in places</w:t>
            </w:r>
          </w:p>
        </w:tc>
      </w:tr>
    </w:tbl>
    <w:p>
      <w:pPr>
        <w:spacing w:after="0" w:before="0" w:line="120" w:lineRule="exact"/>
      </w:pPr>
      <w:r>
        <w:rPr>
          <w:sz w:val="12"/>
        </w:rPr>
      </w:r>
    </w:p>
    <w:p>
      <w:pPr>
        <w:pStyle w:val="Heading1"/>
        <w:pageBreakBefore/>
      </w:pPr>
      <w:r>
        <w:t>6  Items that remain open</w:t>
      </w:r>
    </w:p>
    <w:p>
      <w:pPr>
        <w:pStyle w:val="Caption"/>
        <w:keepNext/>
        <w:spacing w:before="80"/>
      </w:pPr>
      <w:r>
        <w:t>Table 6. Open items after version 2.1</w:t>
      </w:r>
    </w:p>
    <w:tbl>
      <w:tblPr>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left w:w="90" w:type="dxa"/>
          <w:bottom w:w="60" w:type="dxa"/>
          <w:right w:w="90" w:type="dxa"/>
        </w:tblCellMar>
        <w:tblW w:w="9412" w:type="dxa"/>
        <w:tblLayout w:type="fixed"/>
      </w:tblPr>
      <w:tblGrid>
        <w:gridCol w:w="3061"/>
        <w:gridCol w:w="1814"/>
        <w:gridCol w:w="1247"/>
        <w:gridCol w:w="3288"/>
      </w:tblGrid>
      <w:tr>
        <w:trPr>
          <w:tblHeader w:val="true"/>
          <w:cantSplit w:val="true"/>
        </w:trPr>
        <w:tc>
          <w:tcPr>
            <w:tcW w:type="dxa" w:w="3061"/>
            <w:shd w:val="clear" w:color="auto" w:fill="1F3864"/>
          </w:tcPr>
          <w:p>
            <w:pPr>
              <w:spacing w:after="0"/>
            </w:pPr>
            <w:r>
              <w:rPr>
                <w:b/>
                <w:color w:val="FFFFFF"/>
                <w:sz w:val="17"/>
              </w:rPr>
              <w:t>Item</w:t>
            </w:r>
          </w:p>
        </w:tc>
        <w:tc>
          <w:tcPr>
            <w:tcW w:type="dxa" w:w="1814"/>
            <w:shd w:val="clear" w:color="auto" w:fill="1F3864"/>
          </w:tcPr>
          <w:p>
            <w:pPr>
              <w:spacing w:after="0"/>
            </w:pPr>
            <w:r>
              <w:rPr>
                <w:b/>
                <w:color w:val="FFFFFF"/>
                <w:sz w:val="17"/>
              </w:rPr>
              <w:t>Owner</w:t>
            </w:r>
          </w:p>
        </w:tc>
        <w:tc>
          <w:tcPr>
            <w:tcW w:type="dxa" w:w="1247"/>
            <w:shd w:val="clear" w:color="auto" w:fill="1F3864"/>
          </w:tcPr>
          <w:p>
            <w:pPr>
              <w:spacing w:after="0"/>
            </w:pPr>
            <w:r>
              <w:rPr>
                <w:b/>
                <w:color w:val="FFFFFF"/>
                <w:sz w:val="17"/>
              </w:rPr>
              <w:t>Needed by</w:t>
            </w:r>
          </w:p>
        </w:tc>
        <w:tc>
          <w:tcPr>
            <w:tcW w:type="dxa" w:w="3288"/>
            <w:shd w:val="clear" w:color="auto" w:fill="1F3864"/>
          </w:tcPr>
          <w:p>
            <w:pPr>
              <w:spacing w:after="0"/>
            </w:pPr>
            <w:r>
              <w:rPr>
                <w:b/>
                <w:color w:val="FFFFFF"/>
                <w:sz w:val="17"/>
              </w:rPr>
              <w:t>Why the document cannot close it</w:t>
            </w:r>
          </w:p>
        </w:tc>
      </w:tr>
      <w:tr>
        <w:trPr>
          <w:cantSplit w:val="true"/>
        </w:trPr>
        <w:tc>
          <w:tcPr>
            <w:tcW w:type="dxa" w:w="3061"/>
          </w:tcPr>
          <w:p>
            <w:pPr>
              <w:spacing w:after="20" w:line="240" w:lineRule="auto"/>
            </w:pPr>
            <w:r>
              <w:rPr>
                <w:sz w:val="17"/>
              </w:rPr>
              <w:t>Pega Support answers GQ-01 to GQ-08</w:t>
            </w:r>
          </w:p>
        </w:tc>
        <w:tc>
          <w:tcPr>
            <w:tcW w:type="dxa" w:w="1814"/>
          </w:tcPr>
          <w:p>
            <w:pPr>
              <w:spacing w:after="20" w:line="240" w:lineRule="auto"/>
            </w:pPr>
            <w:r>
              <w:rPr>
                <w:sz w:val="17"/>
              </w:rPr>
              <w:t>Pega LSA</w:t>
            </w:r>
          </w:p>
        </w:tc>
        <w:tc>
          <w:tcPr>
            <w:tcW w:type="dxa" w:w="1247"/>
          </w:tcPr>
          <w:p>
            <w:pPr>
              <w:spacing w:after="20" w:line="240" w:lineRule="auto"/>
            </w:pPr>
            <w:r>
              <w:rPr>
                <w:sz w:val="17"/>
              </w:rPr>
              <w:t>M2</w:t>
            </w:r>
          </w:p>
        </w:tc>
        <w:tc>
          <w:tcPr>
            <w:tcW w:type="dxa" w:w="3288"/>
          </w:tcPr>
          <w:p>
            <w:pPr>
              <w:spacing w:after="20" w:line="240" w:lineRule="auto"/>
            </w:pPr>
            <w:r>
              <w:rPr>
                <w:sz w:val="17"/>
              </w:rPr>
              <w:t>Only Pega Support can settle them; the plan follows the conservative answer until then</w:t>
            </w:r>
          </w:p>
        </w:tc>
      </w:tr>
      <w:tr>
        <w:trPr>
          <w:cantSplit w:val="true"/>
        </w:trPr>
        <w:tc>
          <w:tcPr>
            <w:tcW w:type="dxa" w:w="3061"/>
            <w:shd w:val="clear" w:color="auto" w:fill="F2F5FA"/>
          </w:tcPr>
          <w:p>
            <w:pPr>
              <w:spacing w:after="20" w:line="240" w:lineRule="auto"/>
            </w:pPr>
            <w:r>
              <w:rPr>
                <w:sz w:val="17"/>
              </w:rPr>
              <w:t>OpenSearch provider (OD-03)</w:t>
            </w:r>
          </w:p>
        </w:tc>
        <w:tc>
          <w:tcPr>
            <w:tcW w:type="dxa" w:w="1814"/>
            <w:shd w:val="clear" w:color="auto" w:fill="F2F5FA"/>
          </w:tcPr>
          <w:p>
            <w:pPr>
              <w:spacing w:after="20" w:line="240" w:lineRule="auto"/>
            </w:pPr>
            <w:r>
              <w:rPr>
                <w:sz w:val="17"/>
              </w:rPr>
              <w:t>Enterprise architect</w:t>
            </w:r>
          </w:p>
        </w:tc>
        <w:tc>
          <w:tcPr>
            <w:tcW w:type="dxa" w:w="1247"/>
            <w:shd w:val="clear" w:color="auto" w:fill="F2F5FA"/>
          </w:tcPr>
          <w:p>
            <w:pPr>
              <w:spacing w:after="20" w:line="240" w:lineRule="auto"/>
            </w:pPr>
            <w:r>
              <w:rPr>
                <w:sz w:val="17"/>
              </w:rPr>
              <w:t>M2</w:t>
            </w:r>
          </w:p>
        </w:tc>
        <w:tc>
          <w:tcPr>
            <w:tcW w:type="dxa" w:w="3288"/>
            <w:shd w:val="clear" w:color="auto" w:fill="F2F5FA"/>
          </w:tcPr>
          <w:p>
            <w:pPr>
              <w:spacing w:after="20" w:line="240" w:lineRule="auto"/>
            </w:pPr>
            <w:r>
              <w:rPr>
                <w:sz w:val="17"/>
              </w:rPr>
              <w:t>Provider zone awareness, slow-log export and snapshot terms depend on it</w:t>
            </w:r>
          </w:p>
        </w:tc>
      </w:tr>
      <w:tr>
        <w:trPr>
          <w:cantSplit w:val="true"/>
        </w:trPr>
        <w:tc>
          <w:tcPr>
            <w:tcW w:type="dxa" w:w="3061"/>
          </w:tcPr>
          <w:p>
            <w:pPr>
              <w:spacing w:after="20" w:line="240" w:lineRule="auto"/>
            </w:pPr>
            <w:r>
              <w:rPr>
                <w:sz w:val="17"/>
              </w:rPr>
              <w:t>DEV tests whose result no document settles: FS-12, FS-24, FS-33, FS-34, IT-06</w:t>
            </w:r>
          </w:p>
        </w:tc>
        <w:tc>
          <w:tcPr>
            <w:tcW w:type="dxa" w:w="1814"/>
          </w:tcPr>
          <w:p>
            <w:pPr>
              <w:spacing w:after="20" w:line="240" w:lineRule="auto"/>
            </w:pPr>
            <w:r>
              <w:rPr>
                <w:sz w:val="17"/>
              </w:rPr>
              <w:t>Pega LSA, search and identity teams</w:t>
            </w:r>
          </w:p>
        </w:tc>
        <w:tc>
          <w:tcPr>
            <w:tcW w:type="dxa" w:w="1247"/>
          </w:tcPr>
          <w:p>
            <w:pPr>
              <w:spacing w:after="20" w:line="240" w:lineRule="auto"/>
            </w:pPr>
            <w:r>
              <w:rPr>
                <w:sz w:val="17"/>
              </w:rPr>
              <w:t>M2</w:t>
            </w:r>
          </w:p>
        </w:tc>
        <w:tc>
          <w:tcPr>
            <w:tcW w:type="dxa" w:w="3288"/>
          </w:tcPr>
          <w:p>
            <w:pPr>
              <w:spacing w:after="20" w:line="240" w:lineRule="auto"/>
            </w:pPr>
            <w:r>
              <w:rPr>
                <w:sz w:val="17"/>
              </w:rPr>
              <w:t>Record the result; it becomes the expected behaviour</w:t>
            </w:r>
          </w:p>
        </w:tc>
      </w:tr>
      <w:tr>
        <w:trPr>
          <w:cantSplit w:val="true"/>
        </w:trPr>
        <w:tc>
          <w:tcPr>
            <w:tcW w:type="dxa" w:w="3061"/>
            <w:shd w:val="clear" w:color="auto" w:fill="F2F5FA"/>
          </w:tcPr>
          <w:p>
            <w:pPr>
              <w:spacing w:after="20" w:line="240" w:lineRule="auto"/>
            </w:pPr>
            <w:r>
              <w:rPr>
                <w:sz w:val="17"/>
              </w:rPr>
              <w:t>Measured inputs for the sizing calculator</w:t>
            </w:r>
          </w:p>
        </w:tc>
        <w:tc>
          <w:tcPr>
            <w:tcW w:type="dxa" w:w="1814"/>
            <w:shd w:val="clear" w:color="auto" w:fill="F2F5FA"/>
          </w:tcPr>
          <w:p>
            <w:pPr>
              <w:spacing w:after="20" w:line="240" w:lineRule="auto"/>
            </w:pPr>
            <w:r>
              <w:rPr>
                <w:sz w:val="17"/>
              </w:rPr>
              <w:t>Performance lead</w:t>
            </w:r>
          </w:p>
        </w:tc>
        <w:tc>
          <w:tcPr>
            <w:tcW w:type="dxa" w:w="1247"/>
            <w:shd w:val="clear" w:color="auto" w:fill="F2F5FA"/>
          </w:tcPr>
          <w:p>
            <w:pPr>
              <w:spacing w:after="20" w:line="240" w:lineRule="auto"/>
            </w:pPr>
            <w:r>
              <w:rPr>
                <w:sz w:val="17"/>
              </w:rPr>
              <w:t>M3</w:t>
            </w:r>
          </w:p>
        </w:tc>
        <w:tc>
          <w:tcPr>
            <w:tcW w:type="dxa" w:w="3288"/>
            <w:shd w:val="clear" w:color="auto" w:fill="F2F5FA"/>
          </w:tcPr>
          <w:p>
            <w:pPr>
              <w:spacing w:after="20" w:line="240" w:lineRule="auto"/>
            </w:pPr>
            <w:r>
              <w:rPr>
                <w:sz w:val="17"/>
              </w:rPr>
              <w:t>All example inputs are illustrative</w:t>
            </w:r>
          </w:p>
        </w:tc>
      </w:tr>
      <w:tr>
        <w:trPr>
          <w:cantSplit w:val="true"/>
        </w:trPr>
        <w:tc>
          <w:tcPr>
            <w:tcW w:type="dxa" w:w="3061"/>
          </w:tcPr>
          <w:p>
            <w:pPr>
              <w:spacing w:after="20" w:line="240" w:lineRule="auto"/>
            </w:pPr>
            <w:r>
              <w:rPr>
                <w:sz w:val="17"/>
              </w:rPr>
              <w:t>The customer's Okta token endpoint rate limit</w:t>
            </w:r>
          </w:p>
        </w:tc>
        <w:tc>
          <w:tcPr>
            <w:tcW w:type="dxa" w:w="1814"/>
          </w:tcPr>
          <w:p>
            <w:pPr>
              <w:spacing w:after="20" w:line="240" w:lineRule="auto"/>
            </w:pPr>
            <w:r>
              <w:rPr>
                <w:sz w:val="17"/>
              </w:rPr>
              <w:t>Identity team</w:t>
            </w:r>
          </w:p>
        </w:tc>
        <w:tc>
          <w:tcPr>
            <w:tcW w:type="dxa" w:w="1247"/>
          </w:tcPr>
          <w:p>
            <w:pPr>
              <w:spacing w:after="20" w:line="240" w:lineRule="auto"/>
            </w:pPr>
            <w:r>
              <w:rPr>
                <w:sz w:val="17"/>
              </w:rPr>
              <w:t>M2</w:t>
            </w:r>
          </w:p>
        </w:tc>
        <w:tc>
          <w:tcPr>
            <w:tcW w:type="dxa" w:w="3288"/>
          </w:tcPr>
          <w:p>
            <w:pPr>
              <w:spacing w:after="20" w:line="240" w:lineRule="auto"/>
            </w:pPr>
            <w:r>
              <w:rPr>
                <w:sz w:val="17"/>
              </w:rPr>
              <w:t>Enter in the calculator; compare with the measured token rate</w:t>
            </w:r>
          </w:p>
        </w:tc>
      </w:tr>
      <w:tr>
        <w:trPr>
          <w:cantSplit w:val="true"/>
        </w:trPr>
        <w:tc>
          <w:tcPr>
            <w:tcW w:type="dxa" w:w="3061"/>
            <w:shd w:val="clear" w:color="auto" w:fill="F2F5FA"/>
          </w:tcPr>
          <w:p>
            <w:pPr>
              <w:spacing w:after="20" w:line="240" w:lineRule="auto"/>
            </w:pPr>
            <w:r>
              <w:rPr>
                <w:sz w:val="17"/>
              </w:rPr>
              <w:t>AKS network policy engine and three-zone node pools (AS-08, AS-09)</w:t>
            </w:r>
          </w:p>
        </w:tc>
        <w:tc>
          <w:tcPr>
            <w:tcW w:type="dxa" w:w="1814"/>
            <w:shd w:val="clear" w:color="auto" w:fill="F2F5FA"/>
          </w:tcPr>
          <w:p>
            <w:pPr>
              <w:spacing w:after="20" w:line="240" w:lineRule="auto"/>
            </w:pPr>
            <w:r>
              <w:rPr>
                <w:sz w:val="17"/>
              </w:rPr>
              <w:t>Platform team</w:t>
            </w:r>
          </w:p>
        </w:tc>
        <w:tc>
          <w:tcPr>
            <w:tcW w:type="dxa" w:w="1247"/>
            <w:shd w:val="clear" w:color="auto" w:fill="F2F5FA"/>
          </w:tcPr>
          <w:p>
            <w:pPr>
              <w:spacing w:after="20" w:line="240" w:lineRule="auto"/>
            </w:pPr>
            <w:r>
              <w:rPr>
                <w:sz w:val="17"/>
              </w:rPr>
              <w:t>Before M2</w:t>
            </w:r>
          </w:p>
        </w:tc>
        <w:tc>
          <w:tcPr>
            <w:tcW w:type="dxa" w:w="3288"/>
            <w:shd w:val="clear" w:color="auto" w:fill="F2F5FA"/>
          </w:tcPr>
          <w:p>
            <w:pPr>
              <w:spacing w:after="20" w:line="240" w:lineRule="auto"/>
            </w:pPr>
            <w:r>
              <w:rPr>
                <w:sz w:val="17"/>
              </w:rPr>
              <w:t>Both are fixed when the cluster or pool is created</w:t>
            </w:r>
          </w:p>
        </w:tc>
      </w:tr>
      <w:tr>
        <w:trPr>
          <w:cantSplit w:val="true"/>
        </w:trPr>
        <w:tc>
          <w:tcPr>
            <w:tcW w:type="dxa" w:w="3061"/>
          </w:tcPr>
          <w:p>
            <w:pPr>
              <w:spacing w:after="20" w:line="240" w:lineRule="auto"/>
            </w:pPr>
            <w:r>
              <w:rPr>
                <w:sz w:val="17"/>
              </w:rPr>
              <w:t>Permission to reuse third-party images</w:t>
            </w:r>
          </w:p>
        </w:tc>
        <w:tc>
          <w:tcPr>
            <w:tcW w:type="dxa" w:w="1814"/>
          </w:tcPr>
          <w:p>
            <w:pPr>
              <w:spacing w:after="20" w:line="240" w:lineRule="auto"/>
            </w:pPr>
            <w:r>
              <w:rPr>
                <w:sz w:val="17"/>
              </w:rPr>
              <w:t>Customer legal</w:t>
            </w:r>
          </w:p>
        </w:tc>
        <w:tc>
          <w:tcPr>
            <w:tcW w:type="dxa" w:w="1247"/>
          </w:tcPr>
          <w:p>
            <w:pPr>
              <w:spacing w:after="20" w:line="240" w:lineRule="auto"/>
            </w:pPr>
            <w:r>
              <w:rPr>
                <w:sz w:val="17"/>
              </w:rPr>
              <w:t>Before external sharing</w:t>
            </w:r>
          </w:p>
        </w:tc>
        <w:tc>
          <w:tcPr>
            <w:tcW w:type="dxa" w:w="3288"/>
          </w:tcPr>
          <w:p>
            <w:pPr>
              <w:spacing w:after="20" w:line="240" w:lineRule="auto"/>
            </w:pPr>
            <w:r>
              <w:rPr>
                <w:sz w:val="17"/>
              </w:rPr>
              <w:t>Appendix G of the runbook</w:t>
            </w:r>
          </w:p>
        </w:tc>
      </w:tr>
    </w:tbl>
    <w:p>
      <w:pPr>
        <w:spacing w:after="0" w:before="0" w:line="120" w:lineRule="exact"/>
      </w:pPr>
      <w:r>
        <w:rPr>
          <w:sz w:val="12"/>
        </w:rPr>
      </w:r>
    </w:p>
    <w:p>
      <w:pPr>
        <w:pStyle w:val="Heading1"/>
        <w:pageBreakBefore/>
      </w:pPr>
      <w:r>
        <w:t>7  How to repeat the checks</w:t>
      </w:r>
    </w:p>
    <w:p>
      <w:pPr>
        <w:tabs>
          <w:tab w:pos="425" w:val="left"/>
        </w:tabs>
        <w:spacing w:after="60"/>
        <w:ind w:left="425" w:hanging="425"/>
      </w:pPr>
      <w:r>
        <w:rPr>
          <w:b/>
        </w:rPr>
        <w:t>1.</w:t>
        <w:tab/>
      </w:r>
      <w:r>
        <w:t xml:space="preserve">From the </w:t>
      </w:r>
      <w:r>
        <w:rPr>
          <w:rFonts w:ascii="Consolas" w:hAnsi="Consolas"/>
          <w:color w:val="1F3864"/>
          <w:sz w:val="19"/>
        </w:rPr>
        <w:t>runbook</w:t>
      </w:r>
      <w:r>
        <w:t xml:space="preserve"> folder, generate the values files and render each with </w:t>
      </w:r>
      <w:r>
        <w:rPr>
          <w:rFonts w:ascii="Consolas" w:hAnsi="Consolas"/>
          <w:color w:val="1F3864"/>
          <w:sz w:val="19"/>
        </w:rPr>
        <w:t>helm template</w:t>
      </w:r>
      <w:r>
        <w:t xml:space="preserve"> against charts 4.13.0. Every render must complete without errors.</w:t>
      </w:r>
    </w:p>
    <w:p>
      <w:pPr>
        <w:tabs>
          <w:tab w:pos="425" w:val="left"/>
        </w:tabs>
        <w:spacing w:after="60"/>
        <w:ind w:left="425" w:hanging="425"/>
      </w:pPr>
      <w:r>
        <w:rPr>
          <w:b/>
        </w:rPr>
        <w:t>2.</w:t>
        <w:tab/>
      </w:r>
      <w:r>
        <w:t xml:space="preserve">In the rendered output, check: SRS URL ends in </w:t>
      </w:r>
      <w:r>
        <w:rPr>
          <w:rFonts w:ascii="Consolas" w:hAnsi="Consolas"/>
          <w:color w:val="1F3864"/>
          <w:sz w:val="19"/>
        </w:rPr>
        <w:t>:8443</w:t>
      </w:r>
      <w:r>
        <w:t xml:space="preserve">; no SRS NetworkPolicy from the chart; </w:t>
      </w:r>
      <w:r>
        <w:rPr>
          <w:rFonts w:ascii="Consolas" w:hAnsi="Consolas"/>
          <w:color w:val="1F3864"/>
          <w:sz w:val="19"/>
        </w:rPr>
        <w:t>topologySpreadConstraints</w:t>
      </w:r>
      <w:r>
        <w:t xml:space="preserve"> on both tiers; </w:t>
      </w:r>
      <w:r>
        <w:rPr>
          <w:rFonts w:ascii="Consolas" w:hAnsi="Consolas"/>
          <w:color w:val="1F3864"/>
          <w:sz w:val="19"/>
        </w:rPr>
        <w:t>JAVA_OPTS</w:t>
      </w:r>
      <w:r>
        <w:t xml:space="preserve"> present; SRS replicas 2 or 3.</w:t>
      </w:r>
    </w:p>
    <w:p>
      <w:pPr>
        <w:tabs>
          <w:tab w:pos="425" w:val="left"/>
        </w:tabs>
        <w:spacing w:after="60"/>
        <w:ind w:left="425" w:hanging="425"/>
      </w:pPr>
      <w:r>
        <w:rPr>
          <w:b/>
        </w:rPr>
        <w:t>3.</w:t>
        <w:tab/>
      </w:r>
      <w:r>
        <w:t xml:space="preserve">Run </w:t>
      </w:r>
      <w:r>
        <w:rPr>
          <w:rFonts w:ascii="Consolas" w:hAnsi="Consolas"/>
          <w:color w:val="1F3864"/>
          <w:sz w:val="19"/>
        </w:rPr>
        <w:t>python3 build_doc.py</w:t>
      </w:r>
      <w:r>
        <w:t xml:space="preserve"> and </w:t>
      </w:r>
      <w:r>
        <w:rPr>
          <w:rFonts w:ascii="Consolas" w:hAnsi="Consolas"/>
          <w:color w:val="1F3864"/>
          <w:sz w:val="19"/>
        </w:rPr>
        <w:t>python3 qa_check.py</w:t>
      </w:r>
      <w:r>
        <w:t>. The build must report no missing entries and no uncited references; the QA script must report no missing sections and no wording issues.</w:t>
      </w:r>
    </w:p>
    <w:p>
      <w:pPr>
        <w:tabs>
          <w:tab w:pos="425" w:val="left"/>
        </w:tabs>
        <w:spacing w:after="60"/>
        <w:ind w:left="425" w:hanging="425"/>
      </w:pPr>
      <w:r>
        <w:rPr>
          <w:b/>
        </w:rPr>
        <w:t>4.</w:t>
        <w:tab/>
      </w:r>
      <w:r>
        <w:t>Open the sizing calculator, replace the example inputs with measured values, and compare the outputs with Section 15.8 of the runbook.</w:t>
      </w:r>
    </w:p>
    <w:p>
      <w:pPr>
        <w:tabs>
          <w:tab w:pos="425" w:val="left"/>
        </w:tabs>
        <w:spacing w:after="60"/>
        <w:ind w:left="425" w:hanging="425"/>
      </w:pPr>
      <w:r>
        <w:rPr>
          <w:b/>
        </w:rPr>
        <w:t>5.</w:t>
        <w:tab/>
      </w:r>
      <w:r>
        <w:t>Before each rehearsal, recheck the vendor pages in the runbook's Section 3 and Appendix F.</w:t>
      </w:r>
    </w:p>
    <w:sectPr w:rsidR="00FC693F" w:rsidRPr="0006063C" w:rsidSect="00034616">
      <w:headerReference w:type="default" r:id="rId9"/>
      <w:footerReference w:type="default" r:id="rId10"/>
      <w:pgSz w:w="11906" w:h="16838"/>
      <w:pgMar w:top="1304" w:right="1247" w:bottom="1134" w:left="1247"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Customer Confidential    |    Page </w:t>
    </w:r>
    <w:r>
      <w:rPr>
        <w:color w:val="595959"/>
        <w:sz w:val="17"/>
      </w:rPr>
      <w:fldChar w:fldCharType="begin"/>
    </w:r>
    <w:r>
      <w:rPr>
        <w:color w:val="595959"/>
        <w:sz w:val="17"/>
      </w:rPr>
      <w:instrText xml:space="preserve">PAGE</w:instrText>
    </w:r>
    <w:r>
      <w:rPr>
        <w:color w:val="595959"/>
        <w:sz w:val="17"/>
      </w:rPr>
      <w:fldChar w:fldCharType="separate"/>
    </w:r>
    <w:r>
      <w:rPr>
        <w:color w:val="595959"/>
        <w:sz w:val="17"/>
      </w:rPr>
      <w:t>1</w:t>
    </w:r>
    <w:r>
      <w:rPr>
        <w:color w:val="595959"/>
        <w:sz w:val="17"/>
      </w:rPr>
      <w:fldChar w:fldCharType="end"/>
    </w:r>
    <w:r>
      <w:rPr>
        <w:color w:val="595959"/>
        <w:sz w:val="17"/>
      </w:rPr>
      <w:t xml:space="preserve"> of </w:t>
    </w:r>
    <w:r>
      <w:rPr>
        <w:color w:val="595959"/>
        <w:sz w:val="17"/>
      </w:rPr>
      <w:fldChar w:fldCharType="begin"/>
    </w:r>
    <w:r>
      <w:rPr>
        <w:color w:val="595959"/>
        <w:sz w:val="17"/>
      </w:rPr>
      <w:instrText xml:space="preserve">NUMPAGES</w:instrText>
    </w:r>
    <w:r>
      <w:rPr>
        <w:color w:val="595959"/>
        <w:sz w:val="17"/>
      </w:rPr>
      <w:fldChar w:fldCharType="separate"/>
    </w:r>
    <w:r>
      <w:rPr>
        <w:color w:val="595959"/>
        <w:sz w:val="17"/>
      </w:rPr>
      <w:t>1</w:t>
    </w:r>
    <w:r>
      <w:rPr>
        <w:color w:val="595959"/>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A6A6A6"/>
      </w:pBdr>
    </w:pPr>
    <w:r/>
    <w:r>
      <w:rPr>
        <w:color w:val="595959"/>
        <w:sz w:val="17"/>
      </w:rPr>
      <w:t>Expert review | Pega 26.1.1 Kafka and Search Runbook v2.0 to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 w:eastAsiaTheme="majorEastAsia" w:hAnsiTheme="majorHAnsi" w:cstheme="majorBidi" w:ascii="Calibri" w:hAnsi="Calibri"/>
      <w:b/>
      <w:bCs/>
      <w:i w:val="0"/>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 w:eastAsiaTheme="majorEastAsia" w:hAnsiTheme="majorHAnsi" w:cstheme="majorBidi" w:ascii="Calibri" w:hAnsi="Calibri"/>
      <w:b/>
      <w:bCs/>
      <w:i w:val="0"/>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 w:eastAsiaTheme="majorEastAsia" w:hAnsiTheme="majorHAnsi" w:cstheme="majorBidi" w:ascii="Calibri" w:hAnsi="Calibri"/>
      <w:b/>
      <w:bCs/>
      <w:i w:val="0"/>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val="0"/>
      <w:color w:val="1F3864"/>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spacing w:after="200"/>
    </w:pPr>
    <w:rPr>
      <w:b/>
      <w:color w:val="1F3864"/>
      <w:sz w:val="32"/>
    </w:rPr>
  </w:style>
  <w:style w:type="paragraph" w:customStyle="1" w:styleId="TOC1">
    <w:name w:val="TOC 1"/>
    <w:basedOn w:val="Normal"/>
    <w:pPr>
      <w:tabs>
        <w:tab w:pos="9071" w:val="right" w:leader="dot"/>
      </w:tabs>
      <w:spacing w:after="60" w:before="100"/>
      <w:ind w:left="0"/>
    </w:pPr>
    <w:rPr>
      <w:b/>
      <w:sz w:val="21"/>
    </w:rPr>
  </w:style>
  <w:style w:type="paragraph" w:customStyle="1" w:styleId="TOC2">
    <w:name w:val="TOC 2"/>
    <w:basedOn w:val="Normal"/>
    <w:pPr>
      <w:tabs>
        <w:tab w:pos="9071" w:val="right" w:leader="dot"/>
      </w:tabs>
      <w:spacing w:after="40" w:before="0"/>
      <w:ind w:left="340"/>
    </w:pPr>
    <w:rPr>
      <w:b w:val="0"/>
      <w:sz w:val="20"/>
    </w:rPr>
  </w:style>
  <w:style w:type="paragraph" w:customStyle="1" w:styleId="TOC3">
    <w:name w:val="TOC 3"/>
    <w:basedOn w:val="Normal"/>
    <w:pPr>
      <w:tabs>
        <w:tab w:pos="9071" w:val="right" w:leader="dot"/>
      </w:tabs>
      <w:spacing w:after="40" w:before="0"/>
      <w:ind w:left="680"/>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