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pPr>
        <w:pStyle w:val="Title"/>
        <w:keepNext w:val="1"/>
        <w:spacing w:after="100" w:line="278.00000000000006" w:lineRule="auto"/>
        <w:rPr/>
      </w:pPr>
      <w:r>
        <w:rPr>
          <w:vertAlign w:val="baseline"/>
          <w:rtl w:val="0"/>
        </w:rPr>
        <w:t xml:space="preserve">Gridiron Lab</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pPr>
              <w:spacing w:after="0" w:line="240" w:lineRule="auto"/>
              <w:rPr>
                <w:color w:val="000000"/>
              </w:rPr>
            </w:pPr>
            <w:r>
              <w:rPr>
                <w:color w:val="000000"/>
                <w:rtl w:val="0"/>
              </w:rPr>
              <w:t xml:space="preserve">NFL forecasting system</w:t>
              <w:br/>
              <w:t xml:space="preserve">Data models results and operations</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pPr>
              <w:spacing w:after="0" w:line="240" w:lineRule="auto"/>
              <w:rPr>
                <w:color w:val="666666"/>
              </w:rPr>
            </w:pPr>
            <w:r>
              <w:rPr>
                <w:color w:val="666666"/>
                <w:rtl w:val="0"/>
              </w:rPr>
              <w:t xml:space="preserve">Prepared by Codex</w:t>
            </w:r>
          </w:p>
          <w:p>
            <w:pPr>
              <w:spacing w:after="0" w:line="240" w:lineRule="auto"/>
              <w:rPr>
                <w:color w:val="666666"/>
              </w:rPr>
            </w:pPr>
            <w:r>
              <w:rPr>
                <w:color w:val="666666"/>
                <w:rtl w:val="0"/>
              </w:rPr>
              <w:t xml:space="preserve">26 September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sdt>
      <w:sdtPr>
        <w:id w:val="-2107746825"/>
        <w:docPartObj>
          <w:docPartGallery w:val="Table of Contents"/>
          <w:docPartUnique w:val="1"/>
        </w:docPartObj>
      </w:sdtPr>
      <w:sdtContent>
        <w:p>
          <w:pPr>
            <w:widowControl w:val="0"/>
            <w:tabs>
              <w:tab w:val="right" w:leader="dot" w:pos="9360"/>
            </w:tabs>
            <w:spacing w:after="0" w:before="60" w:line="240" w:lineRule="auto"/>
            <w:rPr>
              <w:b w:val="1"/>
              <w:bCs w:val="1"/>
              <w:color w:val="000000"/>
              <w:u w:val="none"/>
            </w:rPr>
          </w:pPr>
          <w:r>
            <w:fldChar w:fldCharType="begin"/>
          </w:r>
          <w:r>
            <w:instrText> TOC \h \z \o "1-1" </w:instrText>
          </w:r>
          <w:r>
            <w:fldChar w:fldCharType="separate"/>
          </w:r>
          <w:hyperlink w:anchor="nfl_chapter_1">
            <w:r>
              <w:rPr>
                <w:rFonts w:ascii="Helvetica Neue" w:hAnsi="Helvetica Neue"/>
                <w:sz w:val="22"/>
                <w:color w:val="000000"/>
              </w:rPr>
              <w:t>1 Executive summary</w:t>
            </w:r>
            <w:r>
              <w:rPr>
                <w:rFonts w:ascii="Helvetica Neue" w:hAnsi="Helvetica Neue"/>
                <w:sz w:val="22"/>
                <w:color w:val="000000"/>
              </w:rPr>
              <w:tab/>
            </w:r>
            <w:r>
              <w:rPr>
                <w:rFonts w:ascii="Helvetica Neue" w:hAnsi="Helvetica Neue"/>
                <w:sz w:val="22"/>
                <w:color w:val="000000"/>
              </w:rPr>
              <w:t>2</w:t>
            </w:r>
          </w:hyperlink>
        </w:p>
        <w:p>
          <w:pPr>
            <w:widowControl w:val="0"/>
            <w:tabs>
              <w:tab w:val="right" w:leader="dot" w:pos="9360"/>
            </w:tabs>
            <w:spacing w:after="0" w:before="60" w:line="240" w:lineRule="auto"/>
            <w:rPr>
              <w:b w:val="1"/>
              <w:bCs w:val="1"/>
              <w:color w:val="000000"/>
              <w:u w:val="none"/>
            </w:rPr>
          </w:pPr>
          <w:hyperlink w:anchor="nfl_chapter_2">
            <w:r>
              <w:rPr>
                <w:rFonts w:ascii="Helvetica Neue" w:hAnsi="Helvetica Neue"/>
                <w:sz w:val="22"/>
                <w:color w:val="000000"/>
              </w:rPr>
              <w:t>2 What we built</w:t>
            </w:r>
            <w:r>
              <w:rPr>
                <w:rFonts w:ascii="Helvetica Neue" w:hAnsi="Helvetica Neue"/>
                <w:sz w:val="22"/>
                <w:color w:val="000000"/>
              </w:rPr>
              <w:tab/>
            </w:r>
            <w:r>
              <w:rPr>
                <w:rFonts w:ascii="Helvetica Neue" w:hAnsi="Helvetica Neue"/>
                <w:sz w:val="22"/>
                <w:color w:val="000000"/>
              </w:rPr>
              <w:t>3</w:t>
            </w:r>
          </w:hyperlink>
        </w:p>
        <w:p>
          <w:pPr>
            <w:widowControl w:val="0"/>
            <w:tabs>
              <w:tab w:val="right" w:leader="dot" w:pos="9360"/>
            </w:tabs>
            <w:spacing w:after="0" w:before="60" w:line="240" w:lineRule="auto"/>
            <w:rPr>
              <w:b w:val="1"/>
              <w:bCs w:val="1"/>
              <w:color w:val="000000"/>
              <w:u w:val="none"/>
            </w:rPr>
          </w:pPr>
          <w:hyperlink w:anchor="nfl_chapter_3">
            <w:r>
              <w:rPr>
                <w:rFonts w:ascii="Helvetica Neue" w:hAnsi="Helvetica Neue"/>
                <w:sz w:val="22"/>
                <w:color w:val="000000"/>
              </w:rPr>
              <w:t>3 How the website numbers work</w:t>
            </w:r>
            <w:r>
              <w:rPr>
                <w:rFonts w:ascii="Helvetica Neue" w:hAnsi="Helvetica Neue"/>
                <w:sz w:val="22"/>
                <w:color w:val="000000"/>
              </w:rPr>
              <w:tab/>
            </w:r>
            <w:r>
              <w:rPr>
                <w:rFonts w:ascii="Helvetica Neue" w:hAnsi="Helvetica Neue"/>
                <w:sz w:val="22"/>
                <w:color w:val="000000"/>
              </w:rPr>
              <w:t>4</w:t>
            </w:r>
          </w:hyperlink>
        </w:p>
        <w:p>
          <w:pPr>
            <w:widowControl w:val="0"/>
            <w:tabs>
              <w:tab w:val="right" w:leader="dot" w:pos="9360"/>
            </w:tabs>
            <w:spacing w:after="0" w:before="60" w:line="240" w:lineRule="auto"/>
            <w:rPr>
              <w:b w:val="1"/>
              <w:bCs w:val="1"/>
              <w:color w:val="000000"/>
              <w:u w:val="none"/>
            </w:rPr>
          </w:pPr>
          <w:hyperlink w:anchor="nfl_chapter_4">
            <w:r>
              <w:rPr>
                <w:rFonts w:ascii="Helvetica Neue" w:hAnsi="Helvetica Neue"/>
                <w:sz w:val="22"/>
                <w:color w:val="000000"/>
              </w:rPr>
              <w:t>4 Sources and system architecture</w:t>
            </w:r>
            <w:r>
              <w:rPr>
                <w:rFonts w:ascii="Helvetica Neue" w:hAnsi="Helvetica Neue"/>
                <w:sz w:val="22"/>
                <w:color w:val="000000"/>
              </w:rPr>
              <w:tab/>
            </w:r>
            <w:r>
              <w:rPr>
                <w:rFonts w:ascii="Helvetica Neue" w:hAnsi="Helvetica Neue"/>
                <w:sz w:val="22"/>
                <w:color w:val="000000"/>
              </w:rPr>
              <w:t>5</w:t>
            </w:r>
          </w:hyperlink>
        </w:p>
        <w:p>
          <w:pPr>
            <w:widowControl w:val="0"/>
            <w:tabs>
              <w:tab w:val="right" w:leader="dot" w:pos="9360"/>
            </w:tabs>
            <w:spacing w:after="0" w:before="60" w:line="240" w:lineRule="auto"/>
            <w:rPr>
              <w:b w:val="1"/>
              <w:bCs w:val="1"/>
              <w:color w:val="000000"/>
              <w:u w:val="none"/>
            </w:rPr>
          </w:pPr>
          <w:hyperlink w:anchor="nfl_chapter_5">
            <w:r>
              <w:rPr>
                <w:rFonts w:ascii="Helvetica Neue" w:hAnsi="Helvetica Neue"/>
                <w:sz w:val="22"/>
                <w:color w:val="000000"/>
              </w:rPr>
              <w:t>5 Time and provenance</w:t>
            </w:r>
            <w:r>
              <w:rPr>
                <w:rFonts w:ascii="Helvetica Neue" w:hAnsi="Helvetica Neue"/>
                <w:sz w:val="22"/>
                <w:color w:val="000000"/>
              </w:rPr>
              <w:tab/>
            </w:r>
            <w:r>
              <w:rPr>
                <w:rFonts w:ascii="Helvetica Neue" w:hAnsi="Helvetica Neue"/>
                <w:sz w:val="22"/>
                <w:color w:val="000000"/>
              </w:rPr>
              <w:t>6</w:t>
            </w:r>
          </w:hyperlink>
        </w:p>
        <w:p>
          <w:pPr>
            <w:widowControl w:val="0"/>
            <w:tabs>
              <w:tab w:val="right" w:leader="dot" w:pos="9360"/>
            </w:tabs>
            <w:spacing w:after="0" w:before="60" w:line="240" w:lineRule="auto"/>
            <w:rPr>
              <w:b w:val="1"/>
              <w:bCs w:val="1"/>
              <w:color w:val="000000"/>
              <w:u w:val="none"/>
            </w:rPr>
          </w:pPr>
          <w:hyperlink w:anchor="nfl_chapter_6">
            <w:r>
              <w:rPr>
                <w:rFonts w:ascii="Helvetica Neue" w:hAnsi="Helvetica Neue"/>
                <w:sz w:val="22"/>
                <w:color w:val="000000"/>
              </w:rPr>
              <w:t>6 Training data and splits</w:t>
            </w:r>
            <w:r>
              <w:rPr>
                <w:rFonts w:ascii="Helvetica Neue" w:hAnsi="Helvetica Neue"/>
                <w:sz w:val="22"/>
                <w:color w:val="000000"/>
              </w:rPr>
              <w:tab/>
            </w:r>
            <w:r>
              <w:rPr>
                <w:rFonts w:ascii="Helvetica Neue" w:hAnsi="Helvetica Neue"/>
                <w:sz w:val="22"/>
                <w:color w:val="000000"/>
              </w:rPr>
              <w:t>7</w:t>
            </w:r>
          </w:hyperlink>
        </w:p>
        <w:p>
          <w:pPr>
            <w:widowControl w:val="0"/>
            <w:tabs>
              <w:tab w:val="right" w:leader="dot" w:pos="9360"/>
            </w:tabs>
            <w:spacing w:after="0" w:before="60" w:line="240" w:lineRule="auto"/>
            <w:rPr>
              <w:b w:val="1"/>
              <w:bCs w:val="1"/>
              <w:color w:val="000000"/>
              <w:u w:val="none"/>
            </w:rPr>
          </w:pPr>
          <w:hyperlink w:anchor="nfl_chapter_7">
            <w:r>
              <w:rPr>
                <w:rFonts w:ascii="Helvetica Neue" w:hAnsi="Helvetica Neue"/>
                <w:sz w:val="22"/>
                <w:color w:val="000000"/>
              </w:rPr>
              <w:t>7 Team model inputs</w:t>
            </w:r>
            <w:r>
              <w:rPr>
                <w:rFonts w:ascii="Helvetica Neue" w:hAnsi="Helvetica Neue"/>
                <w:sz w:val="22"/>
                <w:color w:val="000000"/>
              </w:rPr>
              <w:tab/>
            </w:r>
            <w:r>
              <w:rPr>
                <w:rFonts w:ascii="Helvetica Neue" w:hAnsi="Helvetica Neue"/>
                <w:sz w:val="22"/>
                <w:color w:val="000000"/>
              </w:rPr>
              <w:t>8</w:t>
            </w:r>
          </w:hyperlink>
        </w:p>
        <w:p>
          <w:pPr>
            <w:widowControl w:val="0"/>
            <w:tabs>
              <w:tab w:val="right" w:leader="dot" w:pos="9360"/>
            </w:tabs>
            <w:spacing w:after="0" w:before="60" w:line="240" w:lineRule="auto"/>
            <w:rPr>
              <w:b w:val="1"/>
              <w:bCs w:val="1"/>
              <w:color w:val="000000"/>
              <w:u w:val="none"/>
            </w:rPr>
          </w:pPr>
          <w:hyperlink w:anchor="nfl_chapter_8">
            <w:r>
              <w:rPr>
                <w:rFonts w:ascii="Helvetica Neue" w:hAnsi="Helvetica Neue"/>
                <w:sz w:val="22"/>
                <w:color w:val="000000"/>
              </w:rPr>
              <w:t>8 Model training and inference</w:t>
            </w:r>
            <w:r>
              <w:rPr>
                <w:rFonts w:ascii="Helvetica Neue" w:hAnsi="Helvetica Neue"/>
                <w:sz w:val="22"/>
                <w:color w:val="000000"/>
              </w:rPr>
              <w:tab/>
            </w:r>
            <w:r>
              <w:rPr>
                <w:rFonts w:ascii="Helvetica Neue" w:hAnsi="Helvetica Neue"/>
                <w:sz w:val="22"/>
                <w:color w:val="000000"/>
              </w:rPr>
              <w:t>9</w:t>
            </w:r>
          </w:hyperlink>
        </w:p>
        <w:p>
          <w:pPr>
            <w:widowControl w:val="0"/>
            <w:tabs>
              <w:tab w:val="right" w:leader="dot" w:pos="9360"/>
            </w:tabs>
            <w:spacing w:after="0" w:before="60" w:line="240" w:lineRule="auto"/>
            <w:rPr>
              <w:b w:val="1"/>
              <w:bCs w:val="1"/>
              <w:color w:val="000000"/>
              <w:u w:val="none"/>
            </w:rPr>
          </w:pPr>
          <w:hyperlink w:anchor="nfl_chapter_9">
            <w:r>
              <w:rPr>
                <w:rFonts w:ascii="Helvetica Neue" w:hAnsi="Helvetica Neue"/>
                <w:sz w:val="22"/>
                <w:color w:val="000000"/>
              </w:rPr>
              <w:t>9 Player form model</w:t>
            </w:r>
            <w:r>
              <w:rPr>
                <w:rFonts w:ascii="Helvetica Neue" w:hAnsi="Helvetica Neue"/>
                <w:sz w:val="22"/>
                <w:color w:val="000000"/>
              </w:rPr>
              <w:tab/>
            </w:r>
            <w:r>
              <w:rPr>
                <w:rFonts w:ascii="Helvetica Neue" w:hAnsi="Helvetica Neue"/>
                <w:sz w:val="22"/>
                <w:color w:val="000000"/>
              </w:rPr>
              <w:t>10</w:t>
            </w:r>
          </w:hyperlink>
        </w:p>
        <w:p>
          <w:pPr>
            <w:widowControl w:val="0"/>
            <w:tabs>
              <w:tab w:val="right" w:leader="dot" w:pos="9360"/>
            </w:tabs>
            <w:spacing w:after="0" w:before="60" w:line="240" w:lineRule="auto"/>
            <w:rPr>
              <w:b w:val="1"/>
              <w:bCs w:val="1"/>
              <w:color w:val="000000"/>
              <w:u w:val="none"/>
            </w:rPr>
          </w:pPr>
          <w:hyperlink w:anchor="nfl_chapter_10">
            <w:r>
              <w:rPr>
                <w:rFonts w:ascii="Helvetica Neue" w:hAnsi="Helvetica Neue"/>
                <w:sz w:val="22"/>
                <w:color w:val="000000"/>
              </w:rPr>
              <w:t>10 Player availability model</w:t>
            </w:r>
            <w:r>
              <w:rPr>
                <w:rFonts w:ascii="Helvetica Neue" w:hAnsi="Helvetica Neue"/>
                <w:sz w:val="22"/>
                <w:color w:val="000000"/>
              </w:rPr>
              <w:tab/>
            </w:r>
            <w:r>
              <w:rPr>
                <w:rFonts w:ascii="Helvetica Neue" w:hAnsi="Helvetica Neue"/>
                <w:sz w:val="22"/>
                <w:color w:val="000000"/>
              </w:rPr>
              <w:t>11</w:t>
            </w:r>
          </w:hyperlink>
        </w:p>
        <w:p>
          <w:pPr>
            <w:widowControl w:val="0"/>
            <w:tabs>
              <w:tab w:val="right" w:leader="dot" w:pos="9360"/>
            </w:tabs>
            <w:spacing w:after="0" w:before="60" w:line="240" w:lineRule="auto"/>
            <w:rPr>
              <w:b w:val="1"/>
              <w:bCs w:val="1"/>
              <w:color w:val="000000"/>
              <w:u w:val="none"/>
            </w:rPr>
          </w:pPr>
          <w:hyperlink w:anchor="nfl_chapter_11">
            <w:r>
              <w:rPr>
                <w:rFonts w:ascii="Helvetica Neue" w:hAnsi="Helvetica Neue"/>
                <w:sz w:val="22"/>
                <w:color w:val="000000"/>
              </w:rPr>
              <w:t>11 Evaluation methods</w:t>
            </w:r>
            <w:r>
              <w:rPr>
                <w:rFonts w:ascii="Helvetica Neue" w:hAnsi="Helvetica Neue"/>
                <w:sz w:val="22"/>
                <w:color w:val="000000"/>
              </w:rPr>
              <w:tab/>
            </w:r>
            <w:r>
              <w:rPr>
                <w:rFonts w:ascii="Helvetica Neue" w:hAnsi="Helvetica Neue"/>
                <w:sz w:val="22"/>
                <w:color w:val="000000"/>
              </w:rPr>
              <w:t>12</w:t>
            </w:r>
          </w:hyperlink>
        </w:p>
        <w:p>
          <w:pPr>
            <w:widowControl w:val="0"/>
            <w:tabs>
              <w:tab w:val="right" w:leader="dot" w:pos="9360"/>
            </w:tabs>
            <w:spacing w:after="0" w:before="60" w:line="240" w:lineRule="auto"/>
            <w:rPr>
              <w:b w:val="1"/>
              <w:bCs w:val="1"/>
              <w:color w:val="000000"/>
              <w:u w:val="none"/>
            </w:rPr>
          </w:pPr>
          <w:hyperlink w:anchor="nfl_chapter_12">
            <w:r>
              <w:rPr>
                <w:rFonts w:ascii="Helvetica Neue" w:hAnsi="Helvetica Neue"/>
                <w:sz w:val="22"/>
                <w:color w:val="000000"/>
              </w:rPr>
              <w:t>12 Historical results</w:t>
            </w:r>
            <w:r>
              <w:rPr>
                <w:rFonts w:ascii="Helvetica Neue" w:hAnsi="Helvetica Neue"/>
                <w:sz w:val="22"/>
                <w:color w:val="000000"/>
              </w:rPr>
              <w:tab/>
            </w:r>
            <w:r>
              <w:rPr>
                <w:rFonts w:ascii="Helvetica Neue" w:hAnsi="Helvetica Neue"/>
                <w:sz w:val="22"/>
                <w:color w:val="000000"/>
              </w:rPr>
              <w:t>13</w:t>
            </w:r>
          </w:hyperlink>
        </w:p>
        <w:p>
          <w:pPr>
            <w:widowControl w:val="0"/>
            <w:tabs>
              <w:tab w:val="right" w:leader="dot" w:pos="9360"/>
            </w:tabs>
            <w:spacing w:after="0" w:before="60" w:line="240" w:lineRule="auto"/>
            <w:rPr>
              <w:b w:val="1"/>
              <w:bCs w:val="1"/>
              <w:color w:val="000000"/>
              <w:u w:val="none"/>
            </w:rPr>
          </w:pPr>
          <w:hyperlink w:anchor="nfl_chapter_13">
            <w:r>
              <w:rPr>
                <w:rFonts w:ascii="Helvetica Neue" w:hAnsi="Helvetica Neue"/>
                <w:sz w:val="22"/>
                <w:color w:val="000000"/>
              </w:rPr>
              <w:t>13 Live forecast workflow</w:t>
            </w:r>
            <w:r>
              <w:rPr>
                <w:rFonts w:ascii="Helvetica Neue" w:hAnsi="Helvetica Neue"/>
                <w:sz w:val="22"/>
                <w:color w:val="000000"/>
              </w:rPr>
              <w:tab/>
            </w:r>
            <w:r>
              <w:rPr>
                <w:rFonts w:ascii="Helvetica Neue" w:hAnsi="Helvetica Neue"/>
                <w:sz w:val="22"/>
                <w:color w:val="000000"/>
              </w:rPr>
              <w:t>14</w:t>
            </w:r>
          </w:hyperlink>
        </w:p>
        <w:p>
          <w:pPr>
            <w:widowControl w:val="0"/>
            <w:tabs>
              <w:tab w:val="right" w:leader="dot" w:pos="9360"/>
            </w:tabs>
            <w:spacing w:after="0" w:before="60" w:line="240" w:lineRule="auto"/>
            <w:rPr>
              <w:b w:val="1"/>
              <w:bCs w:val="1"/>
              <w:color w:val="000000"/>
              <w:u w:val="none"/>
            </w:rPr>
          </w:pPr>
          <w:hyperlink w:anchor="nfl_chapter_14">
            <w:r>
              <w:rPr>
                <w:rFonts w:ascii="Helvetica Neue" w:hAnsi="Helvetica Neue"/>
                <w:sz w:val="22"/>
                <w:color w:val="000000"/>
              </w:rPr>
              <w:t>14 Forecast snapshot</w:t>
            </w:r>
            <w:r>
              <w:rPr>
                <w:rFonts w:ascii="Helvetica Neue" w:hAnsi="Helvetica Neue"/>
                <w:sz w:val="22"/>
                <w:color w:val="000000"/>
              </w:rPr>
              <w:tab/>
            </w:r>
            <w:r>
              <w:rPr>
                <w:rFonts w:ascii="Helvetica Neue" w:hAnsi="Helvetica Neue"/>
                <w:sz w:val="22"/>
                <w:color w:val="000000"/>
              </w:rPr>
              <w:t>15</w:t>
            </w:r>
          </w:hyperlink>
        </w:p>
        <w:p>
          <w:pPr>
            <w:widowControl w:val="0"/>
            <w:tabs>
              <w:tab w:val="right" w:leader="dot" w:pos="9360"/>
            </w:tabs>
            <w:spacing w:after="0" w:before="60" w:line="240" w:lineRule="auto"/>
            <w:rPr>
              <w:b w:val="1"/>
              <w:bCs w:val="1"/>
              <w:color w:val="000000"/>
              <w:u w:val="none"/>
            </w:rPr>
          </w:pPr>
          <w:hyperlink w:anchor="nfl_chapter_15">
            <w:r>
              <w:rPr>
                <w:rFonts w:ascii="Helvetica Neue" w:hAnsi="Helvetica Neue"/>
                <w:sz w:val="22"/>
                <w:color w:val="000000"/>
              </w:rPr>
              <w:t>15 Worked forecast example</w:t>
            </w:r>
            <w:r>
              <w:rPr>
                <w:rFonts w:ascii="Helvetica Neue" w:hAnsi="Helvetica Neue"/>
                <w:sz w:val="22"/>
                <w:color w:val="000000"/>
              </w:rPr>
              <w:tab/>
            </w:r>
            <w:r>
              <w:rPr>
                <w:rFonts w:ascii="Helvetica Neue" w:hAnsi="Helvetica Neue"/>
                <w:sz w:val="22"/>
                <w:color w:val="000000"/>
              </w:rPr>
              <w:t>16</w:t>
            </w:r>
          </w:hyperlink>
        </w:p>
        <w:p>
          <w:pPr>
            <w:widowControl w:val="0"/>
            <w:tabs>
              <w:tab w:val="right" w:leader="dot" w:pos="9360"/>
            </w:tabs>
            <w:spacing w:after="0" w:before="60" w:line="240" w:lineRule="auto"/>
            <w:rPr>
              <w:b w:val="1"/>
              <w:bCs w:val="1"/>
              <w:color w:val="000000"/>
              <w:u w:val="none"/>
            </w:rPr>
          </w:pPr>
          <w:hyperlink w:anchor="nfl_chapter_16">
            <w:r>
              <w:rPr>
                <w:rFonts w:ascii="Helvetica Neue" w:hAnsi="Helvetica Neue"/>
                <w:sz w:val="22"/>
                <w:color w:val="000000"/>
              </w:rPr>
              <w:t>16 Automation and operations</w:t>
            </w:r>
            <w:r>
              <w:rPr>
                <w:rFonts w:ascii="Helvetica Neue" w:hAnsi="Helvetica Neue"/>
                <w:sz w:val="22"/>
                <w:color w:val="000000"/>
              </w:rPr>
              <w:tab/>
            </w:r>
            <w:r>
              <w:rPr>
                <w:rFonts w:ascii="Helvetica Neue" w:hAnsi="Helvetica Neue"/>
                <w:sz w:val="22"/>
                <w:color w:val="000000"/>
              </w:rPr>
              <w:t>17</w:t>
            </w:r>
          </w:hyperlink>
        </w:p>
        <w:p>
          <w:pPr>
            <w:widowControl w:val="0"/>
            <w:tabs>
              <w:tab w:val="right" w:leader="dot" w:pos="9360"/>
            </w:tabs>
            <w:spacing w:after="0" w:before="60" w:line="240" w:lineRule="auto"/>
            <w:rPr>
              <w:b w:val="1"/>
              <w:bCs w:val="1"/>
              <w:color w:val="000000"/>
              <w:u w:val="none"/>
            </w:rPr>
          </w:pPr>
          <w:hyperlink w:anchor="nfl_chapter_17">
            <w:r>
              <w:rPr>
                <w:rFonts w:ascii="Helvetica Neue" w:hAnsi="Helvetica Neue"/>
                <w:sz w:val="22"/>
                <w:color w:val="000000"/>
              </w:rPr>
              <w:t>17 Tools and tradeoffs</w:t>
            </w:r>
            <w:r>
              <w:rPr>
                <w:rFonts w:ascii="Helvetica Neue" w:hAnsi="Helvetica Neue"/>
                <w:sz w:val="22"/>
                <w:color w:val="000000"/>
              </w:rPr>
              <w:tab/>
            </w:r>
            <w:r>
              <w:rPr>
                <w:rFonts w:ascii="Helvetica Neue" w:hAnsi="Helvetica Neue"/>
                <w:sz w:val="22"/>
                <w:color w:val="000000"/>
              </w:rPr>
              <w:t>18</w:t>
            </w:r>
          </w:hyperlink>
        </w:p>
        <w:p>
          <w:pPr>
            <w:widowControl w:val="0"/>
            <w:tabs>
              <w:tab w:val="right" w:leader="dot" w:pos="9360"/>
            </w:tabs>
            <w:spacing w:after="0" w:before="60" w:line="240" w:lineRule="auto"/>
            <w:rPr>
              <w:b w:val="1"/>
              <w:bCs w:val="1"/>
              <w:color w:val="000000"/>
              <w:u w:val="none"/>
            </w:rPr>
          </w:pPr>
          <w:hyperlink w:anchor="nfl_chapter_18">
            <w:r>
              <w:rPr>
                <w:rFonts w:ascii="Helvetica Neue" w:hAnsi="Helvetica Neue"/>
                <w:sz w:val="22"/>
                <w:color w:val="000000"/>
              </w:rPr>
              <w:t>18 Costs storage and credentials</w:t>
            </w:r>
            <w:r>
              <w:rPr>
                <w:rFonts w:ascii="Helvetica Neue" w:hAnsi="Helvetica Neue"/>
                <w:sz w:val="22"/>
                <w:color w:val="000000"/>
              </w:rPr>
              <w:tab/>
            </w:r>
            <w:r>
              <w:rPr>
                <w:rFonts w:ascii="Helvetica Neue" w:hAnsi="Helvetica Neue"/>
                <w:sz w:val="22"/>
                <w:color w:val="000000"/>
              </w:rPr>
              <w:t>19</w:t>
            </w:r>
          </w:hyperlink>
        </w:p>
        <w:p>
          <w:pPr>
            <w:widowControl w:val="0"/>
            <w:tabs>
              <w:tab w:val="right" w:leader="dot" w:pos="9360"/>
            </w:tabs>
            <w:spacing w:after="0" w:before="60" w:line="240" w:lineRule="auto"/>
            <w:rPr>
              <w:b w:val="1"/>
              <w:bCs w:val="1"/>
              <w:color w:val="000000"/>
              <w:u w:val="none"/>
            </w:rPr>
          </w:pPr>
          <w:hyperlink w:anchor="nfl_chapter_19">
            <w:r>
              <w:rPr>
                <w:rFonts w:ascii="Helvetica Neue" w:hAnsi="Helvetica Neue"/>
                <w:sz w:val="22"/>
                <w:color w:val="000000"/>
              </w:rPr>
              <w:t>19 Limitations and safeguards</w:t>
            </w:r>
            <w:r>
              <w:rPr>
                <w:rFonts w:ascii="Helvetica Neue" w:hAnsi="Helvetica Neue"/>
                <w:sz w:val="22"/>
                <w:color w:val="000000"/>
              </w:rPr>
              <w:tab/>
            </w:r>
            <w:r>
              <w:rPr>
                <w:rFonts w:ascii="Helvetica Neue" w:hAnsi="Helvetica Neue"/>
                <w:sz w:val="22"/>
                <w:color w:val="000000"/>
              </w:rPr>
              <w:t>20</w:t>
            </w:r>
          </w:hyperlink>
        </w:p>
        <w:p>
          <w:pPr>
            <w:widowControl w:val="0"/>
            <w:tabs>
              <w:tab w:val="right" w:leader="dot" w:pos="9360"/>
            </w:tabs>
            <w:spacing w:after="0" w:before="60" w:line="240" w:lineRule="auto"/>
            <w:rPr>
              <w:b w:val="1"/>
              <w:bCs w:val="1"/>
              <w:color w:val="000000"/>
              <w:u w:val="none"/>
            </w:rPr>
          </w:pPr>
          <w:hyperlink w:anchor="nfl_chapter_20">
            <w:r>
              <w:rPr>
                <w:rFonts w:ascii="Helvetica Neue" w:hAnsi="Helvetica Neue"/>
                <w:sz w:val="22"/>
                <w:color w:val="000000"/>
              </w:rPr>
              <w:t>20 Verification and reproduction</w:t>
            </w:r>
            <w:r>
              <w:rPr>
                <w:rFonts w:ascii="Helvetica Neue" w:hAnsi="Helvetica Neue"/>
                <w:sz w:val="22"/>
                <w:color w:val="000000"/>
              </w:rPr>
              <w:tab/>
            </w:r>
            <w:r>
              <w:rPr>
                <w:rFonts w:ascii="Helvetica Neue" w:hAnsi="Helvetica Neue"/>
                <w:sz w:val="22"/>
                <w:color w:val="000000"/>
              </w:rPr>
              <w:t>21</w:t>
            </w:r>
          </w:hyperlink>
        </w:p>
        <w:p>
          <w:pPr>
            <w:widowControl w:val="0"/>
            <w:tabs>
              <w:tab w:val="right" w:leader="dot" w:pos="9360"/>
            </w:tabs>
            <w:spacing w:after="0" w:before="60" w:line="240" w:lineRule="auto"/>
            <w:rPr>
              <w:b w:val="1"/>
              <w:bCs w:val="1"/>
              <w:color w:val="000000"/>
              <w:u w:val="none"/>
            </w:rPr>
          </w:pPr>
          <w:hyperlink w:anchor="nfl_chapter_21">
            <w:r>
              <w:rPr>
                <w:rFonts w:ascii="Helvetica Neue" w:hAnsi="Helvetica Neue"/>
                <w:sz w:val="22"/>
                <w:color w:val="000000"/>
              </w:rPr>
              <w:t>21 Recommendations and next decisions</w:t>
            </w:r>
            <w:r>
              <w:rPr>
                <w:rFonts w:ascii="Helvetica Neue" w:hAnsi="Helvetica Neue"/>
                <w:sz w:val="22"/>
                <w:color w:val="000000"/>
              </w:rPr>
              <w:tab/>
            </w:r>
            <w:r>
              <w:rPr>
                <w:rFonts w:ascii="Helvetica Neue" w:hAnsi="Helvetica Neue"/>
                <w:sz w:val="22"/>
                <w:color w:val="000000"/>
              </w:rPr>
              <w:t>22</w:t>
            </w:r>
          </w:hyperlink>
        </w:p>
        <w:p>
          <w:pPr>
            <w:widowControl w:val="0"/>
            <w:tabs>
              <w:tab w:val="right" w:leader="dot" w:pos="9360"/>
            </w:tabs>
            <w:spacing w:after="0" w:before="60" w:line="240" w:lineRule="auto"/>
            <w:rPr>
              <w:b w:val="1"/>
              <w:bCs w:val="1"/>
              <w:color w:val="000000"/>
              <w:u w:val="none"/>
            </w:rPr>
          </w:pPr>
          <w:hyperlink w:anchor="nfl_chapter_22">
            <w:r>
              <w:rPr>
                <w:rFonts w:ascii="Helvetica Neue" w:hAnsi="Helvetica Neue"/>
                <w:sz w:val="22"/>
                <w:color w:val="000000"/>
              </w:rPr>
              <w:t>22 Appendix of files and evidence</w:t>
            </w:r>
            <w:r>
              <w:rPr>
                <w:rFonts w:ascii="Helvetica Neue" w:hAnsi="Helvetica Neue"/>
                <w:sz w:val="22"/>
                <w:color w:val="000000"/>
              </w:rPr>
              <w:tab/>
            </w:r>
            <w:r>
              <w:rPr>
                <w:rFonts w:ascii="Helvetica Neue" w:hAnsi="Helvetica Neue"/>
                <w:sz w:val="22"/>
                <w:color w:val="000000"/>
              </w:rPr>
              <w:t>23</w:t>
            </w:r>
          </w:hyperlink>
        </w:p>
        <w:p>
          <w:pPr>
            <w:widowControl w:val="0"/>
            <w:tabs>
              <w:tab w:val="right" w:leader="dot" w:pos="9360"/>
            </w:tabs>
            <w:spacing w:after="0" w:before="60" w:line="240" w:lineRule="auto"/>
            <w:rPr>
              <w:b w:val="1"/>
              <w:bCs w:val="1"/>
              <w:color w:val="000000"/>
              <w:u w:val="none"/>
            </w:rPr>
          </w:pPr>
          <w:hyperlink w:anchor="nfl_chapter_23">
            <w:r>
              <w:rPr>
                <w:rFonts w:ascii="Helvetica Neue" w:hAnsi="Helvetica Neue"/>
                <w:sz w:val="22"/>
                <w:color w:val="000000"/>
              </w:rPr>
              <w:t>23 Sources and glossary</w:t>
            </w:r>
            <w:r>
              <w:rPr>
                <w:rFonts w:ascii="Helvetica Neue" w:hAnsi="Helvetica Neue"/>
                <w:sz w:val="22"/>
                <w:color w:val="000000"/>
              </w:rPr>
              <w:tab/>
            </w:r>
            <w:r>
              <w:rPr>
                <w:rFonts w:ascii="Helvetica Neue" w:hAnsi="Helvetica Neue"/>
                <w:sz w:val="22"/>
                <w:color w:val="000000"/>
              </w:rPr>
              <w:t>24</w:t>
            </w:r>
          </w:hyperlink>
          <w:r>
            <w:fldChar w:fldCharType="end"/>
          </w:r>
        </w:p>
      </w:sdtContent>
    </w:sdt>
    <w:p>
      <w:pPr>
        <w:pStyle w:val="Heading1"/>
        <w:pageBreakBefore w:val="1"/>
        <w:rPr/>
      </w:pPr>
      <w:bookmarkStart w:id="101" w:name="nfl_chapter_1"/>
      <w:r>
        <w:rPr>
          <w:rtl w:val="0"/>
        </w:rPr>
        <w:t xml:space="preserve">1 Executive summary</w:t>
      </w:r>
      <w:bookmarkEnd w:id="101"/>
    </w:p>
    <w:p>
      <w:pPr>
        <w:rPr/>
      </w:pPr>
      <w:r>
        <w:rPr>
          <w:rtl w:val="0"/>
        </w:rPr>
        <w:t xml:space="preserve">Gridiron Lab now has two separate parts: an earlier website for comparing sportsbook quotes and recording paper trades, and a newer local NFL forecasting pipeline. The local pipeline trains and evaluates game outcome models, preserves source snapshots, saves forecasts before kickoff, and scores them after verified final results. </w:t>
      </w:r>
      <w:r>
        <w:rPr>
          <w:rtl w:val="0"/>
          <w:b w:val="1"/>
        </w:rPr>
        <w:t xml:space="preserve">The trained models are not connected to the hosted website.</w:t>
      </w:r>
    </w:p>
    <w:p>
      <w:pPr>
        <w:rPr/>
      </w:pPr>
      <w:r>
        <w:rPr>
          <w:rtl w:val="0"/>
        </w:rPr>
        <w:t xml:space="preserve">The primary team model achieved </w:t>
      </w:r>
      <w:r>
        <w:rPr>
          <w:rtl w:val="0"/>
          <w:b w:val="1"/>
        </w:rPr>
        <w:t xml:space="preserve">62.5% winner accuracy, or 340 of 544 games</w:t>
      </w:r>
      <w:r>
        <w:rPr>
          <w:rtl w:val="0"/>
        </w:rPr>
        <w:t xml:space="preserve">, on its original reserved 2024–2025 test. The player form model achieved 61.9%; the model with player form and available injury reports achieved 61.4% on those same games. Player form had slightly lower probability loss, but adding players has not improved overall winner accuracy. The later player comparison is exploratory because the test seasons had already been examined.</w:t>
      </w:r>
    </w:p>
    <w:p>
      <w:pPr>
        <w:pStyle w:val="Heading2"/>
        <w:rPr/>
      </w:pPr>
      <w:r>
        <w:rPr>
          <w:rtl w:val="0"/>
        </w:rPr>
        <w:t xml:space="preserve">Current status</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Three frozen models exist: team only with 11 inputs, player form with 31 inputs, and player availability with 55 inputs. All predict home win, away win and tie probabilities.</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Fourteen games on Sunday 27 September 2026 have forecasts from each model, for 42 saved records. All were issued at least 24 hours before kickoff. At the last saved scoring run, every game remained pending.</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local scheduled task is configured to collect hourly on actual NFL game dates and daily on other dates. The computer and Codex desktop app must remain running. The first unattended date transition and live result settlement have not yet been observed.</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Public forecasting feeds require no paid API subscription. The user’s $1,000 monthly ceiling covers software and betting combined; no automatic spending or stake allocation was implemented.</w:t>
      </w:r>
    </w:p>
    <w:p>
      <w:pPr>
        <w:pStyle w:val="Heading2"/>
        <w:rPr/>
      </w:pPr>
      <w:r>
        <w:rPr>
          <w:rtl w:val="0"/>
        </w:rPr>
        <w:t xml:space="preserve">What the evidence establishes</w:t>
      </w:r>
    </w:p>
    <w:p>
      <w:pPr>
        <w:rPr/>
      </w:pPr>
      <w:r>
        <w:rPr>
          <w:rtl w:val="0"/>
        </w:rPr>
        <w:t xml:space="preserve">We have a working local research system and measured historical improvement over a simple outcome-frequency baseline. We do not yet have evidence of a future betting advantage, reliable individual player with-and-without effects, or a profitable automated platform. This guide records the implementation and saved evidence as of 26 September 2026; it does not refresh as new games finish.</w:t>
      </w:r>
    </w:p>
    <w:p>
      <w:pPr>
        <w:pStyle w:val="Heading1"/>
        <w:pageBreakBefore w:val="1"/>
        <w:rPr/>
      </w:pPr>
      <w:bookmarkStart w:id="102" w:name="nfl_chapter_2"/>
      <w:r>
        <w:rPr>
          <w:rtl w:val="0"/>
        </w:rPr>
        <w:t xml:space="preserve">2 What we built</w:t>
      </w:r>
      <w:bookmarkEnd w:id="102"/>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00"/>
        <w:gridCol w:w="3770"/>
        <w:gridCol w:w="3650"/>
      </w:tblGrid>
      <w:tr>
        <w:trPr>
          <w:cantSplit w:val="0"/>
          <w:tblHeader w:val="1"/>
        </w:trPr>
        <w:tc>
          <w:tcPr>
            <w:shd w:fill="f2f2f2" w:val="clear"/>
            <w:tcMar>
              <w:top w:w="110.0" w:type="dxa"/>
              <w:bottom w:w="110.0" w:type="dxa"/>
              <w:left w:w="100" w:type="dxa"/>
              <w:right w:w="100" w:type="dxa"/>
            </w:tcMar>
            <w:vAlign w:val="center"/>
            <w:tcW w:w="1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Stage</w:t>
            </w:r>
          </w:p>
        </w:tc>
        <w:tc>
          <w:tcPr>
            <w:shd w:fill="f2f2f2"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Implemented work</w:t>
            </w:r>
          </w:p>
        </w:tc>
        <w:tc>
          <w:tcPr>
            <w:shd w:fill="f2f2f2"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Evidence or boundary</w:t>
            </w:r>
          </w:p>
        </w:tc>
      </w:tr>
      <w:tr>
        <w:trPr>
          <w:cantSplit w:val="0"/>
        </w:trPr>
        <w:tc>
          <w:tcPr>
            <w:shd w:fill="ffffff" w:val="clear"/>
            <w:tcMar>
              <w:top w:w="110.0" w:type="dxa"/>
              <w:bottom w:w="110.0" w:type="dxa"/>
              <w:left w:w="100" w:type="dxa"/>
              <w:right w:w="100" w:type="dxa"/>
            </w:tcMar>
            <w:vAlign w:val="center"/>
            <w:tcW w:w="1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Market research website</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NFL quote comparison, exact contract matching, owner-scoped snapshots, paper ledger and manual settlement.</w:t>
            </w:r>
          </w:p>
        </w:tc>
        <w:tc>
          <w:tcPr>
            <w:shd w:fill="ffffff"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Earlier pilot; consensus probabilities are market estimates.</w:t>
            </w:r>
          </w:p>
        </w:tc>
      </w:tr>
      <w:tr>
        <w:trPr>
          <w:cantSplit w:val="0"/>
        </w:trPr>
        <w:tc>
          <w:tcPr>
            <w:shd w:fill="ffffff" w:val="clear"/>
            <w:tcMar>
              <w:top w:w="110.0" w:type="dxa"/>
              <w:bottom w:w="110.0" w:type="dxa"/>
              <w:left w:w="100" w:type="dxa"/>
              <w:right w:w="100" w:type="dxa"/>
            </w:tcMar>
            <w:vAlign w:val="center"/>
            <w:tcW w:w="1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Evaluation foundation</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Three-outcome probability validation, log loss, Brier score, accuracy, coverage and result timing.</w:t>
            </w:r>
          </w:p>
        </w:tc>
        <w:tc>
          <w:tcPr>
            <w:shd w:fill="ffffff"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Node evaluator and synthetic interface example.</w:t>
            </w:r>
          </w:p>
        </w:tc>
      </w:tr>
      <w:tr>
        <w:trPr>
          <w:cantSplit w:val="0"/>
        </w:trPr>
        <w:tc>
          <w:tcPr>
            <w:shd w:fill="ffffff" w:val="clear"/>
            <w:tcMar>
              <w:top w:w="110.0" w:type="dxa"/>
              <w:bottom w:w="110.0" w:type="dxa"/>
              <w:left w:w="100" w:type="dxa"/>
              <w:right w:w="100" w:type="dxa"/>
            </w:tcMar>
            <w:vAlign w:val="center"/>
            <w:tcW w:w="1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Historical dataset</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Checked nflverse download; chronological features and labels; train, validation and test splits.</w:t>
            </w:r>
          </w:p>
        </w:tc>
        <w:tc>
          <w:tcPr>
            <w:shd w:fill="ffffff"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2014 warm-up and 2015–2025 regular season targets.</w:t>
            </w:r>
          </w:p>
        </w:tc>
      </w:tr>
      <w:tr>
        <w:trPr>
          <w:cantSplit w:val="0"/>
        </w:trPr>
        <w:tc>
          <w:tcPr>
            <w:shd w:fill="ffffff" w:val="clear"/>
            <w:tcMar>
              <w:top w:w="110.0" w:type="dxa"/>
              <w:bottom w:w="110.0" w:type="dxa"/>
              <w:left w:w="100" w:type="dxa"/>
              <w:right w:w="100" w:type="dxa"/>
            </w:tcMar>
            <w:vAlign w:val="center"/>
            <w:tcW w:w="1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Source history</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Append-only observations and deduplicated payloads; replay only data received by a cutoff.</w:t>
            </w:r>
          </w:p>
        </w:tc>
        <w:tc>
          <w:tcPr>
            <w:shd w:fill="ffffff"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Archive begins 26 September 2026.</w:t>
            </w:r>
          </w:p>
        </w:tc>
      </w:tr>
      <w:tr>
        <w:trPr>
          <w:cantSplit w:val="0"/>
        </w:trPr>
        <w:tc>
          <w:tcPr>
            <w:shd w:fill="ffffff" w:val="clear"/>
            <w:tcMar>
              <w:top w:w="110.0" w:type="dxa"/>
              <w:bottom w:w="110.0" w:type="dxa"/>
              <w:left w:w="100" w:type="dxa"/>
              <w:right w:w="100" w:type="dxa"/>
            </w:tcMar>
            <w:vAlign w:val="center"/>
            <w:tcW w:w="1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Team model</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Standardized multinomial logistic regression; regularization selected on 2023.</w:t>
            </w:r>
          </w:p>
        </w:tc>
        <w:tc>
          <w:tcPr>
            <w:shd w:fill="ffffff"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Frozen original test on 544 later games.</w:t>
            </w:r>
          </w:p>
        </w:tc>
      </w:tr>
      <w:tr>
        <w:trPr>
          <w:cantSplit w:val="0"/>
        </w:trPr>
        <w:tc>
          <w:tcPr>
            <w:shd w:fill="ffffff" w:val="clear"/>
            <w:tcMar>
              <w:top w:w="110.0" w:type="dxa"/>
              <w:bottom w:w="110.0" w:type="dxa"/>
              <w:left w:w="100" w:type="dxa"/>
              <w:right w:w="100" w:type="dxa"/>
            </w:tcMar>
            <w:vAlign w:val="center"/>
            <w:tcW w:w="1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Player comparison</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Past player form and time-eligible injury features; same-game comparison.</w:t>
            </w:r>
          </w:p>
        </w:tc>
        <w:tc>
          <w:tcPr>
            <w:shd w:fill="ffffff"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Two shadow models; no promotion.</w:t>
            </w:r>
          </w:p>
        </w:tc>
      </w:tr>
      <w:tr>
        <w:trPr>
          <w:cantSplit w:val="0"/>
        </w:trPr>
        <w:tc>
          <w:tcPr>
            <w:shd w:fill="ffffff" w:val="clear"/>
            <w:tcMar>
              <w:top w:w="110.0" w:type="dxa"/>
              <w:bottom w:w="110.0" w:type="dxa"/>
              <w:left w:w="100" w:type="dxa"/>
              <w:right w:w="100" w:type="dxa"/>
            </w:tcMar>
            <w:vAlign w:val="center"/>
            <w:tcW w:w="1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Live workflow</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Pregame receipts, ESPN finality checks, pending results and paired scoring.</w:t>
            </w:r>
          </w:p>
        </w:tc>
        <w:tc>
          <w:tcPr>
            <w:shd w:fill="ffffff"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14 forecasts per model for 27 September.</w:t>
            </w:r>
          </w:p>
        </w:tc>
      </w:tr>
      <w:tr>
        <w:trPr>
          <w:cantSplit w:val="0"/>
        </w:trPr>
        <w:tc>
          <w:tcPr>
            <w:shd w:fill="ffffff" w:val="clear"/>
            <w:tcMar>
              <w:top w:w="110.0" w:type="dxa"/>
              <w:bottom w:w="110.0" w:type="dxa"/>
              <w:left w:w="100" w:type="dxa"/>
              <w:right w:w="100" w:type="dxa"/>
            </w:tcMar>
            <w:vAlign w:val="center"/>
            <w:tcW w:w="1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Recurring operation</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Full collection, forecast and settlement cycle added to the existing local task.</w:t>
            </w:r>
          </w:p>
        </w:tc>
        <w:tc>
          <w:tcPr>
            <w:shd w:fill="ffffff"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Manual network cycle passed; future unattended runs remain unproven.</w:t>
            </w:r>
          </w:p>
        </w:tc>
      </w:tr>
    </w:tbl>
    <w:p>
      <w:pPr>
        <w:pStyle w:val="Heading2"/>
        <w:rPr/>
      </w:pPr>
      <w:r>
        <w:rPr>
          <w:rtl w:val="0"/>
        </w:rPr>
        <w:t xml:space="preserve">Two systems with different responsibilities</w:t>
      </w:r>
    </w:p>
    <w:p>
      <w:pPr>
        <w:rPr/>
      </w:pPr>
      <w:r>
        <w:rPr>
          <w:rtl w:val="0"/>
        </w:rPr>
        <w:t xml:space="preserve">The website answers “what prices were quoted and what paper trades did I record?” The local models answer “what probabilities did a fixed model issue using information available by its cutoff?” Their databases, result workflows and metrics are separate. Neither system submits a real wager.</w:t>
      </w:r>
    </w:p>
    <w:p>
      <w:pPr>
        <w:rPr/>
      </w:pPr>
      <w:r>
        <w:rPr>
          <w:rtl w:val="0"/>
        </w:rPr>
        <w:t xml:space="preserve">The local forecasting directory remains untracked in Git at this checkpoint. It has not been committed, pushed, deployed, or wired into the hosted dashboard. Earlier website notes saying “no trained model” describe that website; the newer local model reports describe the separate forecasting work.</w:t>
      </w:r>
    </w:p>
    <w:p>
      <w:pPr>
        <w:pStyle w:val="Heading1"/>
        <w:pageBreakBefore w:val="1"/>
        <w:rPr/>
      </w:pPr>
      <w:bookmarkStart w:id="103" w:name="nfl_chapter_3"/>
      <w:r>
        <w:rPr>
          <w:rtl w:val="0"/>
        </w:rPr>
        <w:t xml:space="preserve">3 How the website numbers work</w:t>
      </w:r>
      <w:bookmarkEnd w:id="103"/>
    </w:p>
    <w:p>
      <w:pPr>
        <w:rPr/>
      </w:pPr>
      <w:r>
        <w:rPr>
          <w:rtl w:val="0"/>
        </w:rPr>
        <w:t xml:space="preserve">The website’s The Odds API adapter has six configured books: DraftKings, FanDuel, BetMGM, Caesars, Fanatics and BetRivers. Current licensing and account access were not reverified. It supports moneylines, spreads, totals, passing yards, rushing yards, receiving yards and receptions. Provider coverage and quota use still require a successful live refresh.</w:t>
      </w:r>
    </w:p>
    <w:p>
      <w:pPr>
        <w:pStyle w:val="Heading2"/>
        <w:rPr/>
      </w:pPr>
      <w:r>
        <w:rPr>
          <w:rtl w:val="0"/>
        </w:rPr>
        <w:t xml:space="preserve">Calculation sequence</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Match the event, market, player, side and exact point threshold. A different yardage line is a different contract. Require the matching opposing quote to estimate a paired probability.</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Convert decimal odds d into raw implied probability 1/d. Remove the two-sided margin proportionally: p = (1/d₁) ÷ [(1/d₁) + (1/d₂)]. This is a pricing convention, not a trained model.</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Choose the best fresh price. Exclude that book from the reference set and require at least three other fresh books. The displayed consensus is the median of their paired probabilities.</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Compute estimated return as p × best decimal price − 1. Flag a research candidate only when the provisional estimate is at least 2%, reference probability range is at most 8 percentage points, and the remaining checks pass.</w:t>
      </w:r>
    </w:p>
    <w:p>
      <w:pPr>
        <w:pStyle w:val="Heading2"/>
        <w:rPr/>
      </w:pPr>
      <w:r>
        <w:rPr>
          <w:rtl w:val="0"/>
        </w:rPr>
        <w:t xml:space="preserve">What the screen means</w:t>
      </w:r>
    </w:p>
    <w:p>
      <w:pPr>
        <w:rPr/>
      </w:pPr>
      <w:r>
        <w:rPr>
          <w:rtl w:val="0"/>
        </w:rPr>
        <w:t xml:space="preserve">“Best fresh price” is the best quote in the available snapshot, not a guarantee of an executable Maryland price. “Consensus” is the other books’ market estimate. “Estimated return” is a calculation using that estimate, not a measured expected profit. Prices older than 120 seconds are excluded; started events are closed. A one-minute refresh cooldown conserves requests.</w:t>
      </w:r>
    </w:p>
    <w:p>
      <w:pPr>
        <w:rPr/>
      </w:pPr>
      <w:r>
        <w:rPr>
          <w:rtl w:val="0"/>
        </w:rPr>
        <w:t xml:space="preserve">Moneylines and integer point lines remain outside the candidate shortlist because push or tie treatment is incomplete. The local model’s tie probability has not been integrated into this logic. Website injury, statistics and news links are research links rather than automatically ingested model evidence.</w:t>
      </w:r>
    </w:p>
    <w:p>
      <w:pPr>
        <w:rPr/>
      </w:pPr>
      <w:r>
        <w:rPr>
          <w:rtl w:val="0"/>
        </w:rPr>
        <w:t xml:space="preserve">Demo data are synthetic and separate from live records. The paper ledger retains quotes and user-entered settlement sources without independent finality checks. Gross P/L excludes data costs, infrastructure, taxes and execution differences. Only the most recent 1,000 records are shown and exported. Website estimates are not trained forecasts.</w:t>
      </w:r>
    </w:p>
    <w:p>
      <w:pPr>
        <w:pStyle w:val="Heading1"/>
        <w:pageBreakBefore w:val="1"/>
        <w:rPr/>
      </w:pPr>
      <w:bookmarkStart w:id="104" w:name="nfl_chapter_4"/>
      <w:r>
        <w:rPr>
          <w:rtl w:val="0"/>
        </w:rPr>
        <w:t xml:space="preserve">4 Sources and system architecture</w:t>
      </w:r>
      <w:bookmarkEnd w:id="104"/>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90"/>
        <w:gridCol w:w="3530"/>
        <w:gridCol w:w="3500"/>
      </w:tblGrid>
      <w:tr>
        <w:trPr>
          <w:cantSplit w:val="0"/>
          <w:tblHeader w:val="1"/>
        </w:trPr>
        <w:tc>
          <w:tcPr>
            <w:shd w:fill="f2f2f2" w:val="clear"/>
            <w:tcMar>
              <w:top w:w="110.0" w:type="dxa"/>
              <w:bottom w:w="110.0" w:type="dxa"/>
              <w:left w:w="100" w:type="dxa"/>
              <w:right w:w="100" w:type="dxa"/>
            </w:tcMar>
            <w:vAlign w:val="center"/>
            <w:tcW w:w="2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Source</w:t>
            </w:r>
          </w:p>
        </w:tc>
        <w:tc>
          <w:tcPr>
            <w:shd w:fill="f2f2f2" w:val="clear"/>
            <w:tcMar>
              <w:top w:w="110.0" w:type="dxa"/>
              <w:bottom w:w="110.0" w:type="dxa"/>
              <w:left w:w="100" w:type="dxa"/>
              <w:right w:w="100" w:type="dxa"/>
            </w:tcMar>
            <w:vAlign w:val="center"/>
            <w:tcW w:w="35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Used for</w:t>
            </w:r>
          </w:p>
        </w:tc>
        <w:tc>
          <w:tcPr>
            <w:shd w:fill="f2f2f2" w:val="clear"/>
            <w:tcMar>
              <w:top w:w="110.0" w:type="dxa"/>
              <w:bottom w:w="110.0" w:type="dxa"/>
              <w:left w:w="100" w:type="dxa"/>
              <w:right w:w="100" w:type="dxa"/>
            </w:tcMar>
            <w:vAlign w:val="center"/>
            <w:tcW w:w="35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Main limitation</w:t>
            </w:r>
          </w:p>
        </w:tc>
      </w:tr>
      <w:tr>
        <w:trPr>
          <w:cantSplit w:val="0"/>
        </w:trPr>
        <w:tc>
          <w:tcPr>
            <w:shd w:fill="ffffff" w:val="clear"/>
            <w:tcMar>
              <w:top w:w="110.0" w:type="dxa"/>
              <w:bottom w:w="110.0" w:type="dxa"/>
              <w:left w:w="100" w:type="dxa"/>
              <w:right w:w="100" w:type="dxa"/>
            </w:tcMar>
            <w:vAlign w:val="center"/>
            <w:tcW w:w="2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nflverse games CSV [S1]</w:t>
            </w:r>
          </w:p>
        </w:tc>
        <w:tc>
          <w:tcPr>
            <w:shd w:fill="ffffff" w:val="clear"/>
            <w:tcMar>
              <w:top w:w="110.0" w:type="dxa"/>
              <w:bottom w:w="110.0" w:type="dxa"/>
              <w:left w:w="100" w:type="dxa"/>
              <w:right w:w="100" w:type="dxa"/>
            </w:tcMar>
            <w:vAlign w:val="center"/>
            <w:tcW w:w="35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Schedules, kickoff times, teams, venue, final scores; historical and current team features.</w:t>
            </w:r>
          </w:p>
        </w:tc>
        <w:tc>
          <w:tcPr>
            <w:shd w:fill="ffffff" w:val="clear"/>
            <w:tcMar>
              <w:top w:w="110.0" w:type="dxa"/>
              <w:bottom w:w="110.0" w:type="dxa"/>
              <w:left w:w="100" w:type="dxa"/>
              <w:right w:w="100" w:type="dxa"/>
            </w:tcMar>
            <w:vAlign w:val="center"/>
            <w:tcW w:w="35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Corrected historical snapshot lacks record publication timestamps.</w:t>
            </w:r>
          </w:p>
        </w:tc>
      </w:tr>
      <w:tr>
        <w:trPr>
          <w:cantSplit w:val="0"/>
        </w:trPr>
        <w:tc>
          <w:tcPr>
            <w:shd w:fill="ffffff" w:val="clear"/>
            <w:tcMar>
              <w:top w:w="110.0" w:type="dxa"/>
              <w:bottom w:w="110.0" w:type="dxa"/>
              <w:left w:w="100" w:type="dxa"/>
              <w:right w:w="100" w:type="dxa"/>
            </w:tcMar>
            <w:vAlign w:val="center"/>
            <w:tcW w:w="2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nflverse weekly player statistics [S2]</w:t>
            </w:r>
          </w:p>
        </w:tc>
        <w:tc>
          <w:tcPr>
            <w:shd w:fill="ffffff" w:val="clear"/>
            <w:tcMar>
              <w:top w:w="110.0" w:type="dxa"/>
              <w:bottom w:w="110.0" w:type="dxa"/>
              <w:left w:w="100" w:type="dxa"/>
              <w:right w:w="100" w:type="dxa"/>
            </w:tcMar>
            <w:vAlign w:val="center"/>
            <w:tcW w:w="35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Past passing, receiving and rushing usage and expected points added. Releases archived for 2014–2026.</w:t>
            </w:r>
          </w:p>
        </w:tc>
        <w:tc>
          <w:tcPr>
            <w:shd w:fill="ffffff" w:val="clear"/>
            <w:tcMar>
              <w:top w:w="110.0" w:type="dxa"/>
              <w:bottom w:w="110.0" w:type="dxa"/>
              <w:left w:w="100" w:type="dxa"/>
              <w:right w:w="100" w:type="dxa"/>
            </w:tcMar>
            <w:vAlign w:val="center"/>
            <w:tcW w:w="35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Historical availability assumed; no confirmed future starter or full player valuation.</w:t>
            </w:r>
          </w:p>
        </w:tc>
      </w:tr>
      <w:tr>
        <w:trPr>
          <w:cantSplit w:val="0"/>
        </w:trPr>
        <w:tc>
          <w:tcPr>
            <w:shd w:fill="ffffff" w:val="clear"/>
            <w:tcMar>
              <w:top w:w="110.0" w:type="dxa"/>
              <w:bottom w:w="110.0" w:type="dxa"/>
              <w:left w:w="100" w:type="dxa"/>
              <w:right w:w="100" w:type="dxa"/>
            </w:tcMar>
            <w:vAlign w:val="center"/>
            <w:tcW w:w="2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nflverse injury files [S3]</w:t>
            </w:r>
          </w:p>
        </w:tc>
        <w:tc>
          <w:tcPr>
            <w:shd w:fill="ffffff" w:val="clear"/>
            <w:tcMar>
              <w:top w:w="110.0" w:type="dxa"/>
              <w:bottom w:w="110.0" w:type="dxa"/>
              <w:left w:w="100" w:type="dxa"/>
              <w:right w:w="100" w:type="dxa"/>
            </w:tcMar>
            <w:vAlign w:val="center"/>
            <w:tcW w:w="35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Out, Doubtful and Questionable status features and grouped absences.</w:t>
            </w:r>
          </w:p>
        </w:tc>
        <w:tc>
          <w:tcPr>
            <w:shd w:fill="ffffff" w:val="clear"/>
            <w:tcMar>
              <w:top w:w="110.0" w:type="dxa"/>
              <w:bottom w:w="110.0" w:type="dxa"/>
              <w:left w:w="100" w:type="dxa"/>
              <w:right w:w="100" w:type="dxa"/>
            </w:tcMar>
            <w:vAlign w:val="center"/>
            <w:tcW w:w="35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2025 file has no date_modified; historical injury evidence unavailable that year.</w:t>
            </w:r>
          </w:p>
        </w:tc>
      </w:tr>
      <w:tr>
        <w:trPr>
          <w:cantSplit w:val="0"/>
        </w:trPr>
        <w:tc>
          <w:tcPr>
            <w:shd w:fill="ffffff" w:val="clear"/>
            <w:tcMar>
              <w:top w:w="110.0" w:type="dxa"/>
              <w:bottom w:w="110.0" w:type="dxa"/>
              <w:left w:w="100" w:type="dxa"/>
              <w:right w:w="100" w:type="dxa"/>
            </w:tcMar>
            <w:vAlign w:val="center"/>
            <w:tcW w:w="2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ESPN daily scoreboard [S4]</w:t>
            </w:r>
          </w:p>
        </w:tc>
        <w:tc>
          <w:tcPr>
            <w:shd w:fill="ffffff" w:val="clear"/>
            <w:tcMar>
              <w:top w:w="110.0" w:type="dxa"/>
              <w:bottom w:w="110.0" w:type="dxa"/>
              <w:left w:w="100" w:type="dxa"/>
              <w:right w:w="100" w:type="dxa"/>
            </w:tcMar>
            <w:vAlign w:val="center"/>
            <w:tcW w:w="35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Second-source matchup, kickoff and neutral-site checks; explicit final status and matching scores.</w:t>
            </w:r>
          </w:p>
        </w:tc>
        <w:tc>
          <w:tcPr>
            <w:shd w:fill="ffffff" w:val="clear"/>
            <w:tcMar>
              <w:top w:w="110.0" w:type="dxa"/>
              <w:bottom w:w="110.0" w:type="dxa"/>
              <w:left w:w="100" w:type="dxa"/>
              <w:right w:w="100" w:type="dxa"/>
            </w:tcMar>
            <w:vAlign w:val="center"/>
            <w:tcW w:w="35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Public endpoint can change; agreement is not proof of independent upstream sourcing.</w:t>
            </w:r>
          </w:p>
        </w:tc>
      </w:tr>
      <w:tr>
        <w:trPr>
          <w:cantSplit w:val="0"/>
        </w:trPr>
        <w:tc>
          <w:tcPr>
            <w:shd w:fill="ffffff" w:val="clear"/>
            <w:tcMar>
              <w:top w:w="110.0" w:type="dxa"/>
              <w:bottom w:w="110.0" w:type="dxa"/>
              <w:left w:w="100" w:type="dxa"/>
              <w:right w:w="100" w:type="dxa"/>
            </w:tcMar>
            <w:vAlign w:val="center"/>
            <w:tcW w:w="2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The Odds API adapter [S7]</w:t>
            </w:r>
          </w:p>
        </w:tc>
        <w:tc>
          <w:tcPr>
            <w:shd w:fill="ffffff" w:val="clear"/>
            <w:tcMar>
              <w:top w:w="110.0" w:type="dxa"/>
              <w:bottom w:w="110.0" w:type="dxa"/>
              <w:left w:w="100" w:type="dxa"/>
              <w:right w:w="100" w:type="dxa"/>
            </w:tcMar>
            <w:vAlign w:val="center"/>
            <w:tcW w:w="35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Website quote board and paper-trade snapshots.</w:t>
            </w:r>
          </w:p>
        </w:tc>
        <w:tc>
          <w:tcPr>
            <w:shd w:fill="ffffff" w:val="clear"/>
            <w:tcMar>
              <w:top w:w="110.0" w:type="dxa"/>
              <w:bottom w:w="110.0" w:type="dxa"/>
              <w:left w:w="100" w:type="dxa"/>
              <w:right w:w="100" w:type="dxa"/>
            </w:tcMar>
            <w:vAlign w:val="center"/>
            <w:tcW w:w="35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Separate from model training and inference; provider access and actual market coverage need validation.</w:t>
            </w:r>
          </w:p>
        </w:tc>
      </w:tr>
    </w:tbl>
    <w:p>
      <w:pPr>
        <w:pStyle w:val="Heading2"/>
        <w:rPr/>
      </w:pPr>
      <w:r>
        <w:rPr>
          <w:rtl w:val="0"/>
        </w:rPr>
        <w:t xml:space="preserve">Forecasting data flow</w:t>
      </w:r>
    </w:p>
    <w:p>
      <w:pPr>
        <w:rPr/>
      </w:pPr>
      <w:r>
        <w:rPr>
          <w:rtl w:val="0"/>
        </w:rPr>
        <w:t xml:space="preserve">Public HTTPS responses → validated raw payloads → timestamped observation archive → as-of source selection → team and optional player features → frozen model coefficients → immutable forecast receipts → verified final results → prospective same-game comparison reports.</w:t>
      </w:r>
    </w:p>
    <w:p>
      <w:pPr>
        <w:rPr/>
      </w:pPr>
      <w:r>
        <w:rPr>
          <w:rtl w:val="0"/>
        </w:rPr>
        <w:t xml:space="preserve">The statistical calculation happens locally. Codex helped build, test and schedule the software; a language model is not asked to invent the game probabilities during inference. The website follows its own path: provider quotes → market comparison → D1 paper ledger → manual settlement.</w:t>
      </w:r>
    </w:p>
    <w:p>
      <w:pPr>
        <w:pStyle w:val="Heading2"/>
        <w:rPr/>
      </w:pPr>
      <w:r>
        <w:rPr>
          <w:rtl w:val="0"/>
        </w:rPr>
        <w:t xml:space="preserve">Information actually used</w:t>
      </w:r>
    </w:p>
    <w:p>
      <w:pPr>
        <w:rPr/>
      </w:pPr>
      <w:r>
        <w:rPr>
          <w:rtl w:val="0"/>
        </w:rPr>
        <w:t xml:space="preserve">The initial game download contains 7,548 rows across 1999–2026 and is 2,180,912 bytes. The training builder uses only the selected regular seasons. Source columns for sportsbook prices, current-game quarterback identity and observed game weather are excluded from team model inputs. Player files may contain many more columns than the models use. Snap counts were inspected during research but are not model inputs; rosters, depth charts, participation feeds, news and weather are not integrated.</w:t>
      </w:r>
    </w:p>
    <w:p>
      <w:pPr>
        <w:pStyle w:val="Heading1"/>
        <w:pageBreakBefore w:val="1"/>
        <w:rPr/>
      </w:pPr>
      <w:bookmarkStart w:id="105" w:name="nfl_chapter_5"/>
      <w:r>
        <w:rPr>
          <w:rtl w:val="0"/>
        </w:rPr>
        <w:t xml:space="preserve">5 Time and provenance</w:t>
      </w:r>
      <w:bookmarkEnd w:id="105"/>
    </w:p>
    <w:p>
      <w:pPr>
        <w:rPr/>
      </w:pPr>
      <w:r>
        <w:rPr>
          <w:rtl w:val="0"/>
        </w:rPr>
        <w:t xml:space="preserve">A prediction can look strong if it accidentally uses information that became available after the intended prediction time. The project therefore distinguishes </w:t>
      </w:r>
      <w:r>
        <w:rPr>
          <w:rtl w:val="0"/>
          <w:b w:val="1"/>
        </w:rPr>
        <w:t xml:space="preserve">when a game happened</w:t>
      </w:r>
      <w:r>
        <w:rPr>
          <w:rtl w:val="0"/>
        </w:rPr>
        <w:t xml:space="preserve">, </w:t>
      </w:r>
      <w:r>
        <w:rPr>
          <w:rtl w:val="0"/>
          <w:b w:val="1"/>
        </w:rPr>
        <w:t xml:space="preserve">the information cutoff</w:t>
      </w:r>
      <w:r>
        <w:rPr>
          <w:rtl w:val="0"/>
        </w:rPr>
        <w:t xml:space="preserve">, </w:t>
      </w:r>
      <w:r>
        <w:rPr>
          <w:rtl w:val="0"/>
          <w:b w:val="1"/>
        </w:rPr>
        <w:t xml:space="preserve">when a response was received</w:t>
      </w:r>
      <w:r>
        <w:rPr>
          <w:rtl w:val="0"/>
        </w:rPr>
        <w:t xml:space="preserve">, and </w:t>
      </w:r>
      <w:r>
        <w:rPr>
          <w:rtl w:val="0"/>
          <w:b w:val="1"/>
        </w:rPr>
        <w:t xml:space="preserve">when a forecast was actually generated</w:t>
      </w:r>
      <w:r>
        <w:rPr>
          <w:rtl w:val="0"/>
        </w:rPr>
        <w:t xml:space="preserve">.</w:t>
      </w:r>
    </w:p>
    <w:p>
      <w:pPr>
        <w:pStyle w:val="Heading2"/>
        <w:rPr/>
      </w:pPr>
      <w:r>
        <w:rPr>
          <w:rtl w:val="0"/>
        </w:rPr>
        <w:t xml:space="preserve">Historical reconstruction</w:t>
      </w:r>
    </w:p>
    <w:p>
      <w:pPr>
        <w:rPr/>
      </w:pPr>
      <w:r>
        <w:rPr>
          <w:rtl w:val="0"/>
        </w:rPr>
        <w:t xml:space="preserve">Historical features simulate a cutoff 24 hours before kickoff. A prior result is eligible only if prior kickoff + 48 hours is at or before that cutoff, and the result belongs to an earlier NFL week or season. The extra same-week exclusion prevents early-week results from informing later games in that week. The 48-hour rule is an explicit assumption, not a discovered publication timestamp.</w:t>
      </w:r>
    </w:p>
    <w:p>
      <w:pPr>
        <w:rPr/>
      </w:pPr>
      <w:r>
        <w:rPr>
          <w:rtl w:val="0"/>
        </w:rPr>
        <w:t xml:space="preserve">For example, with a Saturday 1 PM cutoff for a Sunday 1 PM game, a Thursday 8 PM result would fail the 48-hour boundary. Same-week results are excluded in any case. Historical records retain their actual generation date today and a separate simulated cutoff; they are not presented as forecasts saved years ago.</w:t>
      </w:r>
    </w:p>
    <w:p>
      <w:pPr>
        <w:pStyle w:val="Heading2"/>
        <w:rPr/>
      </w:pPr>
      <w:r>
        <w:rPr>
          <w:rtl w:val="0"/>
        </w:rPr>
        <w:t xml:space="preserve">Prospective observation archive</w:t>
      </w:r>
    </w:p>
    <w:p>
      <w:pPr>
        <w:rPr/>
      </w:pPr>
      <w:r>
        <w:rPr>
          <w:rtl w:val="0"/>
        </w:rPr>
        <w:t xml:space="preserve">Each download stores request start, full-response receipt time, storage time, URL, byte count and SHA-256. HTTP Date, ETag and Last-Modified are retained when present, but do not establish when an individual record first appeared. Unknown provider publication time remains null. Identical responses share one payload blob while each receipt remains separately recorded.</w:t>
      </w:r>
    </w:p>
    <w:p>
      <w:pPr>
        <w:rPr/>
      </w:pPr>
      <w:r>
        <w:rPr>
          <w:rtl w:val="0"/>
        </w:rPr>
        <w:t xml:space="preserve">Replay selects the latest valid observation received at or before the cutoff. Missing, stale, future or corrupt inputs produce a failure rather than substitution with newer data. Live prior scores also need ESPN final status and agreement with nflverse; the conservative 48-hour and earlier-week rules remain.</w:t>
      </w:r>
    </w:p>
    <w:p>
      <w:pPr>
        <w:pStyle w:val="Heading2"/>
        <w:rPr/>
      </w:pPr>
      <w:r>
        <w:rPr>
          <w:rtl w:val="0"/>
        </w:rPr>
        <w:t xml:space="preserve">How more data helps</w:t>
      </w:r>
    </w:p>
    <w:p>
      <w:pPr>
        <w:rPr/>
      </w:pPr>
      <w:r>
        <w:rPr>
          <w:rtl w:val="0"/>
        </w:rPr>
        <w:t xml:space="preserve">A second source can detect score or schedule disagreements and provide an explicit final-status field. Archived pregame injury reports can support future availability analysis. Extra sources alone cannot reconstruct missing historical publication times. To remove that gap, we need trustworthy archived versions or provider publication logs, plus continued prospective collection. Local hashes detect changes but are not tamper-proof against an administrator changing both files and metadata; timestamps depend on the computer clock.</w:t>
      </w:r>
    </w:p>
    <w:p>
      <w:pPr>
        <w:pStyle w:val="Heading1"/>
        <w:pageBreakBefore w:val="1"/>
        <w:rPr/>
      </w:pPr>
      <w:bookmarkStart w:id="106" w:name="nfl_chapter_6"/>
      <w:r>
        <w:rPr>
          <w:rtl w:val="0"/>
        </w:rPr>
        <w:t xml:space="preserve">6 Training data and splits</w:t>
      </w:r>
      <w:bookmarkEnd w:id="106"/>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40"/>
        <w:gridCol w:w="950"/>
        <w:gridCol w:w="6130"/>
      </w:tblGrid>
      <w:tr>
        <w:trPr>
          <w:cantSplit w:val="0"/>
          <w:tblHeader w:val="1"/>
        </w:trPr>
        <w:tc>
          <w:tcPr>
            <w:shd w:fill="f2f2f2" w:val="clear"/>
            <w:tcMar>
              <w:top w:w="110.0" w:type="dxa"/>
              <w:bottom w:w="110.0" w:type="dxa"/>
              <w:left w:w="100" w:type="dxa"/>
              <w:right w:w="100" w:type="dxa"/>
            </w:tcMar>
            <w:vAlign w:val="center"/>
            <w:tcW w:w="20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Period</w:t>
            </w:r>
          </w:p>
        </w:tc>
        <w:tc>
          <w:tcPr>
            <w:shd w:fill="f2f2f2" w:val="clear"/>
            <w:tcMar>
              <w:top w:w="110.0" w:type="dxa"/>
              <w:bottom w:w="110.0" w:type="dxa"/>
              <w:left w:w="100" w:type="dxa"/>
              <w:right w:w="100" w:type="dxa"/>
            </w:tcMar>
            <w:vAlign w:val="center"/>
            <w:tcW w:w="9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Games</w:t>
            </w:r>
          </w:p>
        </w:tc>
        <w:tc>
          <w:tcPr>
            <w:shd w:fill="f2f2f2" w:val="clear"/>
            <w:tcMar>
              <w:top w:w="110.0" w:type="dxa"/>
              <w:bottom w:w="110.0" w:type="dxa"/>
              <w:left w:w="100" w:type="dxa"/>
              <w:right w:w="100" w:type="dxa"/>
            </w:tcMar>
            <w:vAlign w:val="center"/>
            <w:tcW w:w="61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Role</w:t>
            </w:r>
          </w:p>
        </w:tc>
      </w:tr>
      <w:tr>
        <w:trPr>
          <w:cantSplit w:val="0"/>
        </w:trPr>
        <w:tc>
          <w:tcPr>
            <w:shd w:fill="ffffff" w:val="clear"/>
            <w:tcMar>
              <w:top w:w="110.0" w:type="dxa"/>
              <w:bottom w:w="110.0" w:type="dxa"/>
              <w:left w:w="100" w:type="dxa"/>
              <w:right w:w="100" w:type="dxa"/>
            </w:tcMar>
            <w:vAlign w:val="center"/>
            <w:tcW w:w="20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2014</w:t>
            </w:r>
          </w:p>
        </w:tc>
        <w:tc>
          <w:tcPr>
            <w:shd w:fill="ffffff" w:val="clear"/>
            <w:tcMar>
              <w:top w:w="110.0" w:type="dxa"/>
              <w:bottom w:w="110.0" w:type="dxa"/>
              <w:left w:w="100" w:type="dxa"/>
              <w:right w:w="100" w:type="dxa"/>
            </w:tcMar>
            <w:vAlign w:val="center"/>
            <w:tcW w:w="9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256</w:t>
            </w:r>
          </w:p>
        </w:tc>
        <w:tc>
          <w:tcPr>
            <w:shd w:fill="ffffff" w:val="clear"/>
            <w:tcMar>
              <w:top w:w="110.0" w:type="dxa"/>
              <w:bottom w:w="110.0" w:type="dxa"/>
              <w:left w:w="100" w:type="dxa"/>
              <w:right w:w="100" w:type="dxa"/>
            </w:tcMar>
            <w:vAlign w:val="center"/>
            <w:tcW w:w="61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Warm-up history only; no fitted targets.</w:t>
            </w:r>
          </w:p>
        </w:tc>
      </w:tr>
      <w:tr>
        <w:trPr>
          <w:cantSplit w:val="0"/>
        </w:trPr>
        <w:tc>
          <w:tcPr>
            <w:shd w:fill="ffffff" w:val="clear"/>
            <w:tcMar>
              <w:top w:w="110.0" w:type="dxa"/>
              <w:bottom w:w="110.0" w:type="dxa"/>
              <w:left w:w="100" w:type="dxa"/>
              <w:right w:w="100" w:type="dxa"/>
            </w:tcMar>
            <w:vAlign w:val="center"/>
            <w:tcW w:w="20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2015–2022</w:t>
            </w:r>
          </w:p>
        </w:tc>
        <w:tc>
          <w:tcPr>
            <w:shd w:fill="ffffff" w:val="clear"/>
            <w:tcMar>
              <w:top w:w="110.0" w:type="dxa"/>
              <w:bottom w:w="110.0" w:type="dxa"/>
              <w:left w:w="100" w:type="dxa"/>
              <w:right w:w="100" w:type="dxa"/>
            </w:tcMar>
            <w:vAlign w:val="center"/>
            <w:tcW w:w="9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2,079</w:t>
            </w:r>
          </w:p>
        </w:tc>
        <w:tc>
          <w:tcPr>
            <w:shd w:fill="ffffff" w:val="clear"/>
            <w:tcMar>
              <w:top w:w="110.0" w:type="dxa"/>
              <w:bottom w:w="110.0" w:type="dxa"/>
              <w:left w:w="100" w:type="dxa"/>
              <w:right w:w="100" w:type="dxa"/>
            </w:tcMar>
            <w:vAlign w:val="center"/>
            <w:tcW w:w="61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Fit scaling, model coefficients and constant outcome baseline.</w:t>
            </w:r>
          </w:p>
        </w:tc>
      </w:tr>
      <w:tr>
        <w:trPr>
          <w:cantSplit w:val="0"/>
        </w:trPr>
        <w:tc>
          <w:tcPr>
            <w:shd w:fill="ffffff" w:val="clear"/>
            <w:tcMar>
              <w:top w:w="110.0" w:type="dxa"/>
              <w:bottom w:w="110.0" w:type="dxa"/>
              <w:left w:w="100" w:type="dxa"/>
              <w:right w:w="100" w:type="dxa"/>
            </w:tcMar>
            <w:vAlign w:val="center"/>
            <w:tcW w:w="20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2023</w:t>
            </w:r>
          </w:p>
        </w:tc>
        <w:tc>
          <w:tcPr>
            <w:shd w:fill="ffffff" w:val="clear"/>
            <w:tcMar>
              <w:top w:w="110.0" w:type="dxa"/>
              <w:bottom w:w="110.0" w:type="dxa"/>
              <w:left w:w="100" w:type="dxa"/>
              <w:right w:w="100" w:type="dxa"/>
            </w:tcMar>
            <w:vAlign w:val="center"/>
            <w:tcW w:w="9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272</w:t>
            </w:r>
          </w:p>
        </w:tc>
        <w:tc>
          <w:tcPr>
            <w:shd w:fill="ffffff" w:val="clear"/>
            <w:tcMar>
              <w:top w:w="110.0" w:type="dxa"/>
              <w:bottom w:w="110.0" w:type="dxa"/>
              <w:left w:w="100" w:type="dxa"/>
              <w:right w:w="100" w:type="dxa"/>
            </w:tcMar>
            <w:vAlign w:val="center"/>
            <w:tcW w:w="61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Choose regularization using log loss; development validation.</w:t>
            </w:r>
          </w:p>
        </w:tc>
      </w:tr>
      <w:tr>
        <w:trPr>
          <w:cantSplit w:val="0"/>
        </w:trPr>
        <w:tc>
          <w:tcPr>
            <w:shd w:fill="ffffff" w:val="clear"/>
            <w:tcMar>
              <w:top w:w="110.0" w:type="dxa"/>
              <w:bottom w:w="110.0" w:type="dxa"/>
              <w:left w:w="100" w:type="dxa"/>
              <w:right w:w="100" w:type="dxa"/>
            </w:tcMar>
            <w:vAlign w:val="center"/>
            <w:tcW w:w="20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2024–2025</w:t>
            </w:r>
          </w:p>
        </w:tc>
        <w:tc>
          <w:tcPr>
            <w:shd w:fill="ffffff" w:val="clear"/>
            <w:tcMar>
              <w:top w:w="110.0" w:type="dxa"/>
              <w:bottom w:w="110.0" w:type="dxa"/>
              <w:left w:w="100" w:type="dxa"/>
              <w:right w:w="100" w:type="dxa"/>
            </w:tcMar>
            <w:vAlign w:val="center"/>
            <w:tcW w:w="9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544</w:t>
            </w:r>
          </w:p>
        </w:tc>
        <w:tc>
          <w:tcPr>
            <w:shd w:fill="ffffff" w:val="clear"/>
            <w:tcMar>
              <w:top w:w="110.0" w:type="dxa"/>
              <w:bottom w:w="110.0" w:type="dxa"/>
              <w:left w:w="100" w:type="dxa"/>
              <w:right w:w="100" w:type="dxa"/>
            </w:tcMar>
            <w:vAlign w:val="center"/>
            <w:tcW w:w="61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Originally reserved team-model test; later exposed exploratory player comparison.</w:t>
            </w:r>
          </w:p>
        </w:tc>
      </w:tr>
      <w:tr>
        <w:trPr>
          <w:cantSplit w:val="0"/>
        </w:trPr>
        <w:tc>
          <w:tcPr>
            <w:shd w:fill="ffffff" w:val="clear"/>
            <w:tcMar>
              <w:top w:w="110.0" w:type="dxa"/>
              <w:bottom w:w="110.0" w:type="dxa"/>
              <w:left w:w="100" w:type="dxa"/>
              <w:right w:w="100" w:type="dxa"/>
            </w:tcMar>
            <w:vAlign w:val="center"/>
            <w:tcW w:w="20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27 September 2026</w:t>
            </w:r>
          </w:p>
        </w:tc>
        <w:tc>
          <w:tcPr>
            <w:shd w:fill="ffffff" w:val="clear"/>
            <w:tcMar>
              <w:top w:w="110.0" w:type="dxa"/>
              <w:bottom w:w="110.0" w:type="dxa"/>
              <w:left w:w="100" w:type="dxa"/>
              <w:right w:w="100" w:type="dxa"/>
            </w:tcMar>
            <w:vAlign w:val="center"/>
            <w:tcW w:w="9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14</w:t>
            </w:r>
          </w:p>
        </w:tc>
        <w:tc>
          <w:tcPr>
            <w:shd w:fill="ffffff" w:val="clear"/>
            <w:tcMar>
              <w:top w:w="110.0" w:type="dxa"/>
              <w:bottom w:w="110.0" w:type="dxa"/>
              <w:left w:w="100" w:type="dxa"/>
              <w:right w:w="100" w:type="dxa"/>
            </w:tcMar>
            <w:vAlign w:val="center"/>
            <w:tcW w:w="61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First saved future-game cohort; results pending at this checkpoint.</w:t>
            </w:r>
          </w:p>
        </w:tc>
      </w:tr>
    </w:tbl>
    <w:p>
      <w:pPr>
        <w:rPr/>
      </w:pPr>
      <w:r>
        <w:rPr>
          <w:rtl w:val="0"/>
        </w:rPr>
        <w:t xml:space="preserve">All selected 2015–2025 regular-season games in the downloaded snapshot are included, giving 2,895 modeling targets. The source contains 271 regular-season games in 2022. The builder does not invent a missing game, and it does not independently certify complete schedules against official gamebooks. Postseason games are excluded from the training targets and rolling history.</w:t>
      </w:r>
    </w:p>
    <w:p>
      <w:pPr>
        <w:pStyle w:val="Heading2"/>
        <w:rPr/>
      </w:pPr>
      <w:r>
        <w:rPr>
          <w:rtl w:val="0"/>
        </w:rPr>
        <w:t xml:space="preserve">Preparation rules</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Convert Eastern source kickoff times to UTC with daylight-saving-aware timezone rules. January games retain their NFL season identifier.</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Preserve original event IDs and source codes; normalize franchise identities for Rams, Chargers and Raiders so historical team records join consistently.</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Keep numeric features separate from final-score labels. Join by event ID, not line number. Validate required fields, duplicate IDs, scores, venue and timing; do not silently replace missing required data.</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Construct a game’s features before its outcome enters history. Earlier test-period results can later become eligible features, while fitted coefficients remain unchanged.</w:t>
      </w:r>
    </w:p>
    <w:p>
      <w:pPr>
        <w:pStyle w:val="Heading2"/>
        <w:rPr/>
      </w:pPr>
      <w:r>
        <w:rPr>
          <w:rtl w:val="0"/>
        </w:rPr>
        <w:t xml:space="preserve">What was kept independent</w:t>
      </w:r>
    </w:p>
    <w:p>
      <w:pPr>
        <w:rPr/>
      </w:pPr>
      <w:r>
        <w:rPr>
          <w:rtl w:val="0"/>
        </w:rPr>
        <w:t xml:space="preserve">The original trainer used only 2015–2022 and 2023. The team model’s test plan, frozen model copy and predictions were saved before test outcomes were opened for scoring. After that evaluation, the 2024–2025 outcomes were exposed. The player models use the same chronological splits, but cannot claim a second untouched test from those years. Only later forecasts issued before their games can provide new prospective evidence.</w:t>
      </w:r>
    </w:p>
    <w:p>
      <w:pPr>
        <w:pStyle w:val="Heading1"/>
        <w:pageBreakBefore w:val="1"/>
        <w:rPr/>
      </w:pPr>
      <w:bookmarkStart w:id="107" w:name="nfl_chapter_7"/>
      <w:r>
        <w:rPr>
          <w:rtl w:val="0"/>
        </w:rPr>
        <w:t xml:space="preserve">7 Team model inputs</w:t>
      </w:r>
      <w:bookmarkEnd w:id="107"/>
    </w:p>
    <w:p>
      <w:pPr>
        <w:rPr/>
      </w:pPr>
      <w:r>
        <w:rPr>
          <w:rtl w:val="0"/>
        </w:rPr>
        <w:t xml:space="preserve">The primary model, outcome-logit-v1, uses 11 inputs: one venue indicator plus five summaries for each team. Team summaries use up to the last eight eligible regular-season games. In this prepared historical dataset every row has eight, making both RecentGames columns constant and their fitted weights zero.</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010"/>
        <w:gridCol w:w="3650"/>
        <w:gridCol w:w="2460"/>
      </w:tblGrid>
      <w:tr>
        <w:trPr>
          <w:cantSplit w:val="0"/>
          <w:tblHeader w:val="1"/>
        </w:trPr>
        <w:tc>
          <w:tcPr>
            <w:shd w:fill="f2f2f2" w:val="clear"/>
            <w:tcMar>
              <w:top w:w="110.0" w:type="dxa"/>
              <w:bottom w:w="110.0" w:type="dxa"/>
              <w:left w:w="100" w:type="dxa"/>
              <w:right w:w="100" w:type="dxa"/>
            </w:tcMar>
            <w:vAlign w:val="center"/>
            <w:tcW w:w="30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Input</w:t>
            </w:r>
          </w:p>
        </w:tc>
        <w:tc>
          <w:tcPr>
            <w:shd w:fill="f2f2f2"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Meaning</w:t>
            </w:r>
          </w:p>
        </w:tc>
        <w:tc>
          <w:tcPr>
            <w:shd w:fill="f2f2f2" w:val="clear"/>
            <w:tcMar>
              <w:top w:w="110.0" w:type="dxa"/>
              <w:bottom w:w="110.0" w:type="dxa"/>
              <w:left w:w="100" w:type="dxa"/>
              <w:right w:w="100" w:type="dxa"/>
            </w:tcMar>
            <w:vAlign w:val="center"/>
            <w:tcW w:w="24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Why included</w:t>
            </w:r>
          </w:p>
        </w:tc>
      </w:tr>
      <w:tr>
        <w:trPr>
          <w:cantSplit w:val="0"/>
        </w:trPr>
        <w:tc>
          <w:tcPr>
            <w:shd w:fill="ffffff" w:val="clear"/>
            <w:tcMar>
              <w:top w:w="110.0" w:type="dxa"/>
              <w:bottom w:w="110.0" w:type="dxa"/>
              <w:left w:w="100" w:type="dxa"/>
              <w:right w:w="100" w:type="dxa"/>
            </w:tcMar>
            <w:vAlign w:val="center"/>
            <w:tcW w:w="30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homeField</w:t>
            </w:r>
          </w:p>
        </w:tc>
        <w:tc>
          <w:tcPr>
            <w:shd w:fill="ffffff"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 at the home team’s home venue; 0 at a neutral site.</w:t>
            </w:r>
          </w:p>
        </w:tc>
        <w:tc>
          <w:tcPr>
            <w:shd w:fill="ffffff" w:val="clear"/>
            <w:tcMar>
              <w:top w:w="110.0" w:type="dxa"/>
              <w:bottom w:w="110.0" w:type="dxa"/>
              <w:left w:w="100" w:type="dxa"/>
              <w:right w:w="100" w:type="dxa"/>
            </w:tcMar>
            <w:vAlign w:val="center"/>
            <w:tcW w:w="24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Allows a home-venue association.</w:t>
            </w:r>
          </w:p>
        </w:tc>
      </w:tr>
      <w:tr>
        <w:trPr>
          <w:cantSplit w:val="0"/>
        </w:trPr>
        <w:tc>
          <w:tcPr>
            <w:shd w:fill="ffffff" w:val="clear"/>
            <w:tcMar>
              <w:top w:w="110.0" w:type="dxa"/>
              <w:bottom w:w="110.0" w:type="dxa"/>
              <w:left w:w="100" w:type="dxa"/>
              <w:right w:w="100" w:type="dxa"/>
            </w:tcMar>
            <w:vAlign w:val="center"/>
            <w:tcW w:w="30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homeRecentGames / awayRecentGames</w:t>
            </w:r>
          </w:p>
        </w:tc>
        <w:tc>
          <w:tcPr>
            <w:shd w:fill="ffffff"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Number of eligible recent games, at most eight.</w:t>
            </w:r>
          </w:p>
        </w:tc>
        <w:tc>
          <w:tcPr>
            <w:shd w:fill="ffffff" w:val="clear"/>
            <w:tcMar>
              <w:top w:w="110.0" w:type="dxa"/>
              <w:bottom w:w="110.0" w:type="dxa"/>
              <w:left w:w="100" w:type="dxa"/>
              <w:right w:w="100" w:type="dxa"/>
            </w:tcMar>
            <w:vAlign w:val="center"/>
            <w:tcW w:w="24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Records history depth; constant in this dataset.</w:t>
            </w:r>
          </w:p>
        </w:tc>
      </w:tr>
      <w:tr>
        <w:trPr>
          <w:cantSplit w:val="0"/>
        </w:trPr>
        <w:tc>
          <w:tcPr>
            <w:shd w:fill="ffffff" w:val="clear"/>
            <w:tcMar>
              <w:top w:w="110.0" w:type="dxa"/>
              <w:bottom w:w="110.0" w:type="dxa"/>
              <w:left w:w="100" w:type="dxa"/>
              <w:right w:w="100" w:type="dxa"/>
            </w:tcMar>
            <w:vAlign w:val="center"/>
            <w:tcW w:w="30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homePointsForMean / awayPointsForMean</w:t>
            </w:r>
          </w:p>
        </w:tc>
        <w:tc>
          <w:tcPr>
            <w:shd w:fill="ffffff"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Average points scored over that history.</w:t>
            </w:r>
          </w:p>
        </w:tc>
        <w:tc>
          <w:tcPr>
            <w:shd w:fill="ffffff" w:val="clear"/>
            <w:tcMar>
              <w:top w:w="110.0" w:type="dxa"/>
              <w:bottom w:w="110.0" w:type="dxa"/>
              <w:left w:w="100" w:type="dxa"/>
              <w:right w:w="100" w:type="dxa"/>
            </w:tcMar>
            <w:vAlign w:val="center"/>
            <w:tcW w:w="24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Simple offensive scoring form.</w:t>
            </w:r>
          </w:p>
        </w:tc>
      </w:tr>
      <w:tr>
        <w:trPr>
          <w:cantSplit w:val="0"/>
        </w:trPr>
        <w:tc>
          <w:tcPr>
            <w:shd w:fill="ffffff" w:val="clear"/>
            <w:tcMar>
              <w:top w:w="110.0" w:type="dxa"/>
              <w:bottom w:w="110.0" w:type="dxa"/>
              <w:left w:w="100" w:type="dxa"/>
              <w:right w:w="100" w:type="dxa"/>
            </w:tcMar>
            <w:vAlign w:val="center"/>
            <w:tcW w:w="30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homePointsAgainstMean / awayPointsAgainstMean</w:t>
            </w:r>
          </w:p>
        </w:tc>
        <w:tc>
          <w:tcPr>
            <w:shd w:fill="ffffff"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Average points conceded over that history.</w:t>
            </w:r>
          </w:p>
        </w:tc>
        <w:tc>
          <w:tcPr>
            <w:shd w:fill="ffffff" w:val="clear"/>
            <w:tcMar>
              <w:top w:w="110.0" w:type="dxa"/>
              <w:bottom w:w="110.0" w:type="dxa"/>
              <w:left w:w="100" w:type="dxa"/>
              <w:right w:w="100" w:type="dxa"/>
            </w:tcMar>
            <w:vAlign w:val="center"/>
            <w:tcW w:w="24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Simple defensive scoring form.</w:t>
            </w:r>
          </w:p>
        </w:tc>
      </w:tr>
      <w:tr>
        <w:trPr>
          <w:cantSplit w:val="0"/>
        </w:trPr>
        <w:tc>
          <w:tcPr>
            <w:shd w:fill="ffffff" w:val="clear"/>
            <w:tcMar>
              <w:top w:w="110.0" w:type="dxa"/>
              <w:bottom w:w="110.0" w:type="dxa"/>
              <w:left w:w="100" w:type="dxa"/>
              <w:right w:w="100" w:type="dxa"/>
            </w:tcMar>
            <w:vAlign w:val="center"/>
            <w:tcW w:w="30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homeResultRate / awayResultRate</w:t>
            </w:r>
          </w:p>
        </w:tc>
        <w:tc>
          <w:tcPr>
            <w:shd w:fill="ffffff"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Mean result value: win = 1, tie = 0.5, loss = 0.</w:t>
            </w:r>
          </w:p>
        </w:tc>
        <w:tc>
          <w:tcPr>
            <w:shd w:fill="ffffff" w:val="clear"/>
            <w:tcMar>
              <w:top w:w="110.0" w:type="dxa"/>
              <w:bottom w:w="110.0" w:type="dxa"/>
              <w:left w:w="100" w:type="dxa"/>
              <w:right w:w="100" w:type="dxa"/>
            </w:tcMar>
            <w:vAlign w:val="center"/>
            <w:tcW w:w="24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Recent outcome strength.</w:t>
            </w:r>
          </w:p>
        </w:tc>
      </w:tr>
      <w:tr>
        <w:trPr>
          <w:cantSplit w:val="0"/>
        </w:trPr>
        <w:tc>
          <w:tcPr>
            <w:shd w:fill="ffffff" w:val="clear"/>
            <w:tcMar>
              <w:top w:w="110.0" w:type="dxa"/>
              <w:bottom w:w="110.0" w:type="dxa"/>
              <w:left w:w="100" w:type="dxa"/>
              <w:right w:w="100" w:type="dxa"/>
            </w:tcMar>
            <w:vAlign w:val="center"/>
            <w:tcW w:w="30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homeDaysSincePriorGameCapped30 / awayDaysSincePriorGameCapped30</w:t>
            </w:r>
          </w:p>
        </w:tc>
        <w:tc>
          <w:tcPr>
            <w:shd w:fill="ffffff" w:val="clear"/>
            <w:tcMar>
              <w:top w:w="110.0" w:type="dxa"/>
              <w:bottom w:w="110.0" w:type="dxa"/>
              <w:left w:w="100" w:type="dxa"/>
              <w:right w:w="100" w:type="dxa"/>
            </w:tcMar>
            <w:vAlign w:val="center"/>
            <w:tcW w:w="3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Calendar days since the previous regular-season kickoff, capped at 30.</w:t>
            </w:r>
          </w:p>
        </w:tc>
        <w:tc>
          <w:tcPr>
            <w:shd w:fill="ffffff" w:val="clear"/>
            <w:tcMar>
              <w:top w:w="110.0" w:type="dxa"/>
              <w:bottom w:w="110.0" w:type="dxa"/>
              <w:left w:w="100" w:type="dxa"/>
              <w:right w:w="100" w:type="dxa"/>
            </w:tcMar>
            <w:vAlign w:val="center"/>
            <w:tcW w:w="24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Schedule spacing, not actual player rest.</w:t>
            </w:r>
          </w:p>
        </w:tc>
      </w:tr>
    </w:tbl>
    <w:p>
      <w:pPr>
        <w:pStyle w:val="Heading2"/>
        <w:rPr/>
      </w:pPr>
      <w:r>
        <w:rPr>
          <w:rtl w:val="0"/>
        </w:rPr>
        <w:t xml:space="preserve">Strengths of these inputs</w:t>
      </w:r>
    </w:p>
    <w:p>
      <w:pPr>
        <w:rPr/>
      </w:pPr>
      <w:r>
        <w:rPr>
          <w:rtl w:val="0"/>
        </w:rPr>
        <w:t xml:space="preserve">They are inexpensive, easy to inspect and available across many seasons. Every feature row records the prior game IDs behind its history. A simple model gives us a measurable reference before adding more detailed data. No current-game score, observed weather, current-game quarterback label or bookmaker price enters this feature set.</w:t>
      </w:r>
    </w:p>
    <w:p>
      <w:pPr>
        <w:pStyle w:val="Heading2"/>
        <w:rPr/>
      </w:pPr>
      <w:r>
        <w:rPr>
          <w:rtl w:val="0"/>
        </w:rPr>
        <w:t xml:space="preserve">Weaknesses of these inputs</w:t>
      </w:r>
    </w:p>
    <w:p>
      <w:pPr>
        <w:rPr/>
      </w:pPr>
      <w:r>
        <w:rPr>
          <w:rtl w:val="0"/>
        </w:rPr>
        <w:t xml:space="preserve">The averages are not adjusted for opponent strength, pace, game state or unusual turnover luck. An eight-game window can mix last season with the current season despite coaching and roster changes. Playoffs are excluded, so “days since prior game” at a season opener is only regular-season spacing. The venue flag cannot express travel distance, altitude, crowd differences or an international venue effect beyond neutral versus home. Team scores may already reflect past player quality, but they do not identify which player caused it.</w:t>
      </w:r>
    </w:p>
    <w:p>
      <w:pPr>
        <w:pStyle w:val="Heading1"/>
        <w:pageBreakBefore w:val="1"/>
        <w:rPr/>
      </w:pPr>
      <w:bookmarkStart w:id="108" w:name="nfl_chapter_8"/>
      <w:r>
        <w:rPr>
          <w:rtl w:val="0"/>
        </w:rPr>
        <w:t xml:space="preserve">8 Model training and inference</w:t>
      </w:r>
      <w:bookmarkEnd w:id="108"/>
    </w:p>
    <w:p>
      <w:pPr>
        <w:rPr/>
      </w:pPr>
      <w:r>
        <w:rPr>
          <w:rtl w:val="0"/>
        </w:rPr>
        <w:t xml:space="preserve">All three models use standardized multinomial logistic regression. It learns three outcome scores from historical labeled games and converts them into home-win, away-win and tie probabilities. This is a statistical classifier, not a point-score simulation or an AI news-reading agent. [S5]</w:t>
      </w:r>
    </w:p>
    <w:p>
      <w:pPr>
        <w:pStyle w:val="Heading2"/>
        <w:rPr/>
      </w:pPr>
      <w:r>
        <w:rPr>
          <w:rtl w:val="0"/>
        </w:rPr>
        <w:t xml:space="preserve">Training procedure</w:t>
      </w:r>
    </w:p>
    <w:p>
      <w:pPr>
        <w:rPr/>
      </w:pPr>
      <w:r>
        <w:rPr>
          <w:rtl w:val="0"/>
        </w:rPr>
        <w:t xml:space="preserve">StandardScaler learns each feature’s mean and scale from 2015–2022 only. The classifier fits an intercept and coefficient for each feature and class, with L2 regularization to discourage large weights. Candidate C values were declared as 0.01, 0.1, 1 and 10. Lower 2023 log loss selects the candidate; exact ties favor smaller C. All three families selected C = 0.01. Smaller C means stronger regularization.</w:t>
      </w:r>
    </w:p>
    <w:p>
      <w:pPr>
        <w:rPr/>
      </w:pPr>
      <w:r>
        <w:rPr>
          <w:rtl w:val="0"/>
        </w:rPr>
        <w:t xml:space="preserve">The solver is lbfgs, with a 2,000-iteration limit and tolerance 1e-9. No class balancing or probability recalibration was fitted. Validation chooses settings but does not refit coefficients on 2023. The saved models remain trained through 2022. New weekly data update feature values, not the learned weights.</w:t>
      </w:r>
    </w:p>
    <w:p>
      <w:pPr>
        <w:pStyle w:val="Heading2"/>
        <w:rPr/>
      </w:pPr>
      <w:r>
        <w:rPr>
          <w:rtl w:val="0"/>
        </w:rPr>
        <w:t xml:space="preserve">Prediction calculation</w:t>
      </w:r>
    </w:p>
    <w:p>
      <w:pPr>
        <w:rPr/>
      </w:pPr>
      <w:r>
        <w:rPr>
          <w:rtl w:val="0"/>
        </w:rPr>
        <w:t xml:space="preserve">1. Standardize each input: zⱼ = (xⱼ − training meanⱼ) / training scaleⱼ.</w:t>
        <w:br/>
        <w:t xml:space="preserve">2. Calculate a score for each outcome: sₖ = interceptₖ + Σ coefficientₖⱼ × zⱼ.</w:t>
        <w:br/>
        <w:t xml:space="preserve">3. Convert scores to probabilities: pₖ = exp(sₖ) / Σ exp(s). The implementation subtracts the largest score before exponentiation for numerical stability.</w:t>
      </w:r>
    </w:p>
    <w:p>
      <w:pPr>
        <w:rPr/>
      </w:pPr>
      <w:r>
        <w:rPr>
          <w:rtl w:val="0"/>
        </w:rPr>
        <w:t xml:space="preserve">The three probabilities sum to one before display rounding. The saved class order is explicit, so an away-win coefficient is never interpreted as a home-win coefficient. Portable JSON stores coefficients, scaling, metadata and checksums. Prediction itself can run with Python’s standard library.</w:t>
      </w:r>
    </w:p>
    <w:p>
      <w:pPr>
        <w:pStyle w:val="Heading2"/>
        <w:rPr/>
      </w:pPr>
      <w:r>
        <w:rPr>
          <w:rtl w:val="0"/>
        </w:rPr>
        <w:t xml:space="preserve">Baseline and interpretation</w:t>
      </w:r>
    </w:p>
    <w:p>
      <w:pPr>
        <w:rPr/>
      </w:pPr>
      <w:r>
        <w:rPr>
          <w:rtl w:val="0"/>
        </w:rPr>
        <w:t xml:space="preserve">The constant benchmark uses training outcomes: 1,133 home wins, 937 away wins and 9 ties. Its probabilities are 54.497% home, 45.070% away and 0.433% tie for every game. Its most likely class is always home. Beating this benchmark is useful evidence, but it does not compare the model with sportsbook prices. Coefficients describe predictive associations; correlated inputs prevent a causal interpretation such as “this player is worth exactly five points.”</w:t>
      </w:r>
    </w:p>
    <w:p>
      <w:pPr>
        <w:pStyle w:val="Heading1"/>
        <w:pageBreakBefore w:val="1"/>
        <w:rPr/>
      </w:pPr>
      <w:bookmarkStart w:id="109" w:name="nfl_chapter_9"/>
      <w:r>
        <w:rPr>
          <w:rtl w:val="0"/>
        </w:rPr>
        <w:t xml:space="preserve">9 Player form model</w:t>
      </w:r>
      <w:bookmarkEnd w:id="109"/>
    </w:p>
    <w:p>
      <w:pPr>
        <w:rPr/>
      </w:pPr>
      <w:r>
        <w:rPr>
          <w:rtl w:val="0"/>
        </w:rPr>
        <w:t xml:space="preserve">player-form-v1 adds ten inputs per team to the original 11, for </w:t>
      </w:r>
      <w:r>
        <w:rPr>
          <w:rtl w:val="0"/>
          <w:b w:val="1"/>
        </w:rPr>
        <w:t xml:space="preserve">31 total</w:t>
      </w:r>
      <w:r>
        <w:rPr>
          <w:rtl w:val="0"/>
        </w:rPr>
        <w:t xml:space="preserve">. It uses the last four eligible team games from the team-history evidence. Player IDs join the records; the prior primary passer is the player with the most attempts in the most recent game, regardless of a season-level QB, TE or WR position label.</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470"/>
        <w:gridCol w:w="5650"/>
      </w:tblGrid>
      <w:tr>
        <w:trPr>
          <w:cantSplit w:val="0"/>
          <w:tblHeader w:val="1"/>
        </w:trPr>
        <w:tc>
          <w:tcPr>
            <w:shd w:fill="f2f2f2" w:val="clear"/>
            <w:tcMar>
              <w:top w:w="110.0" w:type="dxa"/>
              <w:bottom w:w="110.0" w:type="dxa"/>
              <w:left w:w="100" w:type="dxa"/>
              <w:right w:w="100" w:type="dxa"/>
            </w:tcMar>
            <w:vAlign w:val="center"/>
            <w:tcW w:w="3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Added input for each team</w:t>
            </w:r>
          </w:p>
        </w:tc>
        <w:tc>
          <w:tcPr>
            <w:shd w:fill="f2f2f2" w:val="clear"/>
            <w:tcMar>
              <w:top w:w="110.0" w:type="dxa"/>
              <w:bottom w:w="110.0" w:type="dxa"/>
              <w:left w:w="100" w:type="dxa"/>
              <w:right w:w="100" w:type="dxa"/>
            </w:tcMar>
            <w:vAlign w:val="center"/>
            <w:tcW w:w="5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Definition</w:t>
            </w:r>
          </w:p>
        </w:tc>
      </w:tr>
      <w:tr>
        <w:trPr>
          <w:cantSplit w:val="0"/>
        </w:trPr>
        <w:tc>
          <w:tcPr>
            <w:shd w:fill="ffffff" w:val="clear"/>
            <w:tcMar>
              <w:top w:w="110.0" w:type="dxa"/>
              <w:bottom w:w="110.0" w:type="dxa"/>
              <w:left w:w="100" w:type="dxa"/>
              <w:right w:w="100" w:type="dxa"/>
            </w:tcMar>
            <w:vAlign w:val="center"/>
            <w:tcW w:w="3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PriorQBEPAperDropbackShrunk</w:t>
            </w:r>
          </w:p>
        </w:tc>
        <w:tc>
          <w:tcPr>
            <w:shd w:fill="ffffff" w:val="clear"/>
            <w:tcMar>
              <w:top w:w="110.0" w:type="dxa"/>
              <w:bottom w:w="110.0" w:type="dxa"/>
              <w:left w:w="100" w:type="dxa"/>
              <w:right w:w="100" w:type="dxa"/>
            </w:tcMar>
            <w:vAlign w:val="center"/>
            <w:tcW w:w="5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Selected prior passer’s summed passing EPA / (100 + dropbacks with known EPA), over the four-game history.</w:t>
            </w:r>
          </w:p>
        </w:tc>
      </w:tr>
      <w:tr>
        <w:trPr>
          <w:cantSplit w:val="0"/>
        </w:trPr>
        <w:tc>
          <w:tcPr>
            <w:shd w:fill="ffffff" w:val="clear"/>
            <w:tcMar>
              <w:top w:w="110.0" w:type="dxa"/>
              <w:bottom w:w="110.0" w:type="dxa"/>
              <w:left w:w="100" w:type="dxa"/>
              <w:right w:w="100" w:type="dxa"/>
            </w:tcMar>
            <w:vAlign w:val="center"/>
            <w:tcW w:w="3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PriorQBDropbacks</w:t>
            </w:r>
          </w:p>
        </w:tc>
        <w:tc>
          <w:tcPr>
            <w:shd w:fill="ffffff" w:val="clear"/>
            <w:tcMar>
              <w:top w:w="110.0" w:type="dxa"/>
              <w:bottom w:w="110.0" w:type="dxa"/>
              <w:left w:w="100" w:type="dxa"/>
              <w:right w:w="100" w:type="dxa"/>
            </w:tcMar>
            <w:vAlign w:val="center"/>
            <w:tcW w:w="5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That passer’s attempts + sacks suffered over the history.</w:t>
            </w:r>
          </w:p>
        </w:tc>
      </w:tr>
      <w:tr>
        <w:trPr>
          <w:cantSplit w:val="0"/>
        </w:trPr>
        <w:tc>
          <w:tcPr>
            <w:shd w:fill="ffffff" w:val="clear"/>
            <w:tcMar>
              <w:top w:w="110.0" w:type="dxa"/>
              <w:bottom w:w="110.0" w:type="dxa"/>
              <w:left w:w="100" w:type="dxa"/>
              <w:right w:w="100" w:type="dxa"/>
            </w:tcMar>
            <w:vAlign w:val="center"/>
            <w:tcW w:w="3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PriorQBChanged</w:t>
            </w:r>
          </w:p>
        </w:tc>
        <w:tc>
          <w:tcPr>
            <w:shd w:fill="ffffff" w:val="clear"/>
            <w:tcMar>
              <w:top w:w="110.0" w:type="dxa"/>
              <w:bottom w:w="110.0" w:type="dxa"/>
              <w:left w:w="100" w:type="dxa"/>
              <w:right w:w="100" w:type="dxa"/>
            </w:tcMar>
            <w:vAlign w:val="center"/>
            <w:tcW w:w="5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 when the last two games’ inferred primary passer IDs differ; otherwise 0.</w:t>
            </w:r>
          </w:p>
        </w:tc>
      </w:tr>
      <w:tr>
        <w:trPr>
          <w:cantSplit w:val="0"/>
        </w:trPr>
        <w:tc>
          <w:tcPr>
            <w:shd w:fill="ffffff" w:val="clear"/>
            <w:tcMar>
              <w:top w:w="110.0" w:type="dxa"/>
              <w:bottom w:w="110.0" w:type="dxa"/>
              <w:left w:w="100" w:type="dxa"/>
              <w:right w:w="100" w:type="dxa"/>
            </w:tcMar>
            <w:vAlign w:val="center"/>
            <w:tcW w:w="3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PriorQBEPACoverage</w:t>
            </w:r>
          </w:p>
        </w:tc>
        <w:tc>
          <w:tcPr>
            <w:shd w:fill="ffffff" w:val="clear"/>
            <w:tcMar>
              <w:top w:w="110.0" w:type="dxa"/>
              <w:bottom w:w="110.0" w:type="dxa"/>
              <w:left w:w="100" w:type="dxa"/>
              <w:right w:w="100" w:type="dxa"/>
            </w:tcMar>
            <w:vAlign w:val="center"/>
            <w:tcW w:w="5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Known-EPA dropbacks / recorded dropbacks.</w:t>
            </w:r>
          </w:p>
        </w:tc>
      </w:tr>
      <w:tr>
        <w:trPr>
          <w:cantSplit w:val="0"/>
        </w:trPr>
        <w:tc>
          <w:tcPr>
            <w:shd w:fill="ffffff" w:val="clear"/>
            <w:tcMar>
              <w:top w:w="110.0" w:type="dxa"/>
              <w:bottom w:w="110.0" w:type="dxa"/>
              <w:left w:w="100" w:type="dxa"/>
              <w:right w:w="100" w:type="dxa"/>
            </w:tcMar>
            <w:vAlign w:val="center"/>
            <w:tcW w:w="3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TopReceiverTargetShare</w:t>
            </w:r>
          </w:p>
        </w:tc>
        <w:tc>
          <w:tcPr>
            <w:shd w:fill="ffffff" w:val="clear"/>
            <w:tcMar>
              <w:top w:w="110.0" w:type="dxa"/>
              <w:bottom w:w="110.0" w:type="dxa"/>
              <w:left w:w="100" w:type="dxa"/>
              <w:right w:w="100" w:type="dxa"/>
            </w:tcMar>
            <w:vAlign w:val="center"/>
            <w:tcW w:w="5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Most-targeted player’s targets / all team targets in the history.</w:t>
            </w:r>
          </w:p>
        </w:tc>
      </w:tr>
      <w:tr>
        <w:trPr>
          <w:cantSplit w:val="0"/>
        </w:trPr>
        <w:tc>
          <w:tcPr>
            <w:shd w:fill="ffffff" w:val="clear"/>
            <w:tcMar>
              <w:top w:w="110.0" w:type="dxa"/>
              <w:bottom w:w="110.0" w:type="dxa"/>
              <w:left w:w="100" w:type="dxa"/>
              <w:right w:w="100" w:type="dxa"/>
            </w:tcMar>
            <w:vAlign w:val="center"/>
            <w:tcW w:w="3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TopReceiverEPAperTargetShrunk</w:t>
            </w:r>
          </w:p>
        </w:tc>
        <w:tc>
          <w:tcPr>
            <w:shd w:fill="ffffff" w:val="clear"/>
            <w:tcMar>
              <w:top w:w="110.0" w:type="dxa"/>
              <w:bottom w:w="110.0" w:type="dxa"/>
              <w:left w:w="100" w:type="dxa"/>
              <w:right w:w="100" w:type="dxa"/>
            </w:tcMar>
            <w:vAlign w:val="center"/>
            <w:tcW w:w="5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That receiver’s summed receiving EPA / (25 + targets with known EPA).</w:t>
            </w:r>
          </w:p>
        </w:tc>
      </w:tr>
      <w:tr>
        <w:trPr>
          <w:cantSplit w:val="0"/>
        </w:trPr>
        <w:tc>
          <w:tcPr>
            <w:shd w:fill="ffffff" w:val="clear"/>
            <w:tcMar>
              <w:top w:w="110.0" w:type="dxa"/>
              <w:bottom w:w="110.0" w:type="dxa"/>
              <w:left w:w="100" w:type="dxa"/>
              <w:right w:w="100" w:type="dxa"/>
            </w:tcMar>
            <w:vAlign w:val="center"/>
            <w:tcW w:w="3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TopReceiverEPACoverage</w:t>
            </w:r>
          </w:p>
        </w:tc>
        <w:tc>
          <w:tcPr>
            <w:shd w:fill="ffffff" w:val="clear"/>
            <w:tcMar>
              <w:top w:w="110.0" w:type="dxa"/>
              <w:bottom w:w="110.0" w:type="dxa"/>
              <w:left w:w="100" w:type="dxa"/>
              <w:right w:w="100" w:type="dxa"/>
            </w:tcMar>
            <w:vAlign w:val="center"/>
            <w:tcW w:w="5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Known-EPA targets / recorded targets for that receiver.</w:t>
            </w:r>
          </w:p>
        </w:tc>
      </w:tr>
      <w:tr>
        <w:trPr>
          <w:cantSplit w:val="0"/>
        </w:trPr>
        <w:tc>
          <w:tcPr>
            <w:shd w:fill="ffffff" w:val="clear"/>
            <w:tcMar>
              <w:top w:w="110.0" w:type="dxa"/>
              <w:bottom w:w="110.0" w:type="dxa"/>
              <w:left w:w="100" w:type="dxa"/>
              <w:right w:w="100" w:type="dxa"/>
            </w:tcMar>
            <w:vAlign w:val="center"/>
            <w:tcW w:w="3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TopRusherCarryShare</w:t>
            </w:r>
          </w:p>
        </w:tc>
        <w:tc>
          <w:tcPr>
            <w:shd w:fill="ffffff" w:val="clear"/>
            <w:tcMar>
              <w:top w:w="110.0" w:type="dxa"/>
              <w:bottom w:w="110.0" w:type="dxa"/>
              <w:left w:w="100" w:type="dxa"/>
              <w:right w:w="100" w:type="dxa"/>
            </w:tcMar>
            <w:vAlign w:val="center"/>
            <w:tcW w:w="5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Leading rusher’s carries / all team carries in the history.</w:t>
            </w:r>
          </w:p>
        </w:tc>
      </w:tr>
      <w:tr>
        <w:trPr>
          <w:cantSplit w:val="0"/>
        </w:trPr>
        <w:tc>
          <w:tcPr>
            <w:shd w:fill="ffffff" w:val="clear"/>
            <w:tcMar>
              <w:top w:w="110.0" w:type="dxa"/>
              <w:bottom w:w="110.0" w:type="dxa"/>
              <w:left w:w="100" w:type="dxa"/>
              <w:right w:w="100" w:type="dxa"/>
            </w:tcMar>
            <w:vAlign w:val="center"/>
            <w:tcW w:w="3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TopRusherEPAperCarryShrunk</w:t>
            </w:r>
          </w:p>
        </w:tc>
        <w:tc>
          <w:tcPr>
            <w:shd w:fill="ffffff" w:val="clear"/>
            <w:tcMar>
              <w:top w:w="110.0" w:type="dxa"/>
              <w:bottom w:w="110.0" w:type="dxa"/>
              <w:left w:w="100" w:type="dxa"/>
              <w:right w:w="100" w:type="dxa"/>
            </w:tcMar>
            <w:vAlign w:val="center"/>
            <w:tcW w:w="5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That rusher’s summed rushing EPA / (25 + carries with known EPA).</w:t>
            </w:r>
          </w:p>
        </w:tc>
      </w:tr>
      <w:tr>
        <w:trPr>
          <w:cantSplit w:val="0"/>
        </w:trPr>
        <w:tc>
          <w:tcPr>
            <w:shd w:fill="ffffff" w:val="clear"/>
            <w:tcMar>
              <w:top w:w="110.0" w:type="dxa"/>
              <w:bottom w:w="110.0" w:type="dxa"/>
              <w:left w:w="100" w:type="dxa"/>
              <w:right w:w="100" w:type="dxa"/>
            </w:tcMar>
            <w:vAlign w:val="center"/>
            <w:tcW w:w="3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TopRusherEPACoverage</w:t>
            </w:r>
          </w:p>
        </w:tc>
        <w:tc>
          <w:tcPr>
            <w:shd w:fill="ffffff" w:val="clear"/>
            <w:tcMar>
              <w:top w:w="110.0" w:type="dxa"/>
              <w:bottom w:w="110.0" w:type="dxa"/>
              <w:left w:w="100" w:type="dxa"/>
              <w:right w:w="100" w:type="dxa"/>
            </w:tcMar>
            <w:vAlign w:val="center"/>
            <w:tcW w:w="5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Known-EPA carries / recorded carries for that rusher.</w:t>
            </w:r>
          </w:p>
        </w:tc>
      </w:tr>
    </w:tbl>
    <w:p>
      <w:pPr>
        <w:rPr/>
      </w:pPr>
      <w:r>
        <w:rPr>
          <w:rtl w:val="0"/>
        </w:rPr>
        <w:t xml:space="preserve">Each listed name has a home and away prefix in the saved feature vector. EPA means expected points added: the source’s estimate of how a play changes expected scoring value. The model consumes supplied EPA; it does not train the underlying EPA estimator. The 100 and 25 denominator additions shrink small samples toward zero. They are fixed smoothing choices, not learned individual player values. [S2]</w:t>
      </w:r>
    </w:p>
    <w:p>
      <w:pPr>
        <w:rPr/>
      </w:pPr>
      <w:r>
        <w:rPr>
          <w:rtl w:val="0"/>
        </w:rPr>
        <w:t xml:space="preserve">Unknown EPA on recorded plays is excluded from its efficiency denominator and tracked with coverage rather than interpreted as zero quality. Missing required prior-game player statistics stop feature construction. Leading receiver and rusher are inferred from prior usage, not an upcoming depth chart. This model does not know whether a player was traded, is about to start, or will receive the same workload tomorrow.</w:t>
      </w:r>
    </w:p>
    <w:p>
      <w:pPr>
        <w:pStyle w:val="Heading1"/>
        <w:pageBreakBefore w:val="1"/>
        <w:rPr/>
      </w:pPr>
      <w:bookmarkStart w:id="110" w:name="nfl_chapter_10"/>
      <w:r>
        <w:rPr>
          <w:rtl w:val="0"/>
        </w:rPr>
        <w:t xml:space="preserve">10 Player availability model</w:t>
      </w:r>
      <w:bookmarkEnd w:id="110"/>
    </w:p>
    <w:p>
      <w:pPr>
        <w:rPr/>
      </w:pPr>
      <w:r>
        <w:rPr>
          <w:rtl w:val="0"/>
        </w:rPr>
        <w:t xml:space="preserve">player-availability-v1 adds 12 inputs per team to the 31 form inputs, for </w:t>
      </w:r>
      <w:r>
        <w:rPr>
          <w:rtl w:val="0"/>
          <w:b w:val="1"/>
        </w:rPr>
        <w:t xml:space="preserve">55 total</w:t>
      </w:r>
      <w:r>
        <w:rPr>
          <w:rtl w:val="0"/>
        </w:rPr>
        <w:t xml:space="preserve">. It learns associations between eligible injury reports, prior usage and outcomes, not individual causal player ratings.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660"/>
        <w:gridCol w:w="5460"/>
      </w:tblGrid>
      <w:tr>
        <w:trPr>
          <w:cantSplit w:val="0"/>
          <w:tblHeader w:val="1"/>
        </w:trPr>
        <w:tc>
          <w:tcPr>
            <w:shd w:fill="f2f2f2" w:val="clear"/>
            <w:tcMar>
              <w:top w:w="110.0" w:type="dxa"/>
              <w:bottom w:w="110.0" w:type="dxa"/>
              <w:left w:w="100" w:type="dxa"/>
              <w:right w:w="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Added inputs for each team</w:t>
            </w:r>
          </w:p>
        </w:tc>
        <w:tc>
          <w:tcPr>
            <w:shd w:fill="f2f2f2" w:val="clear"/>
            <w:tcMar>
              <w:top w:w="110.0" w:type="dxa"/>
              <w:bottom w:w="110.0" w:type="dxa"/>
              <w:left w:w="100" w:type="dxa"/>
              <w:right w:w="100" w:type="dxa"/>
            </w:tcMar>
            <w:vAlign w:val="center"/>
            <w:tcW w:w="54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Meaning</w:t>
            </w:r>
          </w:p>
        </w:tc>
      </w:tr>
      <w:tr>
        <w:trPr>
          <w:cantSplit w:val="0"/>
        </w:trPr>
        <w:tc>
          <w:tcPr>
            <w:shd w:fill="ffffff" w:val="clear"/>
            <w:tcMar>
              <w:top w:w="110.0" w:type="dxa"/>
              <w:bottom w:w="110.0" w:type="dxa"/>
              <w:left w:w="100" w:type="dxa"/>
              <w:right w:w="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InjuryReportObserved</w:t>
            </w:r>
          </w:p>
        </w:tc>
        <w:tc>
          <w:tcPr>
            <w:shd w:fill="ffffff" w:val="clear"/>
            <w:tcMar>
              <w:top w:w="110.0" w:type="dxa"/>
              <w:bottom w:w="110.0" w:type="dxa"/>
              <w:left w:w="100" w:type="dxa"/>
              <w:right w:w="100" w:type="dxa"/>
            </w:tcMar>
            <w:vAlign w:val="center"/>
            <w:tcW w:w="54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 if any time-eligible injury row exists for that team and game week; 0 means unavailable evidence, not a healthy roster.</w:t>
            </w:r>
          </w:p>
        </w:tc>
      </w:tr>
      <w:tr>
        <w:trPr>
          <w:cantSplit w:val="0"/>
        </w:trPr>
        <w:tc>
          <w:tcPr>
            <w:shd w:fill="ffffff" w:val="clear"/>
            <w:tcMar>
              <w:top w:w="110.0" w:type="dxa"/>
              <w:bottom w:w="110.0" w:type="dxa"/>
              <w:left w:w="100" w:type="dxa"/>
              <w:right w:w="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OutPassingShare / OutTargetsShare / OutCarriesShare</w:t>
            </w:r>
          </w:p>
        </w:tc>
        <w:tc>
          <w:tcPr>
            <w:shd w:fill="ffffff" w:val="clear"/>
            <w:tcMar>
              <w:top w:w="110.0" w:type="dxa"/>
              <w:bottom w:w="110.0" w:type="dxa"/>
              <w:left w:w="100" w:type="dxa"/>
              <w:right w:w="100" w:type="dxa"/>
            </w:tcMar>
            <w:vAlign w:val="center"/>
            <w:tcW w:w="54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Share of the prior four-game team attempts, targets or carries belonging to players listed Out.</w:t>
            </w:r>
          </w:p>
        </w:tc>
      </w:tr>
      <w:tr>
        <w:trPr>
          <w:cantSplit w:val="0"/>
        </w:trPr>
        <w:tc>
          <w:tcPr>
            <w:shd w:fill="ffffff" w:val="clear"/>
            <w:tcMar>
              <w:top w:w="110.0" w:type="dxa"/>
              <w:bottom w:w="110.0" w:type="dxa"/>
              <w:left w:w="100" w:type="dxa"/>
              <w:right w:w="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DoubtfulPassingShare / DoubtfulTargetsShare / DoubtfulCarriesShare</w:t>
            </w:r>
          </w:p>
        </w:tc>
        <w:tc>
          <w:tcPr>
            <w:shd w:fill="ffffff" w:val="clear"/>
            <w:tcMar>
              <w:top w:w="110.0" w:type="dxa"/>
              <w:bottom w:w="110.0" w:type="dxa"/>
              <w:left w:w="100" w:type="dxa"/>
              <w:right w:w="100" w:type="dxa"/>
            </w:tcMar>
            <w:vAlign w:val="center"/>
            <w:tcW w:w="54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Same usage shares for players listed Doubtful.</w:t>
            </w:r>
          </w:p>
        </w:tc>
      </w:tr>
      <w:tr>
        <w:trPr>
          <w:cantSplit w:val="0"/>
        </w:trPr>
        <w:tc>
          <w:tcPr>
            <w:shd w:fill="ffffff" w:val="clear"/>
            <w:tcMar>
              <w:top w:w="110.0" w:type="dxa"/>
              <w:bottom w:w="110.0" w:type="dxa"/>
              <w:left w:w="100" w:type="dxa"/>
              <w:right w:w="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QuestionablePassingShare / QuestionableTargetsShare / QuestionableCarriesShare</w:t>
            </w:r>
          </w:p>
        </w:tc>
        <w:tc>
          <w:tcPr>
            <w:shd w:fill="ffffff" w:val="clear"/>
            <w:tcMar>
              <w:top w:w="110.0" w:type="dxa"/>
              <w:bottom w:w="110.0" w:type="dxa"/>
              <w:left w:w="100" w:type="dxa"/>
              <w:right w:w="100" w:type="dxa"/>
            </w:tcMar>
            <w:vAlign w:val="center"/>
            <w:tcW w:w="54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Same usage shares for players listed Questionable.</w:t>
            </w:r>
          </w:p>
        </w:tc>
      </w:tr>
      <w:tr>
        <w:trPr>
          <w:cantSplit w:val="0"/>
        </w:trPr>
        <w:tc>
          <w:tcPr>
            <w:shd w:fill="ffffff" w:val="clear"/>
            <w:tcMar>
              <w:top w:w="110.0" w:type="dxa"/>
              <w:bottom w:w="110.0" w:type="dxa"/>
              <w:left w:w="100" w:type="dxa"/>
              <w:right w:w="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OutOLCount</w:t>
            </w:r>
          </w:p>
        </w:tc>
        <w:tc>
          <w:tcPr>
            <w:shd w:fill="ffffff" w:val="clear"/>
            <w:tcMar>
              <w:top w:w="110.0" w:type="dxa"/>
              <w:bottom w:w="110.0" w:type="dxa"/>
              <w:left w:w="100" w:type="dxa"/>
              <w:right w:w="100" w:type="dxa"/>
            </w:tcMar>
            <w:vAlign w:val="center"/>
            <w:tcW w:w="54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Number of eligible Out reports with an offensive line position.</w:t>
            </w:r>
          </w:p>
        </w:tc>
      </w:tr>
      <w:tr>
        <w:trPr>
          <w:cantSplit w:val="0"/>
        </w:trPr>
        <w:tc>
          <w:tcPr>
            <w:shd w:fill="ffffff" w:val="clear"/>
            <w:tcMar>
              <w:top w:w="110.0" w:type="dxa"/>
              <w:bottom w:w="110.0" w:type="dxa"/>
              <w:left w:w="100" w:type="dxa"/>
              <w:right w:w="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OutDefenseCount</w:t>
            </w:r>
          </w:p>
        </w:tc>
        <w:tc>
          <w:tcPr>
            <w:shd w:fill="ffffff" w:val="clear"/>
            <w:tcMar>
              <w:top w:w="110.0" w:type="dxa"/>
              <w:bottom w:w="110.0" w:type="dxa"/>
              <w:left w:w="100" w:type="dxa"/>
              <w:right w:w="100" w:type="dxa"/>
            </w:tcMar>
            <w:vAlign w:val="center"/>
            <w:tcW w:w="54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Number of eligible Out reports with a defensive position.</w:t>
            </w:r>
          </w:p>
        </w:tc>
      </w:tr>
    </w:tbl>
    <w:p>
      <w:pPr>
        <w:pStyle w:val="Heading2"/>
        <w:rPr/>
      </w:pPr>
      <w:r>
        <w:rPr>
          <w:rtl w:val="0"/>
        </w:rPr>
        <w:t xml:space="preserve">Timing and missing data</w:t>
      </w:r>
    </w:p>
    <w:p>
      <w:pPr>
        <w:rPr/>
      </w:pPr>
      <w:r>
        <w:rPr>
          <w:rtl w:val="0"/>
        </w:rPr>
        <w:t xml:space="preserve">Historical injury rows require date_modified at or before the simulated cutoff. That date is a reported update-time proxy, not proof of an archived pregame publication. Late and undated rows are excluded. </w:t>
      </w:r>
      <w:r>
        <w:rPr>
          <w:rtl w:val="0"/>
          <w:b w:val="1"/>
        </w:rPr>
        <w:t xml:space="preserve">All 6,068 rows in the downloaded 2025 injury file lack that timestamp</w:t>
      </w:r>
      <w:r>
        <w:rPr>
          <w:rtl w:val="0"/>
        </w:rPr>
        <w:t xml:space="preserve">, so historical 2025 injury features are unavailable. The current 2026 file is also undated, but a real pregame receipt can establish that we possessed a live report by its cutoff.</w:t>
      </w:r>
    </w:p>
    <w:p>
      <w:pPr>
        <w:rPr/>
      </w:pPr>
      <w:r>
        <w:rPr>
          <w:rtl w:val="0"/>
        </w:rPr>
        <w:t xml:space="preserve">The code does not assign Questionable a fixed 50% chance of absence. It keeps statuses separate and lets the classifier learn feature weights. A status known after the forecast cutoff cannot revise an already saved prediction.</w:t>
      </w:r>
    </w:p>
    <w:p>
      <w:pPr>
        <w:pStyle w:val="Heading2"/>
        <w:rPr/>
      </w:pPr>
      <w:r>
        <w:rPr>
          <w:rtl w:val="0"/>
        </w:rPr>
        <w:t xml:space="preserve">What this can and cannot represent</w:t>
      </w:r>
    </w:p>
    <w:p>
      <w:pPr>
        <w:rPr/>
      </w:pPr>
      <w:r>
        <w:rPr>
          <w:rtl w:val="0"/>
        </w:rPr>
        <w:t xml:space="preserve">Out shares measure prior usage, not replacement quality. Rookies with little usage are poorly represented; line and defensive absences are counts. Complete rosters, injured-reserve tracking, replacement depth and confirmed starters remain missing. Causal with-and-without effects are unmeasured.</w:t>
      </w:r>
    </w:p>
    <w:p>
      <w:pPr>
        <w:pStyle w:val="Heading1"/>
        <w:pageBreakBefore w:val="1"/>
        <w:rPr/>
      </w:pPr>
      <w:bookmarkStart w:id="111" w:name="nfl_chapter_11"/>
      <w:r>
        <w:rPr>
          <w:rtl w:val="0"/>
        </w:rPr>
        <w:t xml:space="preserve">11 Evaluation methods</w:t>
      </w:r>
      <w:bookmarkEnd w:id="111"/>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640"/>
        <w:gridCol w:w="3910"/>
        <w:gridCol w:w="3570"/>
      </w:tblGrid>
      <w:tr>
        <w:trPr>
          <w:cantSplit w:val="0"/>
          <w:tblHeader w:val="1"/>
        </w:trPr>
        <w:tc>
          <w:tcPr>
            <w:shd w:fill="f2f2f2" w:val="clear"/>
            <w:tcMar>
              <w:top w:w="110.0" w:type="dxa"/>
              <w:bottom w:w="110.0" w:type="dxa"/>
              <w:left w:w="100" w:type="dxa"/>
              <w:right w:w="100" w:type="dxa"/>
            </w:tcMar>
            <w:vAlign w:val="center"/>
            <w:tcW w:w="16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Metric</w:t>
            </w:r>
          </w:p>
        </w:tc>
        <w:tc>
          <w:tcPr>
            <w:shd w:fill="f2f2f2" w:val="clear"/>
            <w:tcMar>
              <w:top w:w="110.0" w:type="dxa"/>
              <w:bottom w:w="110.0" w:type="dxa"/>
              <w:left w:w="100" w:type="dxa"/>
              <w:right w:w="100" w:type="dxa"/>
            </w:tcMar>
            <w:vAlign w:val="center"/>
            <w:tcW w:w="39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Calculation and direction</w:t>
            </w:r>
          </w:p>
        </w:tc>
        <w:tc>
          <w:tcPr>
            <w:shd w:fill="f2f2f2" w:val="clear"/>
            <w:tcMar>
              <w:top w:w="110.0" w:type="dxa"/>
              <w:bottom w:w="110.0" w:type="dxa"/>
              <w:left w:w="100" w:type="dxa"/>
              <w:right w:w="100" w:type="dxa"/>
            </w:tcMar>
            <w:vAlign w:val="center"/>
            <w:tcW w:w="35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Interpretation</w:t>
            </w:r>
          </w:p>
        </w:tc>
      </w:tr>
      <w:tr>
        <w:trPr>
          <w:cantSplit w:val="0"/>
        </w:trPr>
        <w:tc>
          <w:tcPr>
            <w:shd w:fill="ffffff" w:val="clear"/>
            <w:tcMar>
              <w:top w:w="110.0" w:type="dxa"/>
              <w:bottom w:w="110.0" w:type="dxa"/>
              <w:left w:w="100" w:type="dxa"/>
              <w:right w:w="100" w:type="dxa"/>
            </w:tcMar>
            <w:vAlign w:val="center"/>
            <w:tcW w:w="16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Accuracy</w:t>
            </w:r>
          </w:p>
        </w:tc>
        <w:tc>
          <w:tcPr>
            <w:shd w:fill="ffffff" w:val="clear"/>
            <w:tcMar>
              <w:top w:w="110.0" w:type="dxa"/>
              <w:bottom w:w="110.0" w:type="dxa"/>
              <w:left w:w="100" w:type="dxa"/>
              <w:right w:w="100" w:type="dxa"/>
            </w:tcMar>
            <w:vAlign w:val="center"/>
            <w:tcW w:w="39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Correct unique most-probable outcomes / classified games. Higher is better.</w:t>
            </w:r>
          </w:p>
        </w:tc>
        <w:tc>
          <w:tcPr>
            <w:shd w:fill="ffffff" w:val="clear"/>
            <w:tcMar>
              <w:top w:w="110.0" w:type="dxa"/>
              <w:bottom w:w="110.0" w:type="dxa"/>
              <w:left w:w="100" w:type="dxa"/>
              <w:right w:w="100" w:type="dxa"/>
            </w:tcMar>
            <w:vAlign w:val="center"/>
            <w:tcW w:w="35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Counts winner selection; does not measure strength of probability estimates.</w:t>
            </w:r>
          </w:p>
        </w:tc>
      </w:tr>
      <w:tr>
        <w:trPr>
          <w:cantSplit w:val="0"/>
        </w:trPr>
        <w:tc>
          <w:tcPr>
            <w:shd w:fill="ffffff" w:val="clear"/>
            <w:tcMar>
              <w:top w:w="110.0" w:type="dxa"/>
              <w:bottom w:w="110.0" w:type="dxa"/>
              <w:left w:w="100" w:type="dxa"/>
              <w:right w:w="100" w:type="dxa"/>
            </w:tcMar>
            <w:vAlign w:val="center"/>
            <w:tcW w:w="16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Coverage</w:t>
            </w:r>
          </w:p>
        </w:tc>
        <w:tc>
          <w:tcPr>
            <w:shd w:fill="ffffff" w:val="clear"/>
            <w:tcMar>
              <w:top w:w="110.0" w:type="dxa"/>
              <w:bottom w:w="110.0" w:type="dxa"/>
              <w:left w:w="100" w:type="dxa"/>
              <w:right w:w="100" w:type="dxa"/>
            </w:tcMar>
            <w:vAlign w:val="center"/>
            <w:tcW w:w="39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Classified / scored games.</w:t>
            </w:r>
          </w:p>
        </w:tc>
        <w:tc>
          <w:tcPr>
            <w:shd w:fill="ffffff" w:val="clear"/>
            <w:tcMar>
              <w:top w:w="110.0" w:type="dxa"/>
              <w:bottom w:w="110.0" w:type="dxa"/>
              <w:left w:w="100" w:type="dxa"/>
              <w:right w:w="100" w:type="dxa"/>
            </w:tcMar>
            <w:vAlign w:val="center"/>
            <w:tcW w:w="35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An exact tie for highest probability abstains. Report coverage with accuracy.</w:t>
            </w:r>
          </w:p>
        </w:tc>
      </w:tr>
      <w:tr>
        <w:trPr>
          <w:cantSplit w:val="0"/>
        </w:trPr>
        <w:tc>
          <w:tcPr>
            <w:shd w:fill="ffffff" w:val="clear"/>
            <w:tcMar>
              <w:top w:w="110.0" w:type="dxa"/>
              <w:bottom w:w="110.0" w:type="dxa"/>
              <w:left w:w="100" w:type="dxa"/>
              <w:right w:w="100" w:type="dxa"/>
            </w:tcMar>
            <w:vAlign w:val="center"/>
            <w:tcW w:w="16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Log loss</w:t>
            </w:r>
          </w:p>
        </w:tc>
        <w:tc>
          <w:tcPr>
            <w:shd w:fill="ffffff" w:val="clear"/>
            <w:tcMar>
              <w:top w:w="110.0" w:type="dxa"/>
              <w:bottom w:w="110.0" w:type="dxa"/>
              <w:left w:w="100" w:type="dxa"/>
              <w:right w:w="100" w:type="dxa"/>
            </w:tcMar>
            <w:vAlign w:val="center"/>
            <w:tcW w:w="39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Mean −ln(max(probability of observed outcome, 1e−15)). Lower is better.</w:t>
            </w:r>
          </w:p>
        </w:tc>
        <w:tc>
          <w:tcPr>
            <w:shd w:fill="ffffff" w:val="clear"/>
            <w:tcMar>
              <w:top w:w="110.0" w:type="dxa"/>
              <w:bottom w:w="110.0" w:type="dxa"/>
              <w:left w:w="100" w:type="dxa"/>
              <w:right w:w="100" w:type="dxa"/>
            </w:tcMar>
            <w:vAlign w:val="center"/>
            <w:tcW w:w="35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Penalizes confident mistakes; primary model-selection metric.</w:t>
            </w:r>
          </w:p>
        </w:tc>
      </w:tr>
      <w:tr>
        <w:trPr>
          <w:cantSplit w:val="0"/>
        </w:trPr>
        <w:tc>
          <w:tcPr>
            <w:shd w:fill="ffffff" w:val="clear"/>
            <w:tcMar>
              <w:top w:w="110.0" w:type="dxa"/>
              <w:bottom w:w="110.0" w:type="dxa"/>
              <w:left w:w="100" w:type="dxa"/>
              <w:right w:w="100" w:type="dxa"/>
            </w:tcMar>
            <w:vAlign w:val="center"/>
            <w:tcW w:w="16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Brier score</w:t>
            </w:r>
          </w:p>
        </w:tc>
        <w:tc>
          <w:tcPr>
            <w:shd w:fill="ffffff" w:val="clear"/>
            <w:tcMar>
              <w:top w:w="110.0" w:type="dxa"/>
              <w:bottom w:w="110.0" w:type="dxa"/>
              <w:left w:w="100" w:type="dxa"/>
              <w:right w:w="100" w:type="dxa"/>
            </w:tcMar>
            <w:vAlign w:val="center"/>
            <w:tcW w:w="39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Mean sum of squared errors over home win, away win and tie. Lower is better.</w:t>
            </w:r>
          </w:p>
        </w:tc>
        <w:tc>
          <w:tcPr>
            <w:shd w:fill="ffffff" w:val="clear"/>
            <w:tcMar>
              <w:top w:w="110.0" w:type="dxa"/>
              <w:bottom w:w="110.0" w:type="dxa"/>
              <w:left w:w="100" w:type="dxa"/>
              <w:right w:w="100" w:type="dxa"/>
            </w:tcMar>
            <w:vAlign w:val="center"/>
            <w:tcW w:w="35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Unscaled three-class range 0–2. Do not compare blindly to a binary or rescaled score.</w:t>
            </w:r>
          </w:p>
        </w:tc>
      </w:tr>
      <w:tr>
        <w:trPr>
          <w:cantSplit w:val="0"/>
        </w:trPr>
        <w:tc>
          <w:tcPr>
            <w:shd w:fill="ffffff" w:val="clear"/>
            <w:tcMar>
              <w:top w:w="110.0" w:type="dxa"/>
              <w:bottom w:w="110.0" w:type="dxa"/>
              <w:left w:w="100" w:type="dxa"/>
              <w:right w:w="100" w:type="dxa"/>
            </w:tcMar>
            <w:vAlign w:val="center"/>
            <w:tcW w:w="16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Calibration bins</w:t>
            </w:r>
          </w:p>
        </w:tc>
        <w:tc>
          <w:tcPr>
            <w:shd w:fill="ffffff" w:val="clear"/>
            <w:tcMar>
              <w:top w:w="110.0" w:type="dxa"/>
              <w:bottom w:w="110.0" w:type="dxa"/>
              <w:left w:w="100" w:type="dxa"/>
              <w:right w:w="100" w:type="dxa"/>
            </w:tcMar>
            <w:vAlign w:val="center"/>
            <w:tcW w:w="39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Ten fixed equal-width probability bins per class.</w:t>
            </w:r>
          </w:p>
        </w:tc>
        <w:tc>
          <w:tcPr>
            <w:shd w:fill="ffffff" w:val="clear"/>
            <w:tcMar>
              <w:top w:w="110.0" w:type="dxa"/>
              <w:bottom w:w="110.0" w:type="dxa"/>
              <w:left w:w="100" w:type="dxa"/>
              <w:right w:w="100" w:type="dxa"/>
            </w:tcMar>
            <w:vAlign w:val="center"/>
            <w:tcW w:w="35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Compare average probabilities with observed rates; descriptive, not a fitted correction.</w:t>
            </w:r>
          </w:p>
        </w:tc>
      </w:tr>
      <w:tr>
        <w:trPr>
          <w:cantSplit w:val="0"/>
        </w:trPr>
        <w:tc>
          <w:tcPr>
            <w:shd w:fill="ffffff" w:val="clear"/>
            <w:tcMar>
              <w:top w:w="110.0" w:type="dxa"/>
              <w:bottom w:w="110.0" w:type="dxa"/>
              <w:left w:w="100" w:type="dxa"/>
              <w:right w:w="100" w:type="dxa"/>
            </w:tcMar>
            <w:vAlign w:val="center"/>
            <w:tcW w:w="16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Paired improvement</w:t>
            </w:r>
          </w:p>
        </w:tc>
        <w:tc>
          <w:tcPr>
            <w:shd w:fill="ffffff" w:val="clear"/>
            <w:tcMar>
              <w:top w:w="110.0" w:type="dxa"/>
              <w:bottom w:w="110.0" w:type="dxa"/>
              <w:left w:w="100" w:type="dxa"/>
              <w:right w:w="100" w:type="dxa"/>
            </w:tcMar>
            <w:vAlign w:val="center"/>
            <w:tcW w:w="39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Reference loss minus model loss on the same games.</w:t>
            </w:r>
          </w:p>
        </w:tc>
        <w:tc>
          <w:tcPr>
            <w:shd w:fill="ffffff" w:val="clear"/>
            <w:tcMar>
              <w:top w:w="110.0" w:type="dxa"/>
              <w:bottom w:w="110.0" w:type="dxa"/>
              <w:left w:w="100" w:type="dxa"/>
              <w:right w:w="100" w:type="dxa"/>
            </w:tcMar>
            <w:vAlign w:val="center"/>
            <w:tcW w:w="35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Positive means the model had lower measured loss on that sample.</w:t>
            </w:r>
          </w:p>
        </w:tc>
      </w:tr>
    </w:tbl>
    <w:p>
      <w:pPr>
        <w:pStyle w:val="Heading2"/>
        <w:rPr/>
      </w:pPr>
      <w:r>
        <w:rPr>
          <w:rtl w:val="0"/>
        </w:rPr>
        <w:t xml:space="preserve">Why accuracy and probability quality differ</w:t>
      </w:r>
    </w:p>
    <w:p>
      <w:pPr>
        <w:rPr/>
      </w:pPr>
      <w:r>
        <w:rPr>
          <w:rtl w:val="0"/>
        </w:rPr>
        <w:t xml:space="preserve">Consider an illustrative binary simplification: both a 51% forecast and a 90% forecast select the same winner. If that team loses, both are equally wrong for accuracy, but the 90% forecast receives a larger log-loss penalty. A model can select fewer winners yet assign better probabilities on average. That is why the player-form result is not contradictory: its accuracy fell slightly while log loss improved slightly on the exposed 2024–2025 sample.</w:t>
      </w:r>
    </w:p>
    <w:p>
      <w:pPr>
        <w:pStyle w:val="Heading2"/>
        <w:rPr/>
      </w:pPr>
      <w:r>
        <w:rPr>
          <w:rtl w:val="0"/>
        </w:rPr>
        <w:t xml:space="preserve">Uncertainty and fair comparisons</w:t>
      </w:r>
    </w:p>
    <w:p>
      <w:pPr>
        <w:rPr/>
      </w:pPr>
      <w:r>
        <w:rPr>
          <w:rtl w:val="0"/>
        </w:rPr>
        <w:t xml:space="preserve">The original team reports use 2,000 paired bootstrap resamples of whole NFL season-week blocks, seed 20260926, and report 95% percentile intervals. Resampling whole weeks retains within-week grouping. It does not include all cross-week dependence, model-training uncertainty, source errors or validation-selection optimism. The 2024–2025 sample has 36 season-week blocks.</w:t>
      </w:r>
    </w:p>
    <w:p>
      <w:pPr>
        <w:rPr/>
      </w:pPr>
      <w:r>
        <w:rPr>
          <w:rtl w:val="0"/>
        </w:rPr>
        <w:t xml:space="preserve">Prospective comparisons require common game IDs and cutoffs and show issued and pending counts. With no finals, scores are null. No post-result confidence filter, automatic promotion, profit estimate or price benchmark is implemented.</w:t>
      </w:r>
    </w:p>
    <w:p>
      <w:pPr>
        <w:pStyle w:val="Heading1"/>
        <w:pageBreakBefore w:val="1"/>
        <w:rPr/>
      </w:pPr>
      <w:bookmarkStart w:id="112" w:name="nfl_chapter_12"/>
      <w:r>
        <w:rPr>
          <w:rtl w:val="0"/>
        </w:rPr>
        <w:t xml:space="preserve">12 Historical results</w:t>
      </w:r>
      <w:bookmarkEnd w:id="112"/>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30"/>
        <w:gridCol w:w="1750"/>
        <w:gridCol w:w="1660"/>
        <w:gridCol w:w="1920"/>
        <w:gridCol w:w="1660"/>
      </w:tblGrid>
      <w:tr>
        <w:trPr>
          <w:cantSplit w:val="0"/>
          <w:tblHeader w:val="1"/>
        </w:trPr>
        <w:tc>
          <w:tcPr>
            <w:shd w:fill="f2f2f2" w:val="clear"/>
            <w:tcMar>
              <w:top w:w="110.0" w:type="dxa"/>
              <w:bottom w:w="110.0" w:type="dxa"/>
              <w:left w:w="100" w:type="dxa"/>
              <w:right w:w="100" w:type="dxa"/>
            </w:tcMar>
            <w:vAlign w:val="center"/>
            <w:tcW w:w="21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Model or benchmark</w:t>
            </w:r>
          </w:p>
        </w:tc>
        <w:tc>
          <w:tcPr>
            <w:shd w:fill="f2f2f2" w:val="clear"/>
            <w:tcMar>
              <w:top w:w="110.0" w:type="dxa"/>
              <w:bottom w:w="110.0" w:type="dxa"/>
              <w:left w:w="100" w:type="dxa"/>
              <w:right w:w="100" w:type="dxa"/>
            </w:tcMar>
            <w:vAlign w:val="center"/>
            <w:tcW w:w="17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2023 accuracy</w:t>
            </w:r>
          </w:p>
        </w:tc>
        <w:tc>
          <w:tcPr>
            <w:shd w:fill="f2f2f2" w:val="clear"/>
            <w:tcMar>
              <w:top w:w="110.0" w:type="dxa"/>
              <w:bottom w:w="110.0" w:type="dxa"/>
              <w:left w:w="100" w:type="dxa"/>
              <w:right w:w="100" w:type="dxa"/>
            </w:tcMar>
            <w:vAlign w:val="center"/>
            <w:tcW w:w="1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2023 log loss</w:t>
            </w:r>
          </w:p>
        </w:tc>
        <w:tc>
          <w:tcPr>
            <w:shd w:fill="f2f2f2" w:val="clear"/>
            <w:tcMar>
              <w:top w:w="110.0" w:type="dxa"/>
              <w:bottom w:w="110.0" w:type="dxa"/>
              <w:left w:w="100" w:type="dxa"/>
              <w:right w:w="100" w:type="dxa"/>
            </w:tcMar>
            <w:vAlign w:val="center"/>
            <w:tcW w:w="19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2024–2025 accuracy</w:t>
            </w:r>
          </w:p>
        </w:tc>
        <w:tc>
          <w:tcPr>
            <w:shd w:fill="f2f2f2" w:val="clear"/>
            <w:tcMar>
              <w:top w:w="110.0" w:type="dxa"/>
              <w:bottom w:w="110.0" w:type="dxa"/>
              <w:left w:w="100" w:type="dxa"/>
              <w:right w:w="100" w:type="dxa"/>
            </w:tcMar>
            <w:vAlign w:val="center"/>
            <w:tcW w:w="1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2024–2025 log loss</w:t>
            </w:r>
          </w:p>
        </w:tc>
      </w:tr>
      <w:tr>
        <w:trPr>
          <w:cantSplit w:val="0"/>
        </w:trPr>
        <w:tc>
          <w:tcPr>
            <w:shd w:fill="ffffff" w:val="clear"/>
            <w:tcMar>
              <w:top w:w="110.0" w:type="dxa"/>
              <w:bottom w:w="110.0" w:type="dxa"/>
              <w:left w:w="100" w:type="dxa"/>
              <w:right w:w="100" w:type="dxa"/>
            </w:tcMar>
            <w:vAlign w:val="center"/>
            <w:tcW w:w="21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Constant frequency</w:t>
            </w:r>
          </w:p>
        </w:tc>
        <w:tc>
          <w:tcPr>
            <w:shd w:fill="ffffff" w:val="clear"/>
            <w:tcMar>
              <w:top w:w="110.0" w:type="dxa"/>
              <w:bottom w:w="110.0" w:type="dxa"/>
              <w:left w:w="100" w:type="dxa"/>
              <w:right w:w="100" w:type="dxa"/>
            </w:tcMar>
            <w:vAlign w:val="center"/>
            <w:tcW w:w="17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55.5% 151/272</w:t>
            </w:r>
          </w:p>
        </w:tc>
        <w:tc>
          <w:tcPr>
            <w:shd w:fill="ffffff" w:val="clear"/>
            <w:tcMar>
              <w:top w:w="110.0" w:type="dxa"/>
              <w:bottom w:w="110.0" w:type="dxa"/>
              <w:left w:w="100" w:type="dxa"/>
              <w:right w:w="100" w:type="dxa"/>
            </w:tcMar>
            <w:vAlign w:val="center"/>
            <w:tcW w:w="1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0.691514</w:t>
            </w:r>
          </w:p>
        </w:tc>
        <w:tc>
          <w:tcPr>
            <w:shd w:fill="ffffff" w:val="clear"/>
            <w:tcMar>
              <w:top w:w="110.0" w:type="dxa"/>
              <w:bottom w:w="110.0" w:type="dxa"/>
              <w:left w:w="100" w:type="dxa"/>
              <w:right w:w="100" w:type="dxa"/>
            </w:tcMar>
            <w:vAlign w:val="center"/>
            <w:tcW w:w="19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53.5% 291/544</w:t>
            </w:r>
          </w:p>
        </w:tc>
        <w:tc>
          <w:tcPr>
            <w:shd w:fill="ffffff" w:val="clear"/>
            <w:tcMar>
              <w:top w:w="110.0" w:type="dxa"/>
              <w:bottom w:w="110.0" w:type="dxa"/>
              <w:left w:w="100" w:type="dxa"/>
              <w:right w:w="100" w:type="dxa"/>
            </w:tcMar>
            <w:vAlign w:val="center"/>
            <w:tcW w:w="1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0.703894</w:t>
            </w:r>
          </w:p>
        </w:tc>
      </w:tr>
      <w:tr>
        <w:trPr>
          <w:cantSplit w:val="0"/>
        </w:trPr>
        <w:tc>
          <w:tcPr>
            <w:shd w:fill="ffffff" w:val="clear"/>
            <w:tcMar>
              <w:top w:w="110.0" w:type="dxa"/>
              <w:bottom w:w="110.0" w:type="dxa"/>
              <w:left w:w="100" w:type="dxa"/>
              <w:right w:w="100" w:type="dxa"/>
            </w:tcMar>
            <w:vAlign w:val="center"/>
            <w:tcW w:w="21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Team only</w:t>
            </w:r>
          </w:p>
        </w:tc>
        <w:tc>
          <w:tcPr>
            <w:shd w:fill="ffffff" w:val="clear"/>
            <w:tcMar>
              <w:top w:w="110.0" w:type="dxa"/>
              <w:bottom w:w="110.0" w:type="dxa"/>
              <w:left w:w="100" w:type="dxa"/>
              <w:right w:w="100" w:type="dxa"/>
            </w:tcMar>
            <w:vAlign w:val="center"/>
            <w:tcW w:w="17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59.9% 163/272</w:t>
            </w:r>
          </w:p>
        </w:tc>
        <w:tc>
          <w:tcPr>
            <w:shd w:fill="ffffff" w:val="clear"/>
            <w:tcMar>
              <w:top w:w="110.0" w:type="dxa"/>
              <w:bottom w:w="110.0" w:type="dxa"/>
              <w:left w:w="100" w:type="dxa"/>
              <w:right w:w="100" w:type="dxa"/>
            </w:tcMar>
            <w:vAlign w:val="center"/>
            <w:tcW w:w="1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0.661379</w:t>
            </w:r>
          </w:p>
        </w:tc>
        <w:tc>
          <w:tcPr>
            <w:shd w:fill="ffffff" w:val="clear"/>
            <w:tcMar>
              <w:top w:w="110.0" w:type="dxa"/>
              <w:bottom w:w="110.0" w:type="dxa"/>
              <w:left w:w="100" w:type="dxa"/>
              <w:right w:w="100" w:type="dxa"/>
            </w:tcMar>
            <w:vAlign w:val="center"/>
            <w:tcW w:w="19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62.5% 340/544</w:t>
            </w:r>
          </w:p>
        </w:tc>
        <w:tc>
          <w:tcPr>
            <w:shd w:fill="ffffff" w:val="clear"/>
            <w:tcMar>
              <w:top w:w="110.0" w:type="dxa"/>
              <w:bottom w:w="110.0" w:type="dxa"/>
              <w:left w:w="100" w:type="dxa"/>
              <w:right w:w="100" w:type="dxa"/>
            </w:tcMar>
            <w:vAlign w:val="center"/>
            <w:tcW w:w="1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0.651701</w:t>
            </w:r>
          </w:p>
        </w:tc>
      </w:tr>
      <w:tr>
        <w:trPr>
          <w:cantSplit w:val="0"/>
        </w:trPr>
        <w:tc>
          <w:tcPr>
            <w:shd w:fill="ffffff" w:val="clear"/>
            <w:tcMar>
              <w:top w:w="110.0" w:type="dxa"/>
              <w:bottom w:w="110.0" w:type="dxa"/>
              <w:left w:w="100" w:type="dxa"/>
              <w:right w:w="100" w:type="dxa"/>
            </w:tcMar>
            <w:vAlign w:val="center"/>
            <w:tcW w:w="21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Player form</w:t>
            </w:r>
          </w:p>
        </w:tc>
        <w:tc>
          <w:tcPr>
            <w:shd w:fill="ffffff" w:val="clear"/>
            <w:tcMar>
              <w:top w:w="110.0" w:type="dxa"/>
              <w:bottom w:w="110.0" w:type="dxa"/>
              <w:left w:w="100" w:type="dxa"/>
              <w:right w:w="100" w:type="dxa"/>
            </w:tcMar>
            <w:vAlign w:val="center"/>
            <w:tcW w:w="17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60.3% 164/272</w:t>
            </w:r>
          </w:p>
        </w:tc>
        <w:tc>
          <w:tcPr>
            <w:shd w:fill="ffffff" w:val="clear"/>
            <w:tcMar>
              <w:top w:w="110.0" w:type="dxa"/>
              <w:bottom w:w="110.0" w:type="dxa"/>
              <w:left w:w="100" w:type="dxa"/>
              <w:right w:w="100" w:type="dxa"/>
            </w:tcMar>
            <w:vAlign w:val="center"/>
            <w:tcW w:w="1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0.674312</w:t>
            </w:r>
          </w:p>
        </w:tc>
        <w:tc>
          <w:tcPr>
            <w:shd w:fill="ffffff" w:val="clear"/>
            <w:tcMar>
              <w:top w:w="110.0" w:type="dxa"/>
              <w:bottom w:w="110.0" w:type="dxa"/>
              <w:left w:w="100" w:type="dxa"/>
              <w:right w:w="100" w:type="dxa"/>
            </w:tcMar>
            <w:vAlign w:val="center"/>
            <w:tcW w:w="19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61.9% 337/544</w:t>
            </w:r>
          </w:p>
        </w:tc>
        <w:tc>
          <w:tcPr>
            <w:shd w:fill="ffffff" w:val="clear"/>
            <w:tcMar>
              <w:top w:w="110.0" w:type="dxa"/>
              <w:bottom w:w="110.0" w:type="dxa"/>
              <w:left w:w="100" w:type="dxa"/>
              <w:right w:w="100" w:type="dxa"/>
            </w:tcMar>
            <w:vAlign w:val="center"/>
            <w:tcW w:w="1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0.649752</w:t>
            </w:r>
          </w:p>
        </w:tc>
      </w:tr>
      <w:tr>
        <w:trPr>
          <w:cantSplit w:val="0"/>
        </w:trPr>
        <w:tc>
          <w:tcPr>
            <w:shd w:fill="ffffff" w:val="clear"/>
            <w:tcMar>
              <w:top w:w="110.0" w:type="dxa"/>
              <w:bottom w:w="110.0" w:type="dxa"/>
              <w:left w:w="100" w:type="dxa"/>
              <w:right w:w="100" w:type="dxa"/>
            </w:tcMar>
            <w:vAlign w:val="center"/>
            <w:tcW w:w="21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Player availability</w:t>
            </w:r>
          </w:p>
        </w:tc>
        <w:tc>
          <w:tcPr>
            <w:shd w:fill="ffffff" w:val="clear"/>
            <w:tcMar>
              <w:top w:w="110.0" w:type="dxa"/>
              <w:bottom w:w="110.0" w:type="dxa"/>
              <w:left w:w="100" w:type="dxa"/>
              <w:right w:w="100" w:type="dxa"/>
            </w:tcMar>
            <w:vAlign w:val="center"/>
            <w:tcW w:w="17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60.3% 164/272</w:t>
            </w:r>
          </w:p>
        </w:tc>
        <w:tc>
          <w:tcPr>
            <w:shd w:fill="ffffff" w:val="clear"/>
            <w:tcMar>
              <w:top w:w="110.0" w:type="dxa"/>
              <w:bottom w:w="110.0" w:type="dxa"/>
              <w:left w:w="100" w:type="dxa"/>
              <w:right w:w="100" w:type="dxa"/>
            </w:tcMar>
            <w:vAlign w:val="center"/>
            <w:tcW w:w="1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0.664502</w:t>
            </w:r>
          </w:p>
        </w:tc>
        <w:tc>
          <w:tcPr>
            <w:shd w:fill="ffffff" w:val="clear"/>
            <w:tcMar>
              <w:top w:w="110.0" w:type="dxa"/>
              <w:bottom w:w="110.0" w:type="dxa"/>
              <w:left w:w="100" w:type="dxa"/>
              <w:right w:w="100" w:type="dxa"/>
            </w:tcMar>
            <w:vAlign w:val="center"/>
            <w:tcW w:w="19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61.4% 334/544</w:t>
            </w:r>
          </w:p>
        </w:tc>
        <w:tc>
          <w:tcPr>
            <w:shd w:fill="ffffff" w:val="clear"/>
            <w:tcMar>
              <w:top w:w="110.0" w:type="dxa"/>
              <w:bottom w:w="110.0" w:type="dxa"/>
              <w:left w:w="100" w:type="dxa"/>
              <w:right w:w="100" w:type="dxa"/>
            </w:tcMar>
            <w:vAlign w:val="center"/>
            <w:tcW w:w="1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0.660591</w:t>
            </w:r>
          </w:p>
        </w:tc>
      </w:tr>
    </w:tbl>
    <w:p>
      <w:pPr>
        <w:rPr/>
      </w:pPr>
      <w:r>
        <w:rPr>
          <w:rtl w:val="0"/>
        </w:rPr>
        <w:t xml:space="preserve">2023 selected model settings and is development evidence. The team-only 2024–2025 result was the original frozen test. The player comparison on those years is exploratory, not an independent test. All rows classify every evaluated game. The best 2023 log loss among the two player challengers belongs to availability, but both player variants have worse 2023 log loss than the team model.</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60"/>
        <w:gridCol w:w="2220"/>
        <w:gridCol w:w="2220"/>
        <w:gridCol w:w="2120"/>
      </w:tblGrid>
      <w:tr>
        <w:trPr>
          <w:cantSplit w:val="0"/>
          <w:tblHeader w:val="1"/>
        </w:trPr>
        <w:tc>
          <w:tcPr>
            <w:shd w:fill="f2f2f2" w:val="clear"/>
            <w:tcMar>
              <w:top w:w="110.0" w:type="dxa"/>
              <w:bottom w:w="110.0" w:type="dxa"/>
              <w:left w:w="100" w:type="dxa"/>
              <w:right w:w="100" w:type="dxa"/>
            </w:tcMar>
            <w:vAlign w:val="center"/>
            <w:tcW w:w="2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Model</w:t>
            </w:r>
          </w:p>
        </w:tc>
        <w:tc>
          <w:tcPr>
            <w:shd w:fill="f2f2f2" w:val="clear"/>
            <w:tcMar>
              <w:top w:w="110.0" w:type="dxa"/>
              <w:bottom w:w="110.0" w:type="dxa"/>
              <w:left w:w="100" w:type="dxa"/>
              <w:right w:w="100" w:type="dxa"/>
            </w:tcMar>
            <w:vAlign w:val="center"/>
            <w:tcW w:w="22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2024 accuracy</w:t>
            </w:r>
          </w:p>
        </w:tc>
        <w:tc>
          <w:tcPr>
            <w:shd w:fill="f2f2f2" w:val="clear"/>
            <w:tcMar>
              <w:top w:w="110.0" w:type="dxa"/>
              <w:bottom w:w="110.0" w:type="dxa"/>
              <w:left w:w="100" w:type="dxa"/>
              <w:right w:w="100" w:type="dxa"/>
            </w:tcMar>
            <w:vAlign w:val="center"/>
            <w:tcW w:w="22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2025 accuracy</w:t>
            </w:r>
          </w:p>
        </w:tc>
        <w:tc>
          <w:tcPr>
            <w:shd w:fill="f2f2f2" w:val="clear"/>
            <w:tcMar>
              <w:top w:w="110.0" w:type="dxa"/>
              <w:bottom w:w="110.0" w:type="dxa"/>
              <w:left w:w="100" w:type="dxa"/>
              <w:right w:w="100" w:type="dxa"/>
            </w:tcMar>
            <w:vAlign w:val="center"/>
            <w:tcW w:w="21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2024–2025 Brier</w:t>
            </w:r>
          </w:p>
        </w:tc>
      </w:tr>
      <w:tr>
        <w:trPr>
          <w:cantSplit w:val="0"/>
        </w:trPr>
        <w:tc>
          <w:tcPr>
            <w:shd w:fill="ffffff" w:val="clear"/>
            <w:tcMar>
              <w:top w:w="110.0" w:type="dxa"/>
              <w:bottom w:w="110.0" w:type="dxa"/>
              <w:left w:w="100" w:type="dxa"/>
              <w:right w:w="100" w:type="dxa"/>
            </w:tcMar>
            <w:vAlign w:val="center"/>
            <w:tcW w:w="2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Team only</w:t>
            </w:r>
          </w:p>
        </w:tc>
        <w:tc>
          <w:tcPr>
            <w:shd w:fill="ffffff" w:val="clear"/>
            <w:tcMar>
              <w:top w:w="110.0" w:type="dxa"/>
              <w:bottom w:w="110.0" w:type="dxa"/>
              <w:left w:w="100" w:type="dxa"/>
              <w:right w:w="100" w:type="dxa"/>
            </w:tcMar>
            <w:vAlign w:val="center"/>
            <w:tcW w:w="22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63.2% 172/272</w:t>
            </w:r>
          </w:p>
        </w:tc>
        <w:tc>
          <w:tcPr>
            <w:shd w:fill="ffffff" w:val="clear"/>
            <w:tcMar>
              <w:top w:w="110.0" w:type="dxa"/>
              <w:bottom w:w="110.0" w:type="dxa"/>
              <w:left w:w="100" w:type="dxa"/>
              <w:right w:w="100" w:type="dxa"/>
            </w:tcMar>
            <w:vAlign w:val="center"/>
            <w:tcW w:w="22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61.8% 168/272</w:t>
            </w:r>
          </w:p>
        </w:tc>
        <w:tc>
          <w:tcPr>
            <w:shd w:fill="ffffff" w:val="clear"/>
            <w:tcMar>
              <w:top w:w="110.0" w:type="dxa"/>
              <w:bottom w:w="110.0" w:type="dxa"/>
              <w:left w:w="100" w:type="dxa"/>
              <w:right w:w="100" w:type="dxa"/>
            </w:tcMar>
            <w:vAlign w:val="center"/>
            <w:tcW w:w="21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0.450083</w:t>
            </w:r>
          </w:p>
        </w:tc>
      </w:tr>
      <w:tr>
        <w:trPr>
          <w:cantSplit w:val="0"/>
        </w:trPr>
        <w:tc>
          <w:tcPr>
            <w:shd w:fill="ffffff" w:val="clear"/>
            <w:tcMar>
              <w:top w:w="110.0" w:type="dxa"/>
              <w:bottom w:w="110.0" w:type="dxa"/>
              <w:left w:w="100" w:type="dxa"/>
              <w:right w:w="100" w:type="dxa"/>
            </w:tcMar>
            <w:vAlign w:val="center"/>
            <w:tcW w:w="2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Player form</w:t>
            </w:r>
          </w:p>
        </w:tc>
        <w:tc>
          <w:tcPr>
            <w:shd w:fill="ffffff" w:val="clear"/>
            <w:tcMar>
              <w:top w:w="110.0" w:type="dxa"/>
              <w:bottom w:w="110.0" w:type="dxa"/>
              <w:left w:w="100" w:type="dxa"/>
              <w:right w:w="100" w:type="dxa"/>
            </w:tcMar>
            <w:vAlign w:val="center"/>
            <w:tcW w:w="22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63.2% 172/272</w:t>
            </w:r>
          </w:p>
        </w:tc>
        <w:tc>
          <w:tcPr>
            <w:shd w:fill="ffffff" w:val="clear"/>
            <w:tcMar>
              <w:top w:w="110.0" w:type="dxa"/>
              <w:bottom w:w="110.0" w:type="dxa"/>
              <w:left w:w="100" w:type="dxa"/>
              <w:right w:w="100" w:type="dxa"/>
            </w:tcMar>
            <w:vAlign w:val="center"/>
            <w:tcW w:w="22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60.7% 165/272</w:t>
            </w:r>
          </w:p>
        </w:tc>
        <w:tc>
          <w:tcPr>
            <w:shd w:fill="ffffff" w:val="clear"/>
            <w:tcMar>
              <w:top w:w="110.0" w:type="dxa"/>
              <w:bottom w:w="110.0" w:type="dxa"/>
              <w:left w:w="100" w:type="dxa"/>
              <w:right w:w="100" w:type="dxa"/>
            </w:tcMar>
            <w:vAlign w:val="center"/>
            <w:tcW w:w="21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0.448048</w:t>
            </w:r>
          </w:p>
        </w:tc>
      </w:tr>
      <w:tr>
        <w:trPr>
          <w:cantSplit w:val="0"/>
        </w:trPr>
        <w:tc>
          <w:tcPr>
            <w:shd w:fill="ffffff" w:val="clear"/>
            <w:tcMar>
              <w:top w:w="110.0" w:type="dxa"/>
              <w:bottom w:w="110.0" w:type="dxa"/>
              <w:left w:w="100" w:type="dxa"/>
              <w:right w:w="100" w:type="dxa"/>
            </w:tcMar>
            <w:vAlign w:val="center"/>
            <w:tcW w:w="2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Player availability</w:t>
            </w:r>
          </w:p>
        </w:tc>
        <w:tc>
          <w:tcPr>
            <w:shd w:fill="ffffff" w:val="clear"/>
            <w:tcMar>
              <w:top w:w="110.0" w:type="dxa"/>
              <w:bottom w:w="110.0" w:type="dxa"/>
              <w:left w:w="100" w:type="dxa"/>
              <w:right w:w="100" w:type="dxa"/>
            </w:tcMar>
            <w:vAlign w:val="center"/>
            <w:tcW w:w="22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64.0% 174/272</w:t>
            </w:r>
          </w:p>
        </w:tc>
        <w:tc>
          <w:tcPr>
            <w:shd w:fill="ffffff" w:val="clear"/>
            <w:tcMar>
              <w:top w:w="110.0" w:type="dxa"/>
              <w:bottom w:w="110.0" w:type="dxa"/>
              <w:left w:w="100" w:type="dxa"/>
              <w:right w:w="100" w:type="dxa"/>
            </w:tcMar>
            <w:vAlign w:val="center"/>
            <w:tcW w:w="22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58.8% 160/272</w:t>
            </w:r>
          </w:p>
        </w:tc>
        <w:tc>
          <w:tcPr>
            <w:shd w:fill="ffffff" w:val="clear"/>
            <w:tcMar>
              <w:top w:w="110.0" w:type="dxa"/>
              <w:bottom w:w="110.0" w:type="dxa"/>
              <w:left w:w="100" w:type="dxa"/>
              <w:right w:w="100" w:type="dxa"/>
            </w:tcMar>
            <w:vAlign w:val="center"/>
            <w:tcW w:w="212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0.457574</w:t>
            </w:r>
          </w:p>
        </w:tc>
      </w:tr>
    </w:tbl>
    <w:p>
      <w:pPr>
        <w:pStyle w:val="Heading2"/>
        <w:rPr/>
      </w:pPr>
      <w:r>
        <w:rPr>
          <w:rtl w:val="0"/>
        </w:rPr>
        <w:t xml:space="preserve">Interpretation</w:t>
      </w:r>
    </w:p>
    <w:p>
      <w:pPr>
        <w:rPr/>
      </w:pPr>
      <w:r>
        <w:rPr>
          <w:rtl w:val="0"/>
        </w:rPr>
        <w:t xml:space="preserve">Adding player form produced three fewer correct winners overall, with a log-loss improvement of 0.001950. Adding availability produced six fewer correct winners and worse log loss by 0.008890. The 2025 injury timestamp gap limits interpretation of that variant. These numbers support continued shadow testing, not a claim that players have already improved the system.</w:t>
      </w:r>
    </w:p>
    <w:p>
      <w:pPr>
        <w:rPr/>
      </w:pPr>
      <w:r>
        <w:rPr>
          <w:rtl w:val="0"/>
        </w:rPr>
        <w:t xml:space="preserve">Against the constant benchmark, the team model’s original test log-loss improvement was 0.052193, or 7.4% relative. Its paired 95% week-bootstrap interval was [0.022453, 0.080909]. The interval favors the team model on this sample under the stated assumptions. The 2023 interval, [−0.004260, 0.058621], includes zero.</w:t>
      </w:r>
    </w:p>
    <w:p>
      <w:pPr>
        <w:rPr/>
      </w:pPr>
      <w:r>
        <w:rPr>
          <w:rtl w:val="0"/>
        </w:rPr>
        <w:t xml:space="preserve">The timing study changed the assumed result delay from 48 to 24 or 72 hours. Twenty-four hours changed no training or validation inputs. Seventy-two hours changed 10 training games and one validation game; maximum fixed-model probability movement was about 1.40 percentage points. Similar loss under these scenarios does not prove historical publication timing.</w:t>
      </w:r>
    </w:p>
    <w:p>
      <w:pPr>
        <w:pStyle w:val="Heading1"/>
        <w:pageBreakBefore w:val="1"/>
        <w:rPr/>
      </w:pPr>
      <w:bookmarkStart w:id="113" w:name="nfl_chapter_13"/>
      <w:r>
        <w:rPr>
          <w:rtl w:val="0"/>
        </w:rPr>
        <w:t xml:space="preserve">13 Live forecast workflow</w:t>
      </w:r>
      <w:bookmarkEnd w:id="113"/>
    </w:p>
    <w:p>
      <w:pPr>
        <w:rPr/>
      </w:pPr>
      <w:r>
        <w:rPr>
          <w:rtl w:val="0"/>
        </w:rPr>
        <w:t xml:space="preserve">The local pipeline currently prepares the next Eastern calendar day’s regular-season games. It loads observed source versions, checks upcoming matchup and kickoff agreement, constructs eligible history, applies frozen coefficients, and writes one forecast per model and event. It refuses a new primary forecast after the required 24-hour lead deadline rather than backdating it.</w:t>
      </w:r>
    </w:p>
    <w:p>
      <w:pPr>
        <w:pStyle w:val="Heading2"/>
        <w:rPr/>
      </w:pPr>
      <w:r>
        <w:rPr>
          <w:rtl w:val="0"/>
        </w:rPr>
        <w:t xml:space="preserve">Evidence retained in each forecast</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Event ID, teams, scheduled kickoff, actual generation time, information cutoff and lead hours.</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Model version, model checksum, training completion time, all three probabilities and the unchanged frequency baseline.</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Actual feature values, prior game IDs, source receipt IDs and checksums; player versions add player identities, injury statuses and timing evidence.</w:t>
      </w:r>
    </w:p>
    <w:p>
      <w:pPr>
        <w:rPr/>
      </w:pPr>
      <w:r>
        <w:rPr>
          <w:rtl w:val="0"/>
        </w:rPr>
        <w:t xml:space="preserve">The player versions use the original team forecast’s cutoff and source versions received by then. Their actual generation time is later, but still before kickoff. This preserves comparable information boundaries. Once written, a forecast is not replaced by a later injury update or a more favorable prediction.</w:t>
      </w:r>
    </w:p>
    <w:p>
      <w:pPr>
        <w:pStyle w:val="Heading2"/>
        <w:rPr/>
      </w:pPr>
      <w:r>
        <w:rPr>
          <w:rtl w:val="0"/>
        </w:rPr>
        <w:t xml:space="preserve">Result import and scoring</w:t>
      </w:r>
    </w:p>
    <w:p>
      <w:pPr>
        <w:rPr/>
      </w:pPr>
      <w:r>
        <w:rPr>
          <w:rtl w:val="0"/>
        </w:rPr>
        <w:t xml:space="preserve">A game is eligible for settlement only when ESPN reports completed = true and state = post, and both sources agree on the final scores. A mismatch stays unresolved. The result receipt’s finalizedAt records when the required evidence had been received, not the actual final whistle. Scoring excludes future forecasts and results unavailable as of the report time.</w:t>
      </w:r>
    </w:p>
    <w:p>
      <w:pPr>
        <w:rPr/>
      </w:pPr>
      <w:r>
        <w:rPr>
          <w:rtl w:val="0"/>
        </w:rPr>
        <w:t xml:space="preserve">Normal recurring settlement checks revisit pending games. A later corrected score can be retained when explicitly rechecked, but already-settled games are not automatically monitored for all future corrections. This is a remaining operational gap.</w:t>
      </w:r>
    </w:p>
    <w:p>
      <w:pPr>
        <w:pStyle w:val="Heading2"/>
        <w:rPr/>
      </w:pPr>
      <w:r>
        <w:rPr>
          <w:rtl w:val="0"/>
        </w:rPr>
        <w:t xml:space="preserve">Different timing from historical simulation</w:t>
      </w:r>
    </w:p>
    <w:p>
      <w:pPr>
        <w:rPr/>
      </w:pPr>
      <w:r>
        <w:rPr>
          <w:rtl w:val="0"/>
        </w:rPr>
        <w:t xml:space="preserve">Historical evaluation uses exactly 24 hours before kickoff. Live forecasts use the actual available cutoff with at least 24 hours of lead, so some are much earlier. This difference can change which injury information is available. Hourly collection creates new source observations; it does not mean the locked predictions are revised hourly.</w:t>
      </w:r>
    </w:p>
    <w:p>
      <w:pPr>
        <w:pStyle w:val="Heading1"/>
        <w:pageBreakBefore w:val="1"/>
        <w:rPr/>
      </w:pPr>
      <w:bookmarkStart w:id="114" w:name="nfl_chapter_14"/>
      <w:r>
        <w:rPr>
          <w:rtl w:val="0"/>
        </w:rPr>
        <w:t xml:space="preserve">14 Forecast snapshot</w:t>
      </w:r>
      <w:bookmarkEnd w:id="114"/>
    </w:p>
    <w:p>
      <w:pPr>
        <w:rPr/>
      </w:pPr>
      <w:r>
        <w:rPr>
          <w:rtl w:val="0"/>
        </w:rPr>
        <w:t xml:space="preserve">Saved forecasts for Sunday 27 September 2026, with Eastern kickoff times. Each model column shows the </w:t>
      </w:r>
      <w:r>
        <w:rPr>
          <w:rtl w:val="0"/>
          <w:b w:val="1"/>
        </w:rPr>
        <w:t xml:space="preserve">designated home team’s win probability</w:t>
      </w:r>
      <w:r>
        <w:rPr>
          <w:rtl w:val="0"/>
        </w:rPr>
        <w:t xml:space="preserve">, excluding ties. Higher values are not automatically better forecasts. Player models remain shadows.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30"/>
        <w:gridCol w:w="1410"/>
        <w:gridCol w:w="1350"/>
        <w:gridCol w:w="1350"/>
        <w:gridCol w:w="1690"/>
        <w:gridCol w:w="1090"/>
      </w:tblGrid>
      <w:tr>
        <w:trPr>
          <w:cantSplit w:val="0"/>
          <w:tblHeader w:val="1"/>
        </w:trPr>
        <w:tc>
          <w:tcPr>
            <w:shd w:fill="f2f2f2"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Matchup</w:t>
            </w:r>
          </w:p>
        </w:tc>
        <w:tc>
          <w:tcPr>
            <w:shd w:fill="f2f2f2"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Kickoff</w:t>
            </w:r>
          </w:p>
        </w:tc>
        <w:tc>
          <w:tcPr>
            <w:shd w:fill="f2f2f2"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Team home win</w:t>
            </w:r>
          </w:p>
        </w:tc>
        <w:tc>
          <w:tcPr>
            <w:shd w:fill="f2f2f2"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Form home win</w:t>
            </w:r>
          </w:p>
        </w:tc>
        <w:tc>
          <w:tcPr>
            <w:shd w:fill="f2f2f2"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Injury home win</w:t>
            </w:r>
          </w:p>
        </w:tc>
        <w:tc>
          <w:tcPr>
            <w:shd w:fill="f2f2f2"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Team tie</w:t>
            </w:r>
          </w:p>
        </w:tc>
      </w:tr>
      <w:tr>
        <w:trPr>
          <w:cantSplit w:val="0"/>
        </w:trPr>
        <w:tc>
          <w:tcPr>
            <w:shd w:fill="ffffff"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CAR at CLE</w:t>
            </w:r>
          </w:p>
        </w:tc>
        <w:tc>
          <w:tcPr>
            <w:shd w:fill="ffffff"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1:00 PM</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49.6%</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48.4%</w:t>
            </w:r>
          </w:p>
        </w:tc>
        <w:tc>
          <w:tcPr>
            <w:shd w:fill="ffffff"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59.2%</w:t>
            </w:r>
          </w:p>
        </w:tc>
        <w:tc>
          <w:tcPr>
            <w:shd w:fill="ffffff"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0.4%</w:t>
            </w:r>
          </w:p>
        </w:tc>
      </w:tr>
      <w:tr>
        <w:trPr>
          <w:cantSplit w:val="0"/>
        </w:trPr>
        <w:tc>
          <w:tcPr>
            <w:shd w:fill="ffffff"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CIN at PIT</w:t>
            </w:r>
          </w:p>
        </w:tc>
        <w:tc>
          <w:tcPr>
            <w:shd w:fill="ffffff"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1:00 PM</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47.2%</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43.5%</w:t>
            </w:r>
          </w:p>
        </w:tc>
        <w:tc>
          <w:tcPr>
            <w:shd w:fill="ffffff"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40.2%</w:t>
            </w:r>
          </w:p>
        </w:tc>
        <w:tc>
          <w:tcPr>
            <w:shd w:fill="ffffff"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0.4%</w:t>
            </w:r>
          </w:p>
        </w:tc>
      </w:tr>
      <w:tr>
        <w:trPr>
          <w:cantSplit w:val="0"/>
        </w:trPr>
        <w:tc>
          <w:tcPr>
            <w:shd w:fill="ffffff"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HOU at IND</w:t>
            </w:r>
          </w:p>
        </w:tc>
        <w:tc>
          <w:tcPr>
            <w:shd w:fill="ffffff"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1:00 PM</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28.1%</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28.5%</w:t>
            </w:r>
          </w:p>
        </w:tc>
        <w:tc>
          <w:tcPr>
            <w:shd w:fill="ffffff"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28.1%</w:t>
            </w:r>
          </w:p>
        </w:tc>
        <w:tc>
          <w:tcPr>
            <w:shd w:fill="ffffff"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0.4%</w:t>
            </w:r>
          </w:p>
        </w:tc>
      </w:tr>
      <w:tr>
        <w:trPr>
          <w:cantSplit w:val="0"/>
        </w:trPr>
        <w:tc>
          <w:tcPr>
            <w:shd w:fill="ffffff"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KC at MIA</w:t>
            </w:r>
          </w:p>
        </w:tc>
        <w:tc>
          <w:tcPr>
            <w:shd w:fill="ffffff"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1:00 PM</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55.4%</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48.2%</w:t>
            </w:r>
          </w:p>
        </w:tc>
        <w:tc>
          <w:tcPr>
            <w:shd w:fill="ffffff"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40.9%</w:t>
            </w:r>
          </w:p>
        </w:tc>
        <w:tc>
          <w:tcPr>
            <w:shd w:fill="ffffff"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0.4%</w:t>
            </w:r>
          </w:p>
        </w:tc>
      </w:tr>
      <w:tr>
        <w:trPr>
          <w:cantSplit w:val="0"/>
        </w:trPr>
        <w:tc>
          <w:tcPr>
            <w:shd w:fill="ffffff"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LAC at BUF</w:t>
            </w:r>
          </w:p>
        </w:tc>
        <w:tc>
          <w:tcPr>
            <w:shd w:fill="ffffff"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1:00 PM</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76.9%</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76.3%</w:t>
            </w:r>
          </w:p>
        </w:tc>
        <w:tc>
          <w:tcPr>
            <w:shd w:fill="ffffff"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79.2%</w:t>
            </w:r>
          </w:p>
        </w:tc>
        <w:tc>
          <w:tcPr>
            <w:shd w:fill="ffffff"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0.3%</w:t>
            </w:r>
          </w:p>
        </w:tc>
      </w:tr>
      <w:tr>
        <w:trPr>
          <w:cantSplit w:val="0"/>
        </w:trPr>
        <w:tc>
          <w:tcPr>
            <w:shd w:fill="ffffff"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NE at JAX</w:t>
            </w:r>
          </w:p>
        </w:tc>
        <w:tc>
          <w:tcPr>
            <w:shd w:fill="ffffff"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1:00 PM</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65.2%</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67.8%</w:t>
            </w:r>
          </w:p>
        </w:tc>
        <w:tc>
          <w:tcPr>
            <w:shd w:fill="ffffff"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70.7%</w:t>
            </w:r>
          </w:p>
        </w:tc>
        <w:tc>
          <w:tcPr>
            <w:shd w:fill="ffffff"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0.3%</w:t>
            </w:r>
          </w:p>
        </w:tc>
      </w:tr>
      <w:tr>
        <w:trPr>
          <w:cantSplit w:val="0"/>
        </w:trPr>
        <w:tc>
          <w:tcPr>
            <w:shd w:fill="ffffff"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NYJ at DET</w:t>
            </w:r>
          </w:p>
        </w:tc>
        <w:tc>
          <w:tcPr>
            <w:shd w:fill="ffffff"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1:00 PM</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69.7%</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71.7%</w:t>
            </w:r>
          </w:p>
        </w:tc>
        <w:tc>
          <w:tcPr>
            <w:shd w:fill="ffffff"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76.9%</w:t>
            </w:r>
          </w:p>
        </w:tc>
        <w:tc>
          <w:tcPr>
            <w:shd w:fill="ffffff"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0.3%</w:t>
            </w:r>
          </w:p>
        </w:tc>
      </w:tr>
      <w:tr>
        <w:trPr>
          <w:cantSplit w:val="0"/>
        </w:trPr>
        <w:tc>
          <w:tcPr>
            <w:shd w:fill="ffffff"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SEA at WAS</w:t>
            </w:r>
          </w:p>
        </w:tc>
        <w:tc>
          <w:tcPr>
            <w:shd w:fill="ffffff"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1:00 PM</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27.7%</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23.7%</w:t>
            </w:r>
          </w:p>
        </w:tc>
        <w:tc>
          <w:tcPr>
            <w:shd w:fill="ffffff"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22.6%</w:t>
            </w:r>
          </w:p>
        </w:tc>
        <w:tc>
          <w:tcPr>
            <w:shd w:fill="ffffff"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0.5%</w:t>
            </w:r>
          </w:p>
        </w:tc>
      </w:tr>
      <w:tr>
        <w:trPr>
          <w:cantSplit w:val="0"/>
        </w:trPr>
        <w:tc>
          <w:tcPr>
            <w:shd w:fill="ffffff"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TEN at NYG</w:t>
            </w:r>
          </w:p>
        </w:tc>
        <w:tc>
          <w:tcPr>
            <w:shd w:fill="ffffff"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1:00 PM</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64.7%</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50.7%</w:t>
            </w:r>
          </w:p>
        </w:tc>
        <w:tc>
          <w:tcPr>
            <w:shd w:fill="ffffff"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52.1%</w:t>
            </w:r>
          </w:p>
        </w:tc>
        <w:tc>
          <w:tcPr>
            <w:shd w:fill="ffffff"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0.3%</w:t>
            </w:r>
          </w:p>
        </w:tc>
      </w:tr>
      <w:tr>
        <w:trPr>
          <w:cantSplit w:val="0"/>
        </w:trPr>
        <w:tc>
          <w:tcPr>
            <w:shd w:fill="ffffff"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ARI at SF</w:t>
            </w:r>
          </w:p>
        </w:tc>
        <w:tc>
          <w:tcPr>
            <w:shd w:fill="ffffff"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4:05 PM</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86.1%</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85.6%</w:t>
            </w:r>
          </w:p>
        </w:tc>
        <w:tc>
          <w:tcPr>
            <w:shd w:fill="ffffff"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83.7%</w:t>
            </w:r>
          </w:p>
        </w:tc>
        <w:tc>
          <w:tcPr>
            <w:shd w:fill="ffffff"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0.2%</w:t>
            </w:r>
          </w:p>
        </w:tc>
      </w:tr>
      <w:tr>
        <w:trPr>
          <w:cantSplit w:val="0"/>
        </w:trPr>
        <w:tc>
          <w:tcPr>
            <w:shd w:fill="ffffff"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MIN at TB</w:t>
            </w:r>
          </w:p>
        </w:tc>
        <w:tc>
          <w:tcPr>
            <w:shd w:fill="ffffff"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4:05 PM</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39.8%</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37.5%</w:t>
            </w:r>
          </w:p>
        </w:tc>
        <w:tc>
          <w:tcPr>
            <w:shd w:fill="ffffff"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36.7%</w:t>
            </w:r>
          </w:p>
        </w:tc>
        <w:tc>
          <w:tcPr>
            <w:shd w:fill="ffffff"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0.5%</w:t>
            </w:r>
          </w:p>
        </w:tc>
      </w:tr>
      <w:tr>
        <w:trPr>
          <w:cantSplit w:val="0"/>
        </w:trPr>
        <w:tc>
          <w:tcPr>
            <w:shd w:fill="ffffff"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BAL at DAL</w:t>
            </w:r>
          </w:p>
        </w:tc>
        <w:tc>
          <w:tcPr>
            <w:shd w:fill="ffffff"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4:25 PM</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40.1%</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36.6%</w:t>
            </w:r>
          </w:p>
        </w:tc>
        <w:tc>
          <w:tcPr>
            <w:shd w:fill="ffffff"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35.3%</w:t>
            </w:r>
          </w:p>
        </w:tc>
        <w:tc>
          <w:tcPr>
            <w:shd w:fill="ffffff"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0.8%</w:t>
            </w:r>
          </w:p>
        </w:tc>
      </w:tr>
      <w:tr>
        <w:trPr>
          <w:cantSplit w:val="0"/>
        </w:trPr>
        <w:tc>
          <w:tcPr>
            <w:shd w:fill="ffffff"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LV at NO</w:t>
            </w:r>
          </w:p>
        </w:tc>
        <w:tc>
          <w:tcPr>
            <w:shd w:fill="ffffff"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4:25 PM</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74.1%</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75.1%</w:t>
            </w:r>
          </w:p>
        </w:tc>
        <w:tc>
          <w:tcPr>
            <w:shd w:fill="ffffff"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74.6%</w:t>
            </w:r>
          </w:p>
        </w:tc>
        <w:tc>
          <w:tcPr>
            <w:shd w:fill="ffffff"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0.3%</w:t>
            </w:r>
          </w:p>
        </w:tc>
      </w:tr>
      <w:tr>
        <w:trPr>
          <w:cantSplit w:val="0"/>
        </w:trPr>
        <w:tc>
          <w:tcPr>
            <w:shd w:fill="ffffff" w:val="clear"/>
            <w:tcMar>
              <w:top w:w="110.0" w:type="dxa"/>
              <w:bottom w:w="110.0" w:type="dxa"/>
              <w:left w:w="100" w:type="dxa"/>
              <w:right w:w="100" w:type="dxa"/>
            </w:tcMar>
            <w:vAlign w:val="center"/>
            <w:tcW w:w="223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LAR at DEN</w:t>
            </w:r>
          </w:p>
        </w:tc>
        <w:tc>
          <w:tcPr>
            <w:shd w:fill="ffffff" w:val="clear"/>
            <w:tcMar>
              <w:top w:w="110.0" w:type="dxa"/>
              <w:bottom w:w="110.0" w:type="dxa"/>
              <w:left w:w="100" w:type="dxa"/>
              <w:right w:w="100" w:type="dxa"/>
            </w:tcMar>
            <w:vAlign w:val="center"/>
            <w:tcW w:w="141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8:20 PM</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52.3%</w:t>
            </w:r>
          </w:p>
        </w:tc>
        <w:tc>
          <w:tcPr>
            <w:shd w:fill="ffffff" w:val="clear"/>
            <w:tcMar>
              <w:top w:w="110.0" w:type="dxa"/>
              <w:bottom w:w="110.0" w:type="dxa"/>
              <w:left w:w="100" w:type="dxa"/>
              <w:right w:w="100" w:type="dxa"/>
            </w:tcMar>
            <w:vAlign w:val="center"/>
            <w:tcW w:w="13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50.4%</w:t>
            </w:r>
          </w:p>
        </w:tc>
        <w:tc>
          <w:tcPr>
            <w:shd w:fill="ffffff" w:val="clear"/>
            <w:tcMar>
              <w:top w:w="110.0" w:type="dxa"/>
              <w:bottom w:w="110.0" w:type="dxa"/>
              <w:left w:w="100" w:type="dxa"/>
              <w:right w:w="100" w:type="dxa"/>
            </w:tcMar>
            <w:vAlign w:val="center"/>
            <w:tcW w:w="16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58.7%</w:t>
            </w:r>
          </w:p>
        </w:tc>
        <w:tc>
          <w:tcPr>
            <w:shd w:fill="ffffff" w:val="clear"/>
            <w:tcMar>
              <w:top w:w="110.0" w:type="dxa"/>
              <w:bottom w:w="110.0" w:type="dxa"/>
              <w:left w:w="100" w:type="dxa"/>
              <w:right w:w="100" w:type="dxa"/>
            </w:tcMar>
            <w:vAlign w:val="center"/>
            <w:tcW w:w="109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0.4%</w:t>
            </w:r>
          </w:p>
        </w:tc>
      </w:tr>
    </w:tbl>
    <w:p>
      <w:pPr>
        <w:rPr/>
      </w:pPr>
      <w:r>
        <w:rPr>
          <w:rtl w:val="0"/>
        </w:rPr>
        <w:t xml:space="preserve">Away win = 100% − home win − tie. Rounding can affect displayed totals. JSON receipts retain full precision and all classes. The Injury column is player-availability-v1.</w:t>
      </w:r>
    </w:p>
    <w:p>
      <w:pPr>
        <w:rPr/>
      </w:pPr>
      <w:r>
        <w:rPr>
          <w:rtl w:val="0"/>
        </w:rPr>
        <w:t xml:space="preserve">BAL at DAL uses a neutral-site flag. Team forecasts were issued about 10:21 AM Eastern on 26 September, followed by player forecasts about 10:29 AM. All had more than 26.5 hours of lead.</w:t>
      </w:r>
    </w:p>
    <w:p>
      <w:pPr>
        <w:rPr/>
      </w:pPr>
      <w:r>
        <w:rPr>
          <w:rtl w:val="0"/>
        </w:rPr>
        <w:t xml:space="preserve">At the 26 September 2026 14:30:49 UTC scoring checkpoint, each model had </w:t>
      </w:r>
      <w:r>
        <w:rPr>
          <w:rtl w:val="0"/>
          <w:b w:val="1"/>
        </w:rPr>
        <w:t xml:space="preserve">14 issued, 14 pending and zero scored games</w:t>
      </w:r>
      <w:r>
        <w:rPr>
          <w:rtl w:val="0"/>
        </w:rPr>
        <w:t xml:space="preserve">. Pending forecasts establish no prospective accuracy or profitability. Local reports will hold later results.</w:t>
      </w:r>
    </w:p>
    <w:p>
      <w:pPr>
        <w:pStyle w:val="Heading1"/>
        <w:pageBreakBefore w:val="1"/>
        <w:rPr/>
      </w:pPr>
      <w:bookmarkStart w:id="115" w:name="nfl_chapter_15"/>
      <w:r>
        <w:rPr>
          <w:rtl w:val="0"/>
        </w:rPr>
        <w:t xml:space="preserve">15 Worked forecast example</w:t>
      </w:r>
      <w:bookmarkEnd w:id="115"/>
    </w:p>
    <w:p>
      <w:pPr>
        <w:rPr/>
      </w:pPr>
      <w:r>
        <w:rPr>
          <w:rtl w:val="0"/>
        </w:rPr>
        <w:t xml:space="preserve">CAR at CLE illustrates what supports a displayed probability. The primary forecast was generated at 14:21:58 UTC on 26 September, with an information cutoff at about 14:21:56 UTC. Kickoff was scheduled for 17:00 UTC on 27 September, giving 26.63 hours of lead.</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240"/>
        <w:gridCol w:w="2440"/>
        <w:gridCol w:w="2440"/>
      </w:tblGrid>
      <w:tr>
        <w:trPr>
          <w:cantSplit w:val="0"/>
          <w:tblHeader w:val="1"/>
        </w:trPr>
        <w:tc>
          <w:tcPr>
            <w:shd w:fill="f2f2f2" w:val="clear"/>
            <w:tcMar>
              <w:top w:w="110.0" w:type="dxa"/>
              <w:bottom w:w="110.0" w:type="dxa"/>
              <w:left w:w="100" w:type="dxa"/>
              <w:right w:w="100" w:type="dxa"/>
            </w:tcMar>
            <w:vAlign w:val="center"/>
            <w:tcW w:w="42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Team history input</w:t>
            </w:r>
          </w:p>
        </w:tc>
        <w:tc>
          <w:tcPr>
            <w:shd w:fill="f2f2f2" w:val="clear"/>
            <w:tcMar>
              <w:top w:w="110.0" w:type="dxa"/>
              <w:bottom w:w="110.0" w:type="dxa"/>
              <w:left w:w="100" w:type="dxa"/>
              <w:right w:w="100" w:type="dxa"/>
            </w:tcMar>
            <w:vAlign w:val="center"/>
            <w:tcW w:w="24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Cleveland home</w:t>
            </w:r>
          </w:p>
        </w:tc>
        <w:tc>
          <w:tcPr>
            <w:shd w:fill="f2f2f2" w:val="clear"/>
            <w:tcMar>
              <w:top w:w="110.0" w:type="dxa"/>
              <w:bottom w:w="110.0" w:type="dxa"/>
              <w:left w:w="100" w:type="dxa"/>
              <w:right w:w="100" w:type="dxa"/>
            </w:tcMar>
            <w:vAlign w:val="center"/>
            <w:tcW w:w="24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Carolina away</w:t>
            </w:r>
          </w:p>
        </w:tc>
      </w:tr>
      <w:tr>
        <w:trPr>
          <w:cantSplit w:val="0"/>
        </w:trPr>
        <w:tc>
          <w:tcPr>
            <w:shd w:fill="ffffff" w:val="clear"/>
            <w:tcMar>
              <w:top w:w="110.0" w:type="dxa"/>
              <w:bottom w:w="110.0" w:type="dxa"/>
              <w:left w:w="100" w:type="dxa"/>
              <w:right w:w="100" w:type="dxa"/>
            </w:tcMar>
            <w:vAlign w:val="center"/>
            <w:tcW w:w="42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Eligible prior games</w:t>
            </w:r>
          </w:p>
        </w:tc>
        <w:tc>
          <w:tcPr>
            <w:shd w:fill="ffffff" w:val="clear"/>
            <w:tcMar>
              <w:top w:w="110.0" w:type="dxa"/>
              <w:bottom w:w="110.0" w:type="dxa"/>
              <w:left w:w="100" w:type="dxa"/>
              <w:right w:w="100" w:type="dxa"/>
            </w:tcMar>
            <w:vAlign w:val="center"/>
            <w:tcW w:w="24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8</w:t>
            </w:r>
          </w:p>
        </w:tc>
        <w:tc>
          <w:tcPr>
            <w:shd w:fill="ffffff" w:val="clear"/>
            <w:tcMar>
              <w:top w:w="110.0" w:type="dxa"/>
              <w:bottom w:w="110.0" w:type="dxa"/>
              <w:left w:w="100" w:type="dxa"/>
              <w:right w:w="100" w:type="dxa"/>
            </w:tcMar>
            <w:vAlign w:val="center"/>
            <w:tcW w:w="24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8</w:t>
            </w:r>
          </w:p>
        </w:tc>
      </w:tr>
      <w:tr>
        <w:trPr>
          <w:cantSplit w:val="0"/>
        </w:trPr>
        <w:tc>
          <w:tcPr>
            <w:shd w:fill="ffffff" w:val="clear"/>
            <w:tcMar>
              <w:top w:w="110.0" w:type="dxa"/>
              <w:bottom w:w="110.0" w:type="dxa"/>
              <w:left w:w="100" w:type="dxa"/>
              <w:right w:w="100" w:type="dxa"/>
            </w:tcMar>
            <w:vAlign w:val="center"/>
            <w:tcW w:w="42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Mean points scored</w:t>
            </w:r>
          </w:p>
        </w:tc>
        <w:tc>
          <w:tcPr>
            <w:shd w:fill="ffffff" w:val="clear"/>
            <w:tcMar>
              <w:top w:w="110.0" w:type="dxa"/>
              <w:bottom w:w="110.0" w:type="dxa"/>
              <w:left w:w="100" w:type="dxa"/>
              <w:right w:w="100" w:type="dxa"/>
            </w:tcMar>
            <w:vAlign w:val="center"/>
            <w:tcW w:w="24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15.750</w:t>
            </w:r>
          </w:p>
        </w:tc>
        <w:tc>
          <w:tcPr>
            <w:shd w:fill="ffffff" w:val="clear"/>
            <w:tcMar>
              <w:top w:w="110.0" w:type="dxa"/>
              <w:bottom w:w="110.0" w:type="dxa"/>
              <w:left w:w="100" w:type="dxa"/>
              <w:right w:w="100" w:type="dxa"/>
            </w:tcMar>
            <w:vAlign w:val="center"/>
            <w:tcW w:w="24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21.875</w:t>
            </w:r>
          </w:p>
        </w:tc>
      </w:tr>
      <w:tr>
        <w:trPr>
          <w:cantSplit w:val="0"/>
        </w:trPr>
        <w:tc>
          <w:tcPr>
            <w:shd w:fill="ffffff" w:val="clear"/>
            <w:tcMar>
              <w:top w:w="110.0" w:type="dxa"/>
              <w:bottom w:w="110.0" w:type="dxa"/>
              <w:left w:w="100" w:type="dxa"/>
              <w:right w:w="100" w:type="dxa"/>
            </w:tcMar>
            <w:vAlign w:val="center"/>
            <w:tcW w:w="42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Mean points conceded</w:t>
            </w:r>
          </w:p>
        </w:tc>
        <w:tc>
          <w:tcPr>
            <w:shd w:fill="ffffff" w:val="clear"/>
            <w:tcMar>
              <w:top w:w="110.0" w:type="dxa"/>
              <w:bottom w:w="110.0" w:type="dxa"/>
              <w:left w:w="100" w:type="dxa"/>
              <w:right w:w="100" w:type="dxa"/>
            </w:tcMar>
            <w:vAlign w:val="center"/>
            <w:tcW w:w="24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23.500</w:t>
            </w:r>
          </w:p>
        </w:tc>
        <w:tc>
          <w:tcPr>
            <w:shd w:fill="ffffff" w:val="clear"/>
            <w:tcMar>
              <w:top w:w="110.0" w:type="dxa"/>
              <w:bottom w:w="110.0" w:type="dxa"/>
              <w:left w:w="100" w:type="dxa"/>
              <w:right w:w="100" w:type="dxa"/>
            </w:tcMar>
            <w:vAlign w:val="center"/>
            <w:tcW w:w="24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24.125</w:t>
            </w:r>
          </w:p>
        </w:tc>
      </w:tr>
      <w:tr>
        <w:trPr>
          <w:cantSplit w:val="0"/>
        </w:trPr>
        <w:tc>
          <w:tcPr>
            <w:shd w:fill="ffffff" w:val="clear"/>
            <w:tcMar>
              <w:top w:w="110.0" w:type="dxa"/>
              <w:bottom w:w="110.0" w:type="dxa"/>
              <w:left w:w="100" w:type="dxa"/>
              <w:right w:w="100" w:type="dxa"/>
            </w:tcMar>
            <w:vAlign w:val="center"/>
            <w:tcW w:w="42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Result rate</w:t>
            </w:r>
          </w:p>
        </w:tc>
        <w:tc>
          <w:tcPr>
            <w:shd w:fill="ffffff" w:val="clear"/>
            <w:tcMar>
              <w:top w:w="110.0" w:type="dxa"/>
              <w:bottom w:w="110.0" w:type="dxa"/>
              <w:left w:w="100" w:type="dxa"/>
              <w:right w:w="100" w:type="dxa"/>
            </w:tcMar>
            <w:vAlign w:val="center"/>
            <w:tcW w:w="24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0.375</w:t>
            </w:r>
          </w:p>
        </w:tc>
        <w:tc>
          <w:tcPr>
            <w:shd w:fill="ffffff" w:val="clear"/>
            <w:tcMar>
              <w:top w:w="110.0" w:type="dxa"/>
              <w:bottom w:w="110.0" w:type="dxa"/>
              <w:left w:w="100" w:type="dxa"/>
              <w:right w:w="100" w:type="dxa"/>
            </w:tcMar>
            <w:vAlign w:val="center"/>
            <w:tcW w:w="24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0.375</w:t>
            </w:r>
          </w:p>
        </w:tc>
      </w:tr>
      <w:tr>
        <w:trPr>
          <w:cantSplit w:val="0"/>
        </w:trPr>
        <w:tc>
          <w:tcPr>
            <w:shd w:fill="ffffff" w:val="clear"/>
            <w:tcMar>
              <w:top w:w="110.0" w:type="dxa"/>
              <w:bottom w:w="110.0" w:type="dxa"/>
              <w:left w:w="100" w:type="dxa"/>
              <w:right w:w="100" w:type="dxa"/>
            </w:tcMar>
            <w:vAlign w:val="center"/>
            <w:tcW w:w="42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Days since prior regular game</w:t>
            </w:r>
          </w:p>
        </w:tc>
        <w:tc>
          <w:tcPr>
            <w:shd w:fill="ffffff" w:val="clear"/>
            <w:tcMar>
              <w:top w:w="110.0" w:type="dxa"/>
              <w:bottom w:w="110.0" w:type="dxa"/>
              <w:left w:w="100" w:type="dxa"/>
              <w:right w:w="100" w:type="dxa"/>
            </w:tcMar>
            <w:vAlign w:val="center"/>
            <w:tcW w:w="24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w:t>
            </w:r>
          </w:p>
        </w:tc>
        <w:tc>
          <w:tcPr>
            <w:shd w:fill="ffffff" w:val="clear"/>
            <w:tcMar>
              <w:top w:w="110.0" w:type="dxa"/>
              <w:bottom w:w="110.0" w:type="dxa"/>
              <w:left w:w="100" w:type="dxa"/>
              <w:right w:w="100" w:type="dxa"/>
            </w:tcMar>
            <w:vAlign w:val="center"/>
            <w:tcW w:w="24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w:t>
            </w:r>
          </w:p>
        </w:tc>
      </w:tr>
    </w:tbl>
    <w:p>
      <w:pPr>
        <w:rPr/>
      </w:pPr>
      <w:r>
        <w:rPr>
          <w:rtl w:val="0"/>
        </w:rPr>
        <w:t xml:space="preserve">homeField = 1. Each team’s eight-game window includes eligible 2025 games and the first two 2026 games. The underlying team evidence lists all sixteen prior game IDs. Scores were cross-checked against archived ESPN final records. This illustrates the cross-season carryover limitation: the model can retain last season’s performance despite roster changes.</w:t>
      </w:r>
    </w:p>
    <w:p>
      <w:pPr>
        <w:pStyle w:val="Heading2"/>
        <w:rPr/>
      </w:pPr>
      <w:r>
        <w:rPr>
          <w:rtl w:val="0"/>
        </w:rPr>
        <w:t xml:space="preserve">From inputs to probabilities</w:t>
      </w:r>
    </w:p>
    <w:p>
      <w:pPr>
        <w:rPr/>
      </w:pPr>
      <w:r>
        <w:rPr>
          <w:rtl w:val="0"/>
        </w:rPr>
        <w:t xml:space="preserve">The model scales these eleven values with its saved training means and scales, calculates its three linear scores, and applies softmax. The resulting probabilities are </w:t>
      </w:r>
      <w:r>
        <w:rPr>
          <w:rtl w:val="0"/>
          <w:b w:val="1"/>
        </w:rPr>
        <w:t xml:space="preserve">Cleveland 49.5626%, Carolina 49.9937%, tie 0.4437%</w:t>
      </w:r>
      <w:r>
        <w:rPr>
          <w:rtl w:val="0"/>
        </w:rPr>
        <w:t xml:space="preserve">. The display rounds those to 49.6%, 50.0% and 0.4%. The tiny ordering difference is not strong evidence that either side will win.</w:t>
      </w:r>
    </w:p>
    <w:p>
      <w:pPr>
        <w:rPr/>
      </w:pPr>
      <w:r>
        <w:rPr>
          <w:rtl w:val="0"/>
        </w:rPr>
        <w:t xml:space="preserve">On the same cutoff, the player-form model gives Cleveland about 48.4%, while the availability model gives Cleveland about 59.2%. The disagreement reflects different learned feature sets; it does not establish that the injury variant is more accurate. Its retained player evidence can explain which prior passer, receiver, rusher and injury rows were included, but cannot prove a causal player effect.</w:t>
      </w:r>
    </w:p>
    <w:p>
      <w:pPr>
        <w:pStyle w:val="Heading2"/>
        <w:rPr/>
      </w:pPr>
      <w:r>
        <w:rPr>
          <w:rtl w:val="0"/>
        </w:rPr>
        <w:t xml:space="preserve">Trace this record</w:t>
      </w:r>
    </w:p>
    <w:p>
      <w:pPr>
        <w:rPr/>
      </w:pPr>
      <w:r>
        <w:rPr>
          <w:rtl w:val="0"/>
        </w:rPr>
        <w:t xml:space="preserve">Primary receipt: forecasting/live/forecasts/outcome-logit-v1/2026_03_CAR_CLE.json. The source snapshot was received at 14:14:45 UTC. Each required scoreboard receipt also precedes the cutoff. The model checksum matches the frozen outcome-logit-v1 artifact. These files allow the probability calculation to be reproduced without a new web request.</w:t>
      </w:r>
    </w:p>
    <w:p>
      <w:pPr>
        <w:pStyle w:val="Heading1"/>
        <w:pageBreakBefore w:val="1"/>
        <w:rPr/>
      </w:pPr>
      <w:bookmarkStart w:id="116" w:name="nfl_chapter_16"/>
      <w:r>
        <w:rPr>
          <w:rtl w:val="0"/>
        </w:rPr>
        <w:t xml:space="preserve">16 Automation and operations</w:t>
      </w:r>
      <w:bookmarkEnd w:id="116"/>
    </w:p>
    <w:p>
      <w:pPr>
        <w:rPr/>
      </w:pPr>
      <w:r>
        <w:rPr>
          <w:rtl w:val="0"/>
        </w:rPr>
        <w:t xml:space="preserve">The active local task is named </w:t>
      </w:r>
      <w:r>
        <w:rPr>
          <w:rtl w:val="0"/>
          <w:b w:val="1"/>
        </w:rPr>
        <w:t xml:space="preserve">NFL snapshots on game days</w:t>
      </w:r>
      <w:r>
        <w:rPr>
          <w:rtl w:val="0"/>
        </w:rPr>
        <w:t xml:space="preserve">, ID daily-nfl-data-snapshot. It runs the full forecasting cycle, not just the original schedule downloader. Its timezone is America/New_York.</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40"/>
        <w:gridCol w:w="3000"/>
        <w:gridCol w:w="3780"/>
      </w:tblGrid>
      <w:tr>
        <w:trPr>
          <w:cantSplit w:val="0"/>
          <w:tblHeader w:val="1"/>
        </w:trPr>
        <w:tc>
          <w:tcPr>
            <w:shd w:fill="f2f2f2" w:val="clear"/>
            <w:tcMar>
              <w:top w:w="110.0" w:type="dxa"/>
              <w:bottom w:w="110.0" w:type="dxa"/>
              <w:left w:w="100" w:type="dxa"/>
              <w:right w:w="100" w:type="dxa"/>
            </w:tcMar>
            <w:vAlign w:val="center"/>
            <w:tcW w:w="23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Date type</w:t>
            </w:r>
          </w:p>
        </w:tc>
        <w:tc>
          <w:tcPr>
            <w:shd w:fill="f2f2f2" w:val="clear"/>
            <w:tcMar>
              <w:top w:w="110.0" w:type="dxa"/>
              <w:bottom w:w="110.0" w:type="dxa"/>
              <w:left w:w="100" w:type="dxa"/>
              <w:right w:w="100" w:type="dxa"/>
            </w:tcMar>
            <w:vAlign w:val="center"/>
            <w:tcW w:w="3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Configured cadence</w:t>
            </w:r>
          </w:p>
        </w:tc>
        <w:tc>
          <w:tcPr>
            <w:shd w:fill="f2f2f2" w:val="clear"/>
            <w:tcMar>
              <w:top w:w="110.0" w:type="dxa"/>
              <w:bottom w:w="110.0" w:type="dxa"/>
              <w:left w:w="100" w:type="dxa"/>
              <w:right w:w="100" w:type="dxa"/>
            </w:tcMar>
            <w:vAlign w:val="center"/>
            <w:tcW w:w="37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Important behavior</w:t>
            </w:r>
          </w:p>
        </w:tc>
      </w:tr>
      <w:tr>
        <w:trPr>
          <w:cantSplit w:val="0"/>
        </w:trPr>
        <w:tc>
          <w:tcPr>
            <w:shd w:fill="ffffff" w:val="clear"/>
            <w:tcMar>
              <w:top w:w="110.0" w:type="dxa"/>
              <w:bottom w:w="110.0" w:type="dxa"/>
              <w:left w:w="100" w:type="dxa"/>
              <w:right w:w="100" w:type="dxa"/>
            </w:tcMar>
            <w:vAlign w:val="center"/>
            <w:tcW w:w="23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NFL game date</w:t>
            </w:r>
          </w:p>
        </w:tc>
        <w:tc>
          <w:tcPr>
            <w:shd w:fill="ffffff" w:val="clear"/>
            <w:tcMar>
              <w:top w:w="110.0" w:type="dxa"/>
              <w:bottom w:w="110.0" w:type="dxa"/>
              <w:left w:w="100" w:type="dxa"/>
              <w:right w:w="100" w:type="dxa"/>
            </w:tcMar>
            <w:vAlign w:val="center"/>
            <w:tcW w:w="3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At five minutes past every hour.</w:t>
            </w:r>
          </w:p>
        </w:tc>
        <w:tc>
          <w:tcPr>
            <w:shd w:fill="ffffff" w:val="clear"/>
            <w:tcMar>
              <w:top w:w="110.0" w:type="dxa"/>
              <w:bottom w:w="110.0" w:type="dxa"/>
              <w:left w:w="100" w:type="dxa"/>
              <w:right w:w="100" w:type="dxa"/>
            </w:tcMar>
            <w:vAlign w:val="center"/>
            <w:tcW w:w="37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Schedule feed determines actual dates, including Saturday and holiday games.</w:t>
            </w:r>
          </w:p>
        </w:tc>
      </w:tr>
      <w:tr>
        <w:trPr>
          <w:cantSplit w:val="0"/>
        </w:trPr>
        <w:tc>
          <w:tcPr>
            <w:shd w:fill="ffffff" w:val="clear"/>
            <w:tcMar>
              <w:top w:w="110.0" w:type="dxa"/>
              <w:bottom w:w="110.0" w:type="dxa"/>
              <w:left w:w="100" w:type="dxa"/>
              <w:right w:w="100" w:type="dxa"/>
            </w:tcMar>
            <w:vAlign w:val="center"/>
            <w:tcW w:w="23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NFL game that date</w:t>
            </w:r>
          </w:p>
        </w:tc>
        <w:tc>
          <w:tcPr>
            <w:shd w:fill="ffffff" w:val="clear"/>
            <w:tcMar>
              <w:top w:w="110.0" w:type="dxa"/>
              <w:bottom w:w="110.0" w:type="dxa"/>
              <w:left w:w="100" w:type="dxa"/>
              <w:right w:w="100" w:type="dxa"/>
            </w:tcMar>
            <w:vAlign w:val="center"/>
            <w:tcW w:w="3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Once at 00:05 Eastern.</w:t>
            </w:r>
          </w:p>
        </w:tc>
        <w:tc>
          <w:tcPr>
            <w:shd w:fill="ffffff" w:val="clear"/>
            <w:tcMar>
              <w:top w:w="110.0" w:type="dxa"/>
              <w:bottom w:w="110.0" w:type="dxa"/>
              <w:left w:w="100" w:type="dxa"/>
              <w:right w:w="100" w:type="dxa"/>
            </w:tcMar>
            <w:vAlign w:val="center"/>
            <w:tcW w:w="37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Midnight checks the new date and changes that same task’s cadence.</w:t>
            </w:r>
          </w:p>
        </w:tc>
      </w:tr>
      <w:tr>
        <w:trPr>
          <w:cantSplit w:val="0"/>
        </w:trPr>
        <w:tc>
          <w:tcPr>
            <w:shd w:fill="ffffff" w:val="clear"/>
            <w:tcMar>
              <w:top w:w="110.0" w:type="dxa"/>
              <w:bottom w:w="110.0" w:type="dxa"/>
              <w:left w:w="100" w:type="dxa"/>
              <w:right w:w="100" w:type="dxa"/>
            </w:tcMar>
            <w:vAlign w:val="center"/>
            <w:tcW w:w="23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Machine offline or app stopped</w:t>
            </w:r>
          </w:p>
        </w:tc>
        <w:tc>
          <w:tcPr>
            <w:shd w:fill="ffffff" w:val="clear"/>
            <w:tcMar>
              <w:top w:w="110.0" w:type="dxa"/>
              <w:bottom w:w="110.0" w:type="dxa"/>
              <w:left w:w="100" w:type="dxa"/>
              <w:right w:w="100" w:type="dxa"/>
            </w:tcMar>
            <w:vAlign w:val="center"/>
            <w:tcW w:w="3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guaranteed execution.</w:t>
            </w:r>
          </w:p>
        </w:tc>
        <w:tc>
          <w:tcPr>
            <w:shd w:fill="ffffff" w:val="clear"/>
            <w:tcMar>
              <w:top w:w="110.0" w:type="dxa"/>
              <w:bottom w:w="110.0" w:type="dxa"/>
              <w:left w:w="100" w:type="dxa"/>
              <w:right w:w="100" w:type="dxa"/>
            </w:tcMar>
            <w:vAlign w:val="center"/>
            <w:tcW w:w="37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Missing observations are not recreated retroactively.</w:t>
            </w:r>
          </w:p>
        </w:tc>
      </w:tr>
      <w:tr>
        <w:trPr>
          <w:cantSplit w:val="0"/>
        </w:trPr>
        <w:tc>
          <w:tcPr>
            <w:shd w:fill="ffffff" w:val="clear"/>
            <w:tcMar>
              <w:top w:w="110.0" w:type="dxa"/>
              <w:bottom w:w="110.0" w:type="dxa"/>
              <w:left w:w="100" w:type="dxa"/>
              <w:right w:w="100" w:type="dxa"/>
            </w:tcMar>
            <w:vAlign w:val="center"/>
            <w:tcW w:w="23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Unexpected capture or scoring failure</w:t>
            </w:r>
          </w:p>
        </w:tc>
        <w:tc>
          <w:tcPr>
            <w:shd w:fill="ffffff" w:val="clear"/>
            <w:tcMar>
              <w:top w:w="110.0" w:type="dxa"/>
              <w:bottom w:w="110.0" w:type="dxa"/>
              <w:left w:w="100" w:type="dxa"/>
              <w:right w:w="100" w:type="dxa"/>
            </w:tcMar>
            <w:vAlign w:val="center"/>
            <w:tcW w:w="3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Report the issue and retain the current schedule.</w:t>
            </w:r>
          </w:p>
        </w:tc>
        <w:tc>
          <w:tcPr>
            <w:shd w:fill="ffffff" w:val="clear"/>
            <w:tcMar>
              <w:top w:w="110.0" w:type="dxa"/>
              <w:bottom w:w="110.0" w:type="dxa"/>
              <w:left w:w="100" w:type="dxa"/>
              <w:right w:w="100" w:type="dxa"/>
            </w:tcMar>
            <w:vAlign w:val="center"/>
            <w:tcW w:w="37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Do not silently substitute future data or alter permissions.</w:t>
            </w:r>
          </w:p>
        </w:tc>
      </w:tr>
    </w:tbl>
    <w:p>
      <w:pPr>
        <w:pStyle w:val="Heading2"/>
        <w:rPr/>
      </w:pPr>
      <w:r>
        <w:rPr>
          <w:rtl w:val="0"/>
        </w:rPr>
        <w:t xml:space="preserve">What a cycle does</w:t>
      </w:r>
    </w:p>
    <w:p>
      <w:pPr>
        <w:rPr/>
      </w:pPr>
      <w:r>
        <w:rPr>
          <w:rtl w:val="0"/>
        </w:rPr>
        <w:t xml:space="preserve">Run forecasting/.venv/bin/python forecasting/cycle.py from the project directory. It captures and verifies the game feed, determines cadence, refreshes relevant free player feeds, prepares tomorrow’s new forecasts when eligible, preserves existing records, checks pending results, scores common games, and saves a cycle report. It never retrains a model or promotes a challenger.</w:t>
      </w:r>
    </w:p>
    <w:p>
      <w:pPr>
        <w:rPr/>
      </w:pPr>
      <w:r>
        <w:rPr>
          <w:rtl w:val="0"/>
        </w:rPr>
        <w:t xml:space="preserve">The scheduler recognizes regular-season and postseason dates, but current training and live prediction code support regular-season games only. That distinction matters when interpreting a game-day schedule. Preseason coverage is not inferred. A schedule change announced after a nongame day’s single check may not be detected until the next check.</w:t>
      </w:r>
    </w:p>
    <w:p>
      <w:pPr>
        <w:pStyle w:val="Heading2"/>
        <w:rPr/>
      </w:pPr>
      <w:r>
        <w:rPr>
          <w:rtl w:val="0"/>
        </w:rPr>
        <w:t xml:space="preserve">Notifications and readiness</w:t>
      </w:r>
    </w:p>
    <w:p>
      <w:pPr>
        <w:rPr/>
      </w:pPr>
      <w:r>
        <w:rPr>
          <w:rtl w:val="0"/>
        </w:rPr>
        <w:t xml:space="preserve">Routine collection, unchanged forecasts, cadence changes and pending games stay quiet. Meaningful completion of a pending date’s results, failures and required user action are the notification triggers. The last manual network cycle completed with zero recorded errors; it found the existing forecasts and did not rewrite them.</w:t>
      </w:r>
    </w:p>
    <w:p>
      <w:pPr>
        <w:rPr/>
      </w:pPr>
      <w:r>
        <w:rPr>
          <w:rtl w:val="0"/>
        </w:rPr>
        <w:t xml:space="preserve">Unattended midnight switching, live final-result import, source disagreements and deadline recovery still need observation. This is a local system, not an always-available cloud service. Missed deadlines remain visible gaps; late forecasts must not be labeled timely.</w:t>
      </w:r>
    </w:p>
    <w:p>
      <w:pPr>
        <w:pStyle w:val="Heading1"/>
        <w:pageBreakBefore w:val="1"/>
        <w:rPr/>
      </w:pPr>
      <w:bookmarkStart w:id="117" w:name="nfl_chapter_17"/>
      <w:r>
        <w:rPr>
          <w:rtl w:val="0"/>
        </w:rPr>
        <w:t xml:space="preserve">17 Tools and tradeoffs</w:t>
      </w:r>
      <w:bookmarkEnd w:id="117"/>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50"/>
        <w:gridCol w:w="3100"/>
        <w:gridCol w:w="3770"/>
      </w:tblGrid>
      <w:tr>
        <w:trPr>
          <w:cantSplit w:val="0"/>
          <w:tblHeader w:val="1"/>
        </w:trPr>
        <w:tc>
          <w:tcPr>
            <w:shd w:fill="f2f2f2" w:val="clear"/>
            <w:tcMar>
              <w:top w:w="110.0" w:type="dxa"/>
              <w:bottom w:w="110.0" w:type="dxa"/>
              <w:left w:w="100" w:type="dxa"/>
              <w:right w:w="100" w:type="dxa"/>
            </w:tcMar>
            <w:vAlign w:val="center"/>
            <w:tcW w:w="22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Tool or component</w:t>
            </w:r>
          </w:p>
        </w:tc>
        <w:tc>
          <w:tcPr>
            <w:shd w:fill="f2f2f2" w:val="clear"/>
            <w:tcMar>
              <w:top w:w="110.0" w:type="dxa"/>
              <w:bottom w:w="110.0" w:type="dxa"/>
              <w:left w:w="100" w:type="dxa"/>
              <w:right w:w="100" w:type="dxa"/>
            </w:tcMar>
            <w:vAlign w:val="center"/>
            <w:tcW w:w="3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Purpose</w:t>
            </w:r>
          </w:p>
        </w:tc>
        <w:tc>
          <w:tcPr>
            <w:shd w:fill="f2f2f2"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Advantages and limitations</w:t>
            </w:r>
          </w:p>
        </w:tc>
      </w:tr>
      <w:tr>
        <w:trPr>
          <w:cantSplit w:val="0"/>
        </w:trPr>
        <w:tc>
          <w:tcPr>
            <w:shd w:fill="ffffff" w:val="clear"/>
            <w:tcMar>
              <w:top w:w="110.0" w:type="dxa"/>
              <w:bottom w:w="110.0" w:type="dxa"/>
              <w:left w:w="100" w:type="dxa"/>
              <w:right w:w="100" w:type="dxa"/>
            </w:tcMar>
            <w:vAlign w:val="center"/>
            <w:tcW w:w="22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Python 3.12 local environment</w:t>
            </w:r>
          </w:p>
        </w:tc>
        <w:tc>
          <w:tcPr>
            <w:shd w:fill="ffffff" w:val="clear"/>
            <w:tcMar>
              <w:top w:w="110.0" w:type="dxa"/>
              <w:bottom w:w="110.0" w:type="dxa"/>
              <w:left w:w="100" w:type="dxa"/>
              <w:right w:w="100" w:type="dxa"/>
            </w:tcMar>
            <w:vAlign w:val="center"/>
            <w:tcW w:w="3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Training and recurring cycle. Standard-library modules handle parsing, UTC time, hashing, archives and inference.</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Portable, inexpensive and inspectable; local runtime and package versions must be maintained.</w:t>
            </w:r>
          </w:p>
        </w:tc>
      </w:tr>
      <w:tr>
        <w:trPr>
          <w:cantSplit w:val="0"/>
        </w:trPr>
        <w:tc>
          <w:tcPr>
            <w:shd w:fill="ffffff" w:val="clear"/>
            <w:tcMar>
              <w:top w:w="110.0" w:type="dxa"/>
              <w:bottom w:w="110.0" w:type="dxa"/>
              <w:left w:w="100" w:type="dxa"/>
              <w:right w:w="100" w:type="dxa"/>
            </w:tcMar>
            <w:vAlign w:val="center"/>
            <w:tcW w:w="22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scikit-learn 1.9.1</w:t>
            </w:r>
          </w:p>
        </w:tc>
        <w:tc>
          <w:tcPr>
            <w:shd w:fill="ffffff" w:val="clear"/>
            <w:tcMar>
              <w:top w:w="110.0" w:type="dxa"/>
              <w:bottom w:w="110.0" w:type="dxa"/>
              <w:left w:w="100" w:type="dxa"/>
              <w:right w:w="100" w:type="dxa"/>
            </w:tcMar>
            <w:vAlign w:val="center"/>
            <w:tcW w:w="3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StandardScaler, logistic-regression training and pipelines.</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Established estimation tools; model simplicity limits nonlinear relationships.</w:t>
            </w:r>
          </w:p>
        </w:tc>
      </w:tr>
      <w:tr>
        <w:trPr>
          <w:cantSplit w:val="0"/>
        </w:trPr>
        <w:tc>
          <w:tcPr>
            <w:shd w:fill="ffffff" w:val="clear"/>
            <w:tcMar>
              <w:top w:w="110.0" w:type="dxa"/>
              <w:bottom w:w="110.0" w:type="dxa"/>
              <w:left w:w="100" w:type="dxa"/>
              <w:right w:w="100" w:type="dxa"/>
            </w:tcMar>
            <w:vAlign w:val="center"/>
            <w:tcW w:w="22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NumPy 2.5.3 and SciPy 1.18.1</w:t>
            </w:r>
          </w:p>
        </w:tc>
        <w:tc>
          <w:tcPr>
            <w:shd w:fill="ffffff" w:val="clear"/>
            <w:tcMar>
              <w:top w:w="110.0" w:type="dxa"/>
              <w:bottom w:w="110.0" w:type="dxa"/>
              <w:left w:w="100" w:type="dxa"/>
              <w:right w:w="100" w:type="dxa"/>
            </w:tcMar>
            <w:vAlign w:val="center"/>
            <w:tcW w:w="3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Numerical arrays and optimization support.</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Efficient fitting; numerical environment must remain reproducible.</w:t>
            </w:r>
          </w:p>
        </w:tc>
      </w:tr>
      <w:tr>
        <w:trPr>
          <w:cantSplit w:val="0"/>
        </w:trPr>
        <w:tc>
          <w:tcPr>
            <w:shd w:fill="ffffff" w:val="clear"/>
            <w:tcMar>
              <w:top w:w="110.0" w:type="dxa"/>
              <w:bottom w:w="110.0" w:type="dxa"/>
              <w:left w:w="100" w:type="dxa"/>
              <w:right w:w="100" w:type="dxa"/>
            </w:tcMar>
            <w:vAlign w:val="center"/>
            <w:tcW w:w="22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Node 24 and built-in test runner</w:t>
            </w:r>
          </w:p>
        </w:tc>
        <w:tc>
          <w:tcPr>
            <w:shd w:fill="ffffff" w:val="clear"/>
            <w:tcMar>
              <w:top w:w="110.0" w:type="dxa"/>
              <w:bottom w:w="110.0" w:type="dxa"/>
              <w:left w:w="100" w:type="dxa"/>
              <w:right w:w="100" w:type="dxa"/>
            </w:tcMar>
            <w:vAlign w:val="center"/>
            <w:tcW w:w="3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Standalone probability evaluator, CLI and JavaScript checks.</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Minimal evaluator dependencies; separate implementation requires consistent metric definitions.</w:t>
            </w:r>
          </w:p>
        </w:tc>
      </w:tr>
      <w:tr>
        <w:trPr>
          <w:cantSplit w:val="0"/>
        </w:trPr>
        <w:tc>
          <w:tcPr>
            <w:shd w:fill="ffffff" w:val="clear"/>
            <w:tcMar>
              <w:top w:w="110.0" w:type="dxa"/>
              <w:bottom w:w="110.0" w:type="dxa"/>
              <w:left w:w="100" w:type="dxa"/>
              <w:right w:w="100" w:type="dxa"/>
            </w:tcMar>
            <w:vAlign w:val="center"/>
            <w:tcW w:w="22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curl over HTTPS</w:t>
            </w:r>
          </w:p>
        </w:tc>
        <w:tc>
          <w:tcPr>
            <w:shd w:fill="ffffff" w:val="clear"/>
            <w:tcMar>
              <w:top w:w="110.0" w:type="dxa"/>
              <w:bottom w:w="110.0" w:type="dxa"/>
              <w:left w:w="100" w:type="dxa"/>
              <w:right w:w="100" w:type="dxa"/>
            </w:tcMar>
            <w:vAlign w:val="center"/>
            <w:tcW w:w="3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Download fixed public feed URLs.</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forecasting API key; network and upstream service availability still matter.</w:t>
            </w:r>
          </w:p>
        </w:tc>
      </w:tr>
      <w:tr>
        <w:trPr>
          <w:cantSplit w:val="0"/>
        </w:trPr>
        <w:tc>
          <w:tcPr>
            <w:shd w:fill="ffffff" w:val="clear"/>
            <w:tcMar>
              <w:top w:w="110.0" w:type="dxa"/>
              <w:bottom w:w="110.0" w:type="dxa"/>
              <w:left w:w="100" w:type="dxa"/>
              <w:right w:w="100" w:type="dxa"/>
            </w:tcMar>
            <w:vAlign w:val="center"/>
            <w:tcW w:w="22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CSV, JSON and JSONL</w:t>
            </w:r>
          </w:p>
        </w:tc>
        <w:tc>
          <w:tcPr>
            <w:shd w:fill="ffffff" w:val="clear"/>
            <w:tcMar>
              <w:top w:w="110.0" w:type="dxa"/>
              <w:bottom w:w="110.0" w:type="dxa"/>
              <w:left w:w="100" w:type="dxa"/>
              <w:right w:w="100" w:type="dxa"/>
            </w:tcMar>
            <w:vAlign w:val="center"/>
            <w:tcW w:w="3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Raw feeds, models, one-game-per-line feature sets, reports and receipts.</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Easy to inspect and hash; no database query engine or automatic retention for local archive.</w:t>
            </w:r>
          </w:p>
        </w:tc>
      </w:tr>
      <w:tr>
        <w:trPr>
          <w:cantSplit w:val="0"/>
        </w:trPr>
        <w:tc>
          <w:tcPr>
            <w:shd w:fill="ffffff" w:val="clear"/>
            <w:tcMar>
              <w:top w:w="110.0" w:type="dxa"/>
              <w:bottom w:w="110.0" w:type="dxa"/>
              <w:left w:w="100" w:type="dxa"/>
              <w:right w:w="100" w:type="dxa"/>
            </w:tcMar>
            <w:vAlign w:val="center"/>
            <w:tcW w:w="22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SHA-256 and manifests</w:t>
            </w:r>
          </w:p>
        </w:tc>
        <w:tc>
          <w:tcPr>
            <w:shd w:fill="ffffff" w:val="clear"/>
            <w:tcMar>
              <w:top w:w="110.0" w:type="dxa"/>
              <w:bottom w:w="110.0" w:type="dxa"/>
              <w:left w:w="100" w:type="dxa"/>
              <w:right w:w="100" w:type="dxa"/>
            </w:tcMar>
            <w:vAlign w:val="center"/>
            <w:tcW w:w="3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Check exact data, model and output bytes.</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Detects mismatch; does not provide external timestamp attestation or prevent local tampering.</w:t>
            </w:r>
          </w:p>
        </w:tc>
      </w:tr>
      <w:tr>
        <w:trPr>
          <w:cantSplit w:val="0"/>
        </w:trPr>
        <w:tc>
          <w:tcPr>
            <w:shd w:fill="ffffff" w:val="clear"/>
            <w:tcMar>
              <w:top w:w="110.0" w:type="dxa"/>
              <w:bottom w:w="110.0" w:type="dxa"/>
              <w:left w:w="100" w:type="dxa"/>
              <w:right w:w="100" w:type="dxa"/>
            </w:tcMar>
            <w:vAlign w:val="center"/>
            <w:tcW w:w="22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Codex desktop automation</w:t>
            </w:r>
          </w:p>
        </w:tc>
        <w:tc>
          <w:tcPr>
            <w:shd w:fill="ffffff" w:val="clear"/>
            <w:tcMar>
              <w:top w:w="110.0" w:type="dxa"/>
              <w:bottom w:w="110.0" w:type="dxa"/>
              <w:left w:w="100" w:type="dxa"/>
              <w:right w:w="100" w:type="dxa"/>
            </w:tcMar>
            <w:vAlign w:val="center"/>
            <w:tcW w:w="3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Runs cycle and adapts game-day cadence.</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Convenient local scheduling; depends on app, machine and normal plan allowance.</w:t>
            </w:r>
          </w:p>
        </w:tc>
      </w:tr>
      <w:tr>
        <w:trPr>
          <w:cantSplit w:val="0"/>
        </w:trPr>
        <w:tc>
          <w:tcPr>
            <w:shd w:fill="ffffff" w:val="clear"/>
            <w:tcMar>
              <w:top w:w="110.0" w:type="dxa"/>
              <w:bottom w:w="110.0" w:type="dxa"/>
              <w:left w:w="100" w:type="dxa"/>
              <w:right w:w="100" w:type="dxa"/>
            </w:tcMar>
            <w:vAlign w:val="center"/>
            <w:tcW w:w="22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React, TypeScript and Next-compatible tooling</w:t>
            </w:r>
          </w:p>
        </w:tc>
        <w:tc>
          <w:tcPr>
            <w:shd w:fill="ffffff" w:val="clear"/>
            <w:tcMar>
              <w:top w:w="110.0" w:type="dxa"/>
              <w:bottom w:w="110.0" w:type="dxa"/>
              <w:left w:w="100" w:type="dxa"/>
              <w:right w:w="100" w:type="dxa"/>
            </w:tcMar>
            <w:vAlign w:val="center"/>
            <w:tcW w:w="3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Earlier website interface and server routes.</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Interactive quote board; currently disconnected from local trained models.</w:t>
            </w:r>
          </w:p>
        </w:tc>
      </w:tr>
      <w:tr>
        <w:trPr>
          <w:cantSplit w:val="0"/>
        </w:trPr>
        <w:tc>
          <w:tcPr>
            <w:shd w:fill="ffffff" w:val="clear"/>
            <w:tcMar>
              <w:top w:w="110.0" w:type="dxa"/>
              <w:bottom w:w="110.0" w:type="dxa"/>
              <w:left w:w="100" w:type="dxa"/>
              <w:right w:w="100" w:type="dxa"/>
            </w:tcMar>
            <w:vAlign w:val="center"/>
            <w:tcW w:w="22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Cloudflare D1 and Drizzle</w:t>
            </w:r>
          </w:p>
        </w:tc>
        <w:tc>
          <w:tcPr>
            <w:shd w:fill="ffffff" w:val="clear"/>
            <w:tcMar>
              <w:top w:w="110.0" w:type="dxa"/>
              <w:bottom w:w="110.0" w:type="dxa"/>
              <w:left w:w="100" w:type="dxa"/>
              <w:right w:w="100" w:type="dxa"/>
            </w:tcMar>
            <w:vAlign w:val="center"/>
            <w:tcW w:w="3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Website owner-scoped boards, paper trades and settlements.</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Persistent website ledger; separate from local forecast archive.</w:t>
            </w:r>
          </w:p>
        </w:tc>
      </w:tr>
      <w:tr>
        <w:trPr>
          <w:cantSplit w:val="0"/>
        </w:trPr>
        <w:tc>
          <w:tcPr>
            <w:shd w:fill="ffffff" w:val="clear"/>
            <w:tcMar>
              <w:top w:w="110.0" w:type="dxa"/>
              <w:bottom w:w="110.0" w:type="dxa"/>
              <w:left w:w="100" w:type="dxa"/>
              <w:right w:w="100" w:type="dxa"/>
            </w:tcMar>
            <w:vAlign w:val="center"/>
            <w:tcW w:w="22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Sites hosting and authentication</w:t>
            </w:r>
          </w:p>
        </w:tc>
        <w:tc>
          <w:tcPr>
            <w:shd w:fill="ffffff" w:val="clear"/>
            <w:tcMar>
              <w:top w:w="110.0" w:type="dxa"/>
              <w:bottom w:w="110.0" w:type="dxa"/>
              <w:left w:w="100" w:type="dxa"/>
              <w:right w:w="100" w:type="dxa"/>
            </w:tcMar>
            <w:vAlign w:val="center"/>
            <w:tcW w:w="3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Earlier hosted dashboard and sign-in.</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Existing web access; local forecasting changes have not been deployed to it.</w:t>
            </w:r>
          </w:p>
        </w:tc>
      </w:tr>
      <w:tr>
        <w:trPr>
          <w:cantSplit w:val="0"/>
        </w:trPr>
        <w:tc>
          <w:tcPr>
            <w:shd w:fill="ffffff" w:val="clear"/>
            <w:tcMar>
              <w:top w:w="110.0" w:type="dxa"/>
              <w:bottom w:w="110.0" w:type="dxa"/>
              <w:left w:w="100" w:type="dxa"/>
              <w:right w:w="100" w:type="dxa"/>
            </w:tcMar>
            <w:vAlign w:val="center"/>
            <w:tcW w:w="22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Git</w:t>
            </w:r>
          </w:p>
        </w:tc>
        <w:tc>
          <w:tcPr>
            <w:shd w:fill="ffffff" w:val="clear"/>
            <w:tcMar>
              <w:top w:w="110.0" w:type="dxa"/>
              <w:bottom w:w="110.0" w:type="dxa"/>
              <w:left w:w="100" w:type="dxa"/>
              <w:right w:w="100" w:type="dxa"/>
            </w:tcMar>
            <w:vAlign w:val="center"/>
            <w:tcW w:w="3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Project version-control capability.</w:t>
            </w:r>
          </w:p>
        </w:tc>
        <w:tc>
          <w:tcPr>
            <w:shd w:fill="ffffff" w:val="clear"/>
            <w:tcMar>
              <w:top w:w="110.0" w:type="dxa"/>
              <w:bottom w:w="110.0" w:type="dxa"/>
              <w:left w:w="100" w:type="dxa"/>
              <w:right w:w="100" w:type="dxa"/>
            </w:tcMar>
            <w:vAlign w:val="center"/>
            <w:tcW w:w="37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Forecasting work is currently untracked; no committed remote backup of that folder yet.</w:t>
            </w:r>
          </w:p>
        </w:tc>
      </w:tr>
    </w:tbl>
    <w:p>
      <w:pPr>
        <w:rPr/>
      </w:pPr>
      <w:r>
        <w:rPr>
          <w:rtl w:val="0"/>
        </w:rPr>
        <w:t xml:space="preserve">Other pinned dependencies: joblib 1.6.0, cloudpickle 3.1.2, narwhals 2.26.0 and threadpoolctl 3.7.0. Models use JSON. Inference uses no paid AI API, SportsGameOdds or sportsbook login.</w:t>
      </w:r>
    </w:p>
    <w:p>
      <w:pPr>
        <w:pStyle w:val="Heading1"/>
        <w:pageBreakBefore w:val="1"/>
        <w:rPr/>
      </w:pPr>
      <w:bookmarkStart w:id="118" w:name="nfl_chapter_18"/>
      <w:r>
        <w:rPr>
          <w:rtl w:val="0"/>
        </w:rPr>
        <w:t xml:space="preserve">18 Costs storage and credentials</w:t>
      </w:r>
      <w:bookmarkEnd w:id="118"/>
    </w:p>
    <w:p>
      <w:pPr>
        <w:rPr/>
      </w:pPr>
      <w:r>
        <w:rPr>
          <w:rtl w:val="0"/>
        </w:rPr>
        <w:t xml:space="preserve">The user’s stated ceiling is $1,000 per month for software and betting together. That is a budget constraint, not a projected return or an amount assigned to software. No paid data subscription, extra credit purchase or automatic wager has been made for this forecasting work. Actual account bills and wagering expenses are not tracked by the model.</w:t>
      </w:r>
    </w:p>
    <w:p>
      <w:pPr>
        <w:pStyle w:val="Heading2"/>
        <w:rPr/>
      </w:pPr>
      <w:r>
        <w:rPr>
          <w:rtl w:val="0"/>
        </w:rPr>
        <w:t xml:space="preserve">Current cost structure</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Forecasting data: public nflverse and ESPN endpoints, with no subscription or key used by these collectors.</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Compute and storage: the existing computer, network and local disk. No new cloud forecasting server or storage subscription was provisioned.</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Scheduling: uses the normal Codex plan allowance. The collector and frozen-model inference do not themselves make paid language-model calls.</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Website odds: a separate provider adapter can consume the user’s provider quota. This guide does not quote or verify a current paid plan, quota balance or bill. Hosting entitlements and costs also require account-specific verification.</w:t>
      </w:r>
    </w:p>
    <w:p>
      <w:pPr>
        <w:pStyle w:val="Heading2"/>
        <w:rPr/>
      </w:pPr>
      <w:r>
        <w:rPr>
          <w:rtl w:val="0"/>
        </w:rPr>
        <w:t xml:space="preserve">Storage estimates</w:t>
      </w:r>
    </w:p>
    <w:p>
      <w:pPr>
        <w:rPr/>
      </w:pPr>
      <w:r>
        <w:rPr>
          <w:rtl w:val="0"/>
        </w:rPr>
        <w:t xml:space="preserve">The initial schedule payload is 2,180,912 bytes. If every capture changes, 30 daily payloads would total about 65.4 MB, and 720 hourly payloads about 1.57 GB. These are decimal size estimates for that feed alone. Our actual policy is hourly only on game dates, and identical payloads reuse one blob. Observation metadata still grows for every capture.</w:t>
      </w:r>
    </w:p>
    <w:p>
      <w:pPr>
        <w:rPr/>
      </w:pPr>
      <w:r>
        <w:rPr>
          <w:rtl w:val="0"/>
        </w:rPr>
        <w:t xml:space="preserve">At the preparation checkpoint, archived player and scoreboard feeds occupied about 104 MB, the player-comparison run about 8.7 MB, and live forecast/report files about 0.8 MB. These figures exclude other experiments, the Python environment and document artifacts. Full-season player responses can change frequently, so total growth must be measured. No automatic archive deletion, retention limit or offsite backup is configured.</w:t>
      </w:r>
    </w:p>
    <w:p>
      <w:pPr>
        <w:pStyle w:val="Heading2"/>
        <w:rPr/>
      </w:pPr>
      <w:r>
        <w:rPr>
          <w:rtl w:val="0"/>
        </w:rPr>
        <w:t xml:space="preserve">Credential handling</w:t>
      </w:r>
    </w:p>
    <w:p>
      <w:pPr>
        <w:rPr/>
      </w:pPr>
      <w:r>
        <w:rPr>
          <w:rtl w:val="0"/>
        </w:rPr>
        <w:t xml:space="preserve">Forecasting needs no Odds API key or DraftKings login. The website uses the server-side ODDS_API_KEY secret; configuration alone does not prove provider acceptance or usable quotes. Keep credentials out of source, reports and browser-visible variables. This guide contains no key, password or token.</w:t>
      </w:r>
    </w:p>
    <w:p>
      <w:pPr>
        <w:pStyle w:val="Heading1"/>
        <w:pageBreakBefore w:val="1"/>
        <w:rPr/>
      </w:pPr>
      <w:bookmarkStart w:id="119" w:name="nfl_chapter_19"/>
      <w:r>
        <w:rPr>
          <w:rtl w:val="0"/>
        </w:rPr>
        <w:t xml:space="preserve">19 Limitations and safeguards</w:t>
      </w:r>
      <w:bookmarkEnd w:id="119"/>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40"/>
        <w:gridCol w:w="3180"/>
        <w:gridCol w:w="3800"/>
      </w:tblGrid>
      <w:tr>
        <w:trPr>
          <w:cantSplit w:val="0"/>
          <w:tblHeader w:val="1"/>
        </w:trPr>
        <w:tc>
          <w:tcPr>
            <w:shd w:fill="f2f2f2" w:val="clear"/>
            <w:tcMar>
              <w:top w:w="110.0" w:type="dxa"/>
              <w:bottom w:w="110.0" w:type="dxa"/>
              <w:left w:w="100" w:type="dxa"/>
              <w:right w:w="100" w:type="dxa"/>
            </w:tcMar>
            <w:vAlign w:val="center"/>
            <w:tcW w:w="21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Limitation</w:t>
            </w:r>
          </w:p>
        </w:tc>
        <w:tc>
          <w:tcPr>
            <w:shd w:fill="f2f2f2" w:val="clear"/>
            <w:tcMar>
              <w:top w:w="110.0" w:type="dxa"/>
              <w:bottom w:w="110.0" w:type="dxa"/>
              <w:left w:w="100" w:type="dxa"/>
              <w:right w:w="100" w:type="dxa"/>
            </w:tcMar>
            <w:vAlign w:val="center"/>
            <w:tcW w:w="3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Consequence</w:t>
            </w:r>
          </w:p>
        </w:tc>
        <w:tc>
          <w:tcPr>
            <w:shd w:fill="f2f2f2" w:val="clear"/>
            <w:tcMar>
              <w:top w:w="110.0" w:type="dxa"/>
              <w:bottom w:w="110.0" w:type="dxa"/>
              <w:left w:w="100" w:type="dxa"/>
              <w:right w:w="100" w:type="dxa"/>
            </w:tcMar>
            <w:vAlign w:val="center"/>
            <w:tcW w:w="3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Current handling or next need</w:t>
            </w:r>
          </w:p>
        </w:tc>
      </w:tr>
      <w:tr>
        <w:trPr>
          <w:cantSplit w:val="0"/>
        </w:trPr>
        <w:tc>
          <w:tcPr>
            <w:shd w:fill="ffffff" w:val="clear"/>
            <w:tcMar>
              <w:top w:w="110.0" w:type="dxa"/>
              <w:bottom w:w="110.0" w:type="dxa"/>
              <w:left w:w="100" w:type="dxa"/>
              <w:right w:w="100" w:type="dxa"/>
            </w:tcMar>
            <w:vAlign w:val="center"/>
            <w:tcW w:w="21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Historical publication unknown</w:t>
            </w:r>
          </w:p>
        </w:tc>
        <w:tc>
          <w:tcPr>
            <w:shd w:fill="ffffff" w:val="clear"/>
            <w:tcMar>
              <w:top w:w="110.0" w:type="dxa"/>
              <w:bottom w:w="110.0" w:type="dxa"/>
              <w:left w:w="100" w:type="dxa"/>
              <w:right w:w="100" w:type="dxa"/>
            </w:tcMar>
            <w:vAlign w:val="center"/>
            <w:tcW w:w="3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corrected snapshot may differ from what was knowable then.</w:t>
            </w:r>
          </w:p>
        </w:tc>
        <w:tc>
          <w:tcPr>
            <w:shd w:fill="ffffff" w:val="clear"/>
            <w:tcMar>
              <w:top w:w="110.0" w:type="dxa"/>
              <w:bottom w:w="110.0" w:type="dxa"/>
              <w:left w:w="100" w:type="dxa"/>
              <w:right w:w="100" w:type="dxa"/>
            </w:tcMar>
            <w:vAlign w:val="center"/>
            <w:tcW w:w="3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Explicit 48-hour assumption, sensitivity study and prospective receipt archive; gap remains.</w:t>
            </w:r>
          </w:p>
        </w:tc>
      </w:tr>
      <w:tr>
        <w:trPr>
          <w:cantSplit w:val="0"/>
        </w:trPr>
        <w:tc>
          <w:tcPr>
            <w:shd w:fill="ffffff" w:val="clear"/>
            <w:tcMar>
              <w:top w:w="110.0" w:type="dxa"/>
              <w:bottom w:w="110.0" w:type="dxa"/>
              <w:left w:w="100" w:type="dxa"/>
              <w:right w:w="100" w:type="dxa"/>
            </w:tcMar>
            <w:vAlign w:val="center"/>
            <w:tcW w:w="21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Injury timestamp coverage</w:t>
            </w:r>
          </w:p>
        </w:tc>
        <w:tc>
          <w:tcPr>
            <w:shd w:fill="ffffff" w:val="clear"/>
            <w:tcMar>
              <w:top w:w="110.0" w:type="dxa"/>
              <w:bottom w:w="110.0" w:type="dxa"/>
              <w:left w:w="100" w:type="dxa"/>
              <w:right w:w="100" w:type="dxa"/>
            </w:tcMar>
            <w:vAlign w:val="center"/>
            <w:tcW w:w="3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2025 cannot supply defensible historical pregame status features.</w:t>
            </w:r>
          </w:p>
        </w:tc>
        <w:tc>
          <w:tcPr>
            <w:shd w:fill="ffffff" w:val="clear"/>
            <w:tcMar>
              <w:top w:w="110.0" w:type="dxa"/>
              <w:bottom w:w="110.0" w:type="dxa"/>
              <w:left w:w="100" w:type="dxa"/>
              <w:right w:w="100" w:type="dxa"/>
            </w:tcMar>
            <w:vAlign w:val="center"/>
            <w:tcW w:w="3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Mark unavailable; seek genuinely timestamped archived reports.</w:t>
            </w:r>
          </w:p>
        </w:tc>
      </w:tr>
      <w:tr>
        <w:trPr>
          <w:cantSplit w:val="0"/>
        </w:trPr>
        <w:tc>
          <w:tcPr>
            <w:shd w:fill="ffffff" w:val="clear"/>
            <w:tcMar>
              <w:top w:w="110.0" w:type="dxa"/>
              <w:bottom w:w="110.0" w:type="dxa"/>
              <w:left w:w="100" w:type="dxa"/>
              <w:right w:w="100" w:type="dxa"/>
            </w:tcMar>
            <w:vAlign w:val="center"/>
            <w:tcW w:w="21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Prior usage is not a starter forecast</w:t>
            </w:r>
          </w:p>
        </w:tc>
        <w:tc>
          <w:tcPr>
            <w:shd w:fill="ffffff" w:val="clear"/>
            <w:tcMar>
              <w:top w:w="110.0" w:type="dxa"/>
              <w:bottom w:w="110.0" w:type="dxa"/>
              <w:left w:w="100" w:type="dxa"/>
              <w:right w:w="100" w:type="dxa"/>
            </w:tcMar>
            <w:vAlign w:val="center"/>
            <w:tcW w:w="3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Trades, rookies, returns and depth-chart changes can be missed.</w:t>
            </w:r>
          </w:p>
        </w:tc>
        <w:tc>
          <w:tcPr>
            <w:shd w:fill="ffffff" w:val="clear"/>
            <w:tcMar>
              <w:top w:w="110.0" w:type="dxa"/>
              <w:bottom w:w="110.0" w:type="dxa"/>
              <w:left w:w="100" w:type="dxa"/>
              <w:right w:w="100" w:type="dxa"/>
            </w:tcMar>
            <w:vAlign w:val="center"/>
            <w:tcW w:w="3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Retain inferred identity evidence; confirmed roster/starter integration remains future work.</w:t>
            </w:r>
          </w:p>
        </w:tc>
      </w:tr>
      <w:tr>
        <w:trPr>
          <w:cantSplit w:val="0"/>
        </w:trPr>
        <w:tc>
          <w:tcPr>
            <w:shd w:fill="ffffff" w:val="clear"/>
            <w:tcMar>
              <w:top w:w="110.0" w:type="dxa"/>
              <w:bottom w:w="110.0" w:type="dxa"/>
              <w:left w:w="100" w:type="dxa"/>
              <w:right w:w="100" w:type="dxa"/>
            </w:tcMar>
            <w:vAlign w:val="center"/>
            <w:tcW w:w="21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Limited player representation</w:t>
            </w:r>
          </w:p>
        </w:tc>
        <w:tc>
          <w:tcPr>
            <w:shd w:fill="ffffff" w:val="clear"/>
            <w:tcMar>
              <w:top w:w="110.0" w:type="dxa"/>
              <w:bottom w:w="110.0" w:type="dxa"/>
              <w:left w:w="100" w:type="dxa"/>
              <w:right w:w="100" w:type="dxa"/>
            </w:tcMar>
            <w:vAlign w:val="center"/>
            <w:tcW w:w="3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causal with/without values, replacement quality or complete defense/line ratings.</w:t>
            </w:r>
          </w:p>
        </w:tc>
        <w:tc>
          <w:tcPr>
            <w:shd w:fill="ffffff" w:val="clear"/>
            <w:tcMar>
              <w:top w:w="110.0" w:type="dxa"/>
              <w:bottom w:w="110.0" w:type="dxa"/>
              <w:left w:w="100" w:type="dxa"/>
              <w:right w:w="100" w:type="dxa"/>
            </w:tcMar>
            <w:vAlign w:val="center"/>
            <w:tcW w:w="3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Usage shares and group counts only; avoid attributing a forecast shift to one causal effect.</w:t>
            </w:r>
          </w:p>
        </w:tc>
      </w:tr>
      <w:tr>
        <w:trPr>
          <w:cantSplit w:val="0"/>
        </w:trPr>
        <w:tc>
          <w:tcPr>
            <w:shd w:fill="ffffff" w:val="clear"/>
            <w:tcMar>
              <w:top w:w="110.0" w:type="dxa"/>
              <w:bottom w:w="110.0" w:type="dxa"/>
              <w:left w:w="100" w:type="dxa"/>
              <w:right w:w="100" w:type="dxa"/>
            </w:tcMar>
            <w:vAlign w:val="center"/>
            <w:tcW w:w="21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Old fitted coefficients</w:t>
            </w:r>
          </w:p>
        </w:tc>
        <w:tc>
          <w:tcPr>
            <w:shd w:fill="ffffff" w:val="clear"/>
            <w:tcMar>
              <w:top w:w="110.0" w:type="dxa"/>
              <w:bottom w:w="110.0" w:type="dxa"/>
              <w:left w:w="100" w:type="dxa"/>
              <w:right w:w="100" w:type="dxa"/>
            </w:tcMar>
            <w:vAlign w:val="center"/>
            <w:tcW w:w="3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Changing NFL conditions may reduce transfer to 2026.</w:t>
            </w:r>
          </w:p>
        </w:tc>
        <w:tc>
          <w:tcPr>
            <w:shd w:fill="ffffff" w:val="clear"/>
            <w:tcMar>
              <w:top w:w="110.0" w:type="dxa"/>
              <w:bottom w:w="110.0" w:type="dxa"/>
              <w:left w:w="100" w:type="dxa"/>
              <w:right w:w="100" w:type="dxa"/>
            </w:tcMar>
            <w:vAlign w:val="center"/>
            <w:tcW w:w="3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frozen reference; evaluate future retraining under a separate predefined plan.</w:t>
            </w:r>
          </w:p>
        </w:tc>
      </w:tr>
      <w:tr>
        <w:trPr>
          <w:cantSplit w:val="0"/>
        </w:trPr>
        <w:tc>
          <w:tcPr>
            <w:shd w:fill="ffffff" w:val="clear"/>
            <w:tcMar>
              <w:top w:w="110.0" w:type="dxa"/>
              <w:bottom w:w="110.0" w:type="dxa"/>
              <w:left w:w="100" w:type="dxa"/>
              <w:right w:w="100" w:type="dxa"/>
            </w:tcMar>
            <w:vAlign w:val="center"/>
            <w:tcW w:w="21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Exposed historical test</w:t>
            </w:r>
          </w:p>
        </w:tc>
        <w:tc>
          <w:tcPr>
            <w:shd w:fill="ffffff" w:val="clear"/>
            <w:tcMar>
              <w:top w:w="110.0" w:type="dxa"/>
              <w:bottom w:w="110.0" w:type="dxa"/>
              <w:left w:w="100" w:type="dxa"/>
              <w:right w:w="100" w:type="dxa"/>
            </w:tcMar>
            <w:vAlign w:val="center"/>
            <w:tcW w:w="3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Later feature experiments can overfit known years.</w:t>
            </w:r>
          </w:p>
        </w:tc>
        <w:tc>
          <w:tcPr>
            <w:shd w:fill="ffffff" w:val="clear"/>
            <w:tcMar>
              <w:top w:w="110.0" w:type="dxa"/>
              <w:bottom w:w="110.0" w:type="dxa"/>
              <w:left w:w="100" w:type="dxa"/>
              <w:right w:w="100" w:type="dxa"/>
            </w:tcMar>
            <w:vAlign w:val="center"/>
            <w:tcW w:w="3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Label player comparison exploratory; use new prospective cohorts.</w:t>
            </w:r>
          </w:p>
        </w:tc>
      </w:tr>
      <w:tr>
        <w:trPr>
          <w:cantSplit w:val="0"/>
        </w:trPr>
        <w:tc>
          <w:tcPr>
            <w:shd w:fill="ffffff" w:val="clear"/>
            <w:tcMar>
              <w:top w:w="110.0" w:type="dxa"/>
              <w:bottom w:w="110.0" w:type="dxa"/>
              <w:left w:w="100" w:type="dxa"/>
              <w:right w:w="100" w:type="dxa"/>
            </w:tcMar>
            <w:vAlign w:val="center"/>
            <w:tcW w:w="21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Rare ties</w:t>
            </w:r>
          </w:p>
        </w:tc>
        <w:tc>
          <w:tcPr>
            <w:shd w:fill="ffffff" w:val="clear"/>
            <w:tcMar>
              <w:top w:w="110.0" w:type="dxa"/>
              <w:bottom w:w="110.0" w:type="dxa"/>
              <w:left w:w="100" w:type="dxa"/>
              <w:right w:w="100" w:type="dxa"/>
            </w:tcMar>
            <w:vAlign w:val="center"/>
            <w:tcW w:w="3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Only nine training ties, no 2023 ties and one 2024–2025 tie.</w:t>
            </w:r>
          </w:p>
        </w:tc>
        <w:tc>
          <w:tcPr>
            <w:shd w:fill="ffffff" w:val="clear"/>
            <w:tcMar>
              <w:top w:w="110.0" w:type="dxa"/>
              <w:bottom w:w="110.0" w:type="dxa"/>
              <w:left w:w="100" w:type="dxa"/>
              <w:right w:w="100" w:type="dxa"/>
            </w:tcMar>
            <w:vAlign w:val="center"/>
            <w:tcW w:w="3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Retain tie class, but claims about its calibration are weak.</w:t>
            </w:r>
          </w:p>
        </w:tc>
      </w:tr>
      <w:tr>
        <w:trPr>
          <w:cantSplit w:val="0"/>
        </w:trPr>
        <w:tc>
          <w:tcPr>
            <w:shd w:fill="ffffff" w:val="clear"/>
            <w:tcMar>
              <w:top w:w="110.0" w:type="dxa"/>
              <w:bottom w:w="110.0" w:type="dxa"/>
              <w:left w:w="100" w:type="dxa"/>
              <w:right w:w="100" w:type="dxa"/>
            </w:tcMar>
            <w:vAlign w:val="center"/>
            <w:tcW w:w="21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Fixed forecasts and variable lead</w:t>
            </w:r>
          </w:p>
        </w:tc>
        <w:tc>
          <w:tcPr>
            <w:shd w:fill="ffffff" w:val="clear"/>
            <w:tcMar>
              <w:top w:w="110.0" w:type="dxa"/>
              <w:bottom w:w="110.0" w:type="dxa"/>
              <w:left w:w="100" w:type="dxa"/>
              <w:right w:w="100" w:type="dxa"/>
            </w:tcMar>
            <w:vAlign w:val="center"/>
            <w:tcW w:w="3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Later news is omitted; live horizons differ from historical 24 hours.</w:t>
            </w:r>
          </w:p>
        </w:tc>
        <w:tc>
          <w:tcPr>
            <w:shd w:fill="ffffff" w:val="clear"/>
            <w:tcMar>
              <w:top w:w="110.0" w:type="dxa"/>
              <w:bottom w:w="110.0" w:type="dxa"/>
              <w:left w:w="100" w:type="dxa"/>
              <w:right w:w="100" w:type="dxa"/>
            </w:tcMar>
            <w:vAlign w:val="center"/>
            <w:tcW w:w="3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original receipts; any revised-horizon experiment needs separate versions.</w:t>
            </w:r>
          </w:p>
        </w:tc>
      </w:tr>
      <w:tr>
        <w:trPr>
          <w:cantSplit w:val="0"/>
        </w:trPr>
        <w:tc>
          <w:tcPr>
            <w:shd w:fill="ffffff" w:val="clear"/>
            <w:tcMar>
              <w:top w:w="110.0" w:type="dxa"/>
              <w:bottom w:w="110.0" w:type="dxa"/>
              <w:left w:w="100" w:type="dxa"/>
              <w:right w:w="100" w:type="dxa"/>
            </w:tcMar>
            <w:vAlign w:val="center"/>
            <w:tcW w:w="21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Public feeds and local operation</w:t>
            </w:r>
          </w:p>
        </w:tc>
        <w:tc>
          <w:tcPr>
            <w:shd w:fill="ffffff" w:val="clear"/>
            <w:tcMar>
              <w:top w:w="110.0" w:type="dxa"/>
              <w:bottom w:w="110.0" w:type="dxa"/>
              <w:left w:w="100" w:type="dxa"/>
              <w:right w:w="100" w:type="dxa"/>
            </w:tcMar>
            <w:vAlign w:val="center"/>
            <w:tcW w:w="3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Outages, schema changes, clock error or a sleeping Mac can create gaps.</w:t>
            </w:r>
          </w:p>
        </w:tc>
        <w:tc>
          <w:tcPr>
            <w:shd w:fill="ffffff" w:val="clear"/>
            <w:tcMar>
              <w:top w:w="110.0" w:type="dxa"/>
              <w:bottom w:w="110.0" w:type="dxa"/>
              <w:left w:w="100" w:type="dxa"/>
              <w:right w:w="100" w:type="dxa"/>
            </w:tcMar>
            <w:vAlign w:val="center"/>
            <w:tcW w:w="3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Validate, fail visibly and preserve pending states; cloud operation not implemented.</w:t>
            </w:r>
          </w:p>
        </w:tc>
      </w:tr>
      <w:tr>
        <w:trPr>
          <w:cantSplit w:val="0"/>
        </w:trPr>
        <w:tc>
          <w:tcPr>
            <w:shd w:fill="ffffff" w:val="clear"/>
            <w:tcMar>
              <w:top w:w="110.0" w:type="dxa"/>
              <w:bottom w:w="110.0" w:type="dxa"/>
              <w:left w:w="100" w:type="dxa"/>
              <w:right w:w="100" w:type="dxa"/>
            </w:tcMar>
            <w:vAlign w:val="center"/>
            <w:tcW w:w="21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automatic correction audit</w:t>
            </w:r>
          </w:p>
        </w:tc>
        <w:tc>
          <w:tcPr>
            <w:shd w:fill="ffffff" w:val="clear"/>
            <w:tcMar>
              <w:top w:w="110.0" w:type="dxa"/>
              <w:bottom w:w="110.0" w:type="dxa"/>
              <w:left w:w="100" w:type="dxa"/>
              <w:right w:w="100" w:type="dxa"/>
            </w:tcMar>
            <w:vAlign w:val="center"/>
            <w:tcW w:w="3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Already-settled games may not reflect later source corrections.</w:t>
            </w:r>
          </w:p>
        </w:tc>
        <w:tc>
          <w:tcPr>
            <w:shd w:fill="ffffff" w:val="clear"/>
            <w:tcMar>
              <w:top w:w="110.0" w:type="dxa"/>
              <w:bottom w:w="110.0" w:type="dxa"/>
              <w:left w:w="100" w:type="dxa"/>
              <w:right w:w="100" w:type="dxa"/>
            </w:tcMar>
            <w:vAlign w:val="center"/>
            <w:tcW w:w="3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Explicit recheck possible; scheduled correction monitoring remains future work.</w:t>
            </w:r>
          </w:p>
        </w:tc>
      </w:tr>
      <w:tr>
        <w:trPr>
          <w:cantSplit w:val="0"/>
        </w:trPr>
        <w:tc>
          <w:tcPr>
            <w:shd w:fill="ffffff" w:val="clear"/>
            <w:tcMar>
              <w:top w:w="110.0" w:type="dxa"/>
              <w:bottom w:w="110.0" w:type="dxa"/>
              <w:left w:w="100" w:type="dxa"/>
              <w:right w:w="100" w:type="dxa"/>
            </w:tcMar>
            <w:vAlign w:val="center"/>
            <w:tcW w:w="21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market-adjusted test</w:t>
            </w:r>
          </w:p>
        </w:tc>
        <w:tc>
          <w:tcPr>
            <w:shd w:fill="ffffff" w:val="clear"/>
            <w:tcMar>
              <w:top w:w="110.0" w:type="dxa"/>
              <w:bottom w:w="110.0" w:type="dxa"/>
              <w:left w:w="100" w:type="dxa"/>
              <w:right w:w="100" w:type="dxa"/>
            </w:tcMar>
            <w:vAlign w:val="center"/>
            <w:tcW w:w="3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62.5% winners can still be unprofitable at unfavorable prices.</w:t>
            </w:r>
          </w:p>
        </w:tc>
        <w:tc>
          <w:tcPr>
            <w:shd w:fill="ffffff" w:val="clear"/>
            <w:tcMar>
              <w:top w:w="110.0" w:type="dxa"/>
              <w:bottom w:w="110.0" w:type="dxa"/>
              <w:left w:w="100" w:type="dxa"/>
              <w:right w:w="100" w:type="dxa"/>
            </w:tcMar>
            <w:vAlign w:val="center"/>
            <w:tcW w:w="3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claim of edge; matched odds, settlement and net-cost evaluation still required.</w:t>
            </w:r>
          </w:p>
        </w:tc>
      </w:tr>
      <w:tr>
        <w:trPr>
          <w:cantSplit w:val="0"/>
        </w:trPr>
        <w:tc>
          <w:tcPr>
            <w:shd w:fill="ffffff" w:val="clear"/>
            <w:tcMar>
              <w:top w:w="110.0" w:type="dxa"/>
              <w:bottom w:w="110.0" w:type="dxa"/>
              <w:left w:w="100" w:type="dxa"/>
              <w:right w:w="100" w:type="dxa"/>
            </w:tcMar>
            <w:vAlign w:val="center"/>
            <w:tcW w:w="214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Untracked local forecasting files</w:t>
            </w:r>
          </w:p>
        </w:tc>
        <w:tc>
          <w:tcPr>
            <w:shd w:fill="ffffff" w:val="clear"/>
            <w:tcMar>
              <w:top w:w="110.0" w:type="dxa"/>
              <w:bottom w:w="110.0" w:type="dxa"/>
              <w:left w:w="100" w:type="dxa"/>
              <w:right w:w="100" w:type="dxa"/>
            </w:tcMar>
            <w:vAlign w:val="center"/>
            <w:tcW w:w="3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Machine loss or accidental deletion can erase work.</w:t>
            </w:r>
          </w:p>
        </w:tc>
        <w:tc>
          <w:tcPr>
            <w:shd w:fill="ffffff" w:val="clear"/>
            <w:tcMar>
              <w:top w:w="110.0" w:type="dxa"/>
              <w:bottom w:w="110.0" w:type="dxa"/>
              <w:left w:w="100" w:type="dxa"/>
              <w:right w:w="100" w:type="dxa"/>
            </w:tcMar>
            <w:vAlign w:val="center"/>
            <w:tcW w:w="3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Commit and back up code and manifests; implement an archive backup plan.</w:t>
            </w:r>
          </w:p>
        </w:tc>
      </w:tr>
    </w:tbl>
    <w:p>
      <w:pPr>
        <w:rPr/>
      </w:pPr>
      <w:r>
        <w:rPr>
          <w:rtl w:val="0"/>
        </w:rPr>
        <w:t xml:space="preserve">Checks reduce specific failure modes; they do not certify the truth of an upstream feed or guarantee future performance. The system covers a small set of structured sources, not “all resources around football.” It does not automatically research every news story, model spreads or totals, predict player props, rank real wagers, or size stakes.</w:t>
      </w:r>
    </w:p>
    <w:p>
      <w:pPr>
        <w:pStyle w:val="Heading1"/>
        <w:pageBreakBefore w:val="1"/>
        <w:rPr/>
      </w:pPr>
      <w:bookmarkStart w:id="120" w:name="nfl_chapter_20"/>
      <w:r>
        <w:rPr>
          <w:rtl w:val="0"/>
        </w:rPr>
        <w:t xml:space="preserve">20 Verification and reproduction</w:t>
      </w:r>
      <w:bookmarkEnd w:id="120"/>
    </w:p>
    <w:p>
      <w:pPr>
        <w:rPr/>
      </w:pPr>
      <w:r>
        <w:rPr>
          <w:rtl w:val="0"/>
        </w:rPr>
        <w:t xml:space="preserve">Forecasting verification passed </w:t>
      </w:r>
      <w:r>
        <w:rPr>
          <w:rtl w:val="0"/>
          <w:b w:val="1"/>
        </w:rPr>
        <w:t xml:space="preserve">58 Python tests and 8 Node evaluator tests</w:t>
      </w:r>
      <w:r>
        <w:rPr>
          <w:rtl w:val="0"/>
        </w:rPr>
        <w:t xml:space="preserve">, covering leakage, timing, IDs, probabilities, source integrity, training splits, deadlines, injuries and paired scoring. Tests verify rules, not future accuracy.</w:t>
      </w:r>
    </w:p>
    <w:p>
      <w:pPr>
        <w:rPr/>
      </w:pPr>
      <w:r>
        <w:rPr>
          <w:rtl w:val="0"/>
        </w:rPr>
        <w:t xml:space="preserve">The earlier website record documents seven calculation tests, API integration, TypeScript checks and demo browser review. Live provider coverage, Maryland bet-slip equivalence, latency and quotas remain unverified by those tests.</w:t>
      </w:r>
    </w:p>
    <w:p>
      <w:pPr>
        <w:pStyle w:val="Heading2"/>
        <w:rPr/>
      </w:pPr>
      <w:r>
        <w:rPr>
          <w:rtl w:val="0"/>
        </w:rPr>
        <w:t xml:space="preserve">Useful local commands</w:t>
      </w:r>
    </w:p>
    <w:p>
      <w:pPr>
        <w:rPr/>
      </w:pPr>
      <w:r>
        <w:rPr>
          <w:rtl w:val="0"/>
        </w:rPr>
        <w:t xml:space="preserve">Run these from the nfl-research-pilot project directory:</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forecasting/.venv/bin/python forecasting/cycle.py — collect current public feeds, process forecasts/results, and save reports. This performs network requests and appends local records.</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forecasting/.venv/bin/python forecasting/cycle.py --no-capture — run against existing fresh archives. It can write reports or missing eligible records; it is not a purely read-only command.</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python3 forecasting/snapshots.py verify — verify archived schedule payloads and observations.</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forecasting/.venv/bin/python -m unittest discover -s forecasting -p 'test_*.py' — run Python checks.</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node --test forecasting/evaluate.test.mjs — run evaluator checks with a supported Node runtime.</w:t>
      </w:r>
    </w:p>
    <w:p>
      <w:pPr>
        <w:pStyle w:val="Heading2"/>
        <w:rPr/>
      </w:pPr>
      <w:r>
        <w:rPr>
          <w:rtl w:val="0"/>
        </w:rPr>
        <w:t xml:space="preserve">Reproducing training safely</w:t>
      </w:r>
    </w:p>
    <w:p>
      <w:pPr>
        <w:rPr/>
      </w:pPr>
      <w:r>
        <w:rPr>
          <w:rtl w:val="0"/>
        </w:rPr>
        <w:t xml:space="preserve">Use the pinned requirements-training.txt and the saved input manifests. train_model.py refuses to overwrite an existing run; use a fresh --output directory for a reproduction. Do not repeatedly rerun the original holdout as if each rerun were new evidence. compare_players.py is a development comparison, not permission to reinterpret 2024–2025 as unseen.</w:t>
      </w:r>
    </w:p>
    <w:p>
      <w:pPr>
        <w:rPr/>
      </w:pPr>
      <w:r>
        <w:rPr>
          <w:rtl w:val="0"/>
        </w:rPr>
        <w:t xml:space="preserve">Checksum checks passed for six training outputs, seven frozen-test outputs and thirteen player-comparison outputs. Forecast checks confirmed probability sums, matched cutoffs and at least 24 hours of lead. This guide changes no training data or original predictions.</w:t>
      </w:r>
    </w:p>
    <w:p>
      <w:pPr>
        <w:pStyle w:val="Heading1"/>
        <w:pageBreakBefore w:val="1"/>
        <w:rPr/>
      </w:pPr>
      <w:bookmarkStart w:id="121" w:name="nfl_chapter_21"/>
      <w:r>
        <w:rPr>
          <w:rtl w:val="0"/>
        </w:rPr>
        <w:t xml:space="preserve">21 Recommendations and next decisions</w:t>
      </w:r>
      <w:bookmarkEnd w:id="121"/>
    </w:p>
    <w:p>
      <w:pPr>
        <w:rPr/>
      </w:pPr>
      <w:r>
        <w:rPr>
          <w:rtl w:val="0"/>
        </w:rPr>
        <w:t xml:space="preserve">Keep the team-only model as the primary reference and both player variants in shadow mode. The immediate goal is a trustworthy prospective record across different weeks and conditions, with the same games and cutoffs compared. One good Sunday cannot establish a durable advantage.</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650"/>
        <w:gridCol w:w="4000"/>
        <w:gridCol w:w="4470"/>
      </w:tblGrid>
      <w:tr>
        <w:trPr>
          <w:cantSplit w:val="0"/>
          <w:tblHeader w:val="1"/>
        </w:trPr>
        <w:tc>
          <w:tcPr>
            <w:shd w:fill="f2f2f2" w:val="clear"/>
            <w:tcMar>
              <w:top w:w="110.0" w:type="dxa"/>
              <w:bottom w:w="110.0" w:type="dxa"/>
              <w:left w:w="100" w:type="dxa"/>
              <w:right w:w="100" w:type="dxa"/>
            </w:tcMar>
            <w:vAlign w:val="center"/>
            <w:tcW w:w="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Priority</w:t>
            </w:r>
          </w:p>
        </w:tc>
        <w:tc>
          <w:tcPr>
            <w:shd w:fill="f2f2f2" w:val="clear"/>
            <w:tcMar>
              <w:top w:w="110.0" w:type="dxa"/>
              <w:bottom w:w="110.0" w:type="dxa"/>
              <w:left w:w="100" w:type="dxa"/>
              <w:right w:w="100" w:type="dxa"/>
            </w:tcMar>
            <w:vAlign w:val="center"/>
            <w:tcW w:w="4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Proposed next work</w:t>
            </w:r>
          </w:p>
        </w:tc>
        <w:tc>
          <w:tcPr>
            <w:shd w:fill="f2f2f2" w:val="clear"/>
            <w:tcMar>
              <w:top w:w="110.0" w:type="dxa"/>
              <w:bottom w:w="110.0" w:type="dxa"/>
              <w:left w:w="100" w:type="dxa"/>
              <w:right w:w="100" w:type="dxa"/>
            </w:tcMar>
            <w:vAlign w:val="center"/>
            <w:tcW w:w="4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Evidence needed before relying on it</w:t>
            </w:r>
          </w:p>
        </w:tc>
      </w:tr>
      <w:tr>
        <w:trPr>
          <w:cantSplit w:val="0"/>
        </w:trPr>
        <w:tc>
          <w:tcPr>
            <w:shd w:fill="ffffff" w:val="clear"/>
            <w:tcMar>
              <w:top w:w="110.0" w:type="dxa"/>
              <w:bottom w:w="110.0" w:type="dxa"/>
              <w:left w:w="100" w:type="dxa"/>
              <w:right w:w="100" w:type="dxa"/>
            </w:tcMar>
            <w:vAlign w:val="center"/>
            <w:tcW w:w="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w:t>
            </w:r>
          </w:p>
        </w:tc>
        <w:tc>
          <w:tcPr>
            <w:shd w:fill="ffffff" w:val="clear"/>
            <w:tcMar>
              <w:top w:w="110.0" w:type="dxa"/>
              <w:bottom w:w="110.0" w:type="dxa"/>
              <w:left w:w="100" w:type="dxa"/>
              <w:right w:w="100" w:type="dxa"/>
            </w:tcMar>
            <w:vAlign w:val="center"/>
            <w:tcW w:w="4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Observe complete scheduled collection, final-result import and paired scoring.</w:t>
            </w:r>
          </w:p>
        </w:tc>
        <w:tc>
          <w:tcPr>
            <w:shd w:fill="ffffff" w:val="clear"/>
            <w:tcMar>
              <w:top w:w="110.0" w:type="dxa"/>
              <w:bottom w:w="110.0" w:type="dxa"/>
              <w:left w:w="100" w:type="dxa"/>
              <w:right w:w="100" w:type="dxa"/>
            </w:tcMar>
            <w:vAlign w:val="center"/>
            <w:tcW w:w="4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Successful unattended date transitions; explicit coverage gaps; verified final receipts.</w:t>
            </w:r>
          </w:p>
        </w:tc>
      </w:tr>
      <w:tr>
        <w:trPr>
          <w:cantSplit w:val="0"/>
        </w:trPr>
        <w:tc>
          <w:tcPr>
            <w:shd w:fill="ffffff" w:val="clear"/>
            <w:tcMar>
              <w:top w:w="110.0" w:type="dxa"/>
              <w:bottom w:w="110.0" w:type="dxa"/>
              <w:left w:w="100" w:type="dxa"/>
              <w:right w:w="100" w:type="dxa"/>
            </w:tcMar>
            <w:vAlign w:val="center"/>
            <w:tcW w:w="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w:t>
            </w:r>
          </w:p>
        </w:tc>
        <w:tc>
          <w:tcPr>
            <w:shd w:fill="ffffff" w:val="clear"/>
            <w:tcMar>
              <w:top w:w="110.0" w:type="dxa"/>
              <w:bottom w:w="110.0" w:type="dxa"/>
              <w:left w:w="100" w:type="dxa"/>
              <w:right w:w="100" w:type="dxa"/>
            </w:tcMar>
            <w:vAlign w:val="center"/>
            <w:tcW w:w="4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Commit code and manifests; back up raw archives and issued forecasts.</w:t>
            </w:r>
          </w:p>
        </w:tc>
        <w:tc>
          <w:tcPr>
            <w:shd w:fill="ffffff" w:val="clear"/>
            <w:tcMar>
              <w:top w:w="110.0" w:type="dxa"/>
              <w:bottom w:w="110.0" w:type="dxa"/>
              <w:left w:w="100" w:type="dxa"/>
              <w:right w:w="100" w:type="dxa"/>
            </w:tcMar>
            <w:vAlign w:val="center"/>
            <w:tcW w:w="4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Restore rehearsal and reproducible archived prediction, without exposing credentials.</w:t>
            </w:r>
          </w:p>
        </w:tc>
      </w:tr>
      <w:tr>
        <w:trPr>
          <w:cantSplit w:val="0"/>
        </w:trPr>
        <w:tc>
          <w:tcPr>
            <w:shd w:fill="ffffff" w:val="clear"/>
            <w:tcMar>
              <w:top w:w="110.0" w:type="dxa"/>
              <w:bottom w:w="110.0" w:type="dxa"/>
              <w:left w:w="100" w:type="dxa"/>
              <w:right w:w="100" w:type="dxa"/>
            </w:tcMar>
            <w:vAlign w:val="center"/>
            <w:tcW w:w="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w:t>
            </w:r>
          </w:p>
        </w:tc>
        <w:tc>
          <w:tcPr>
            <w:shd w:fill="ffffff" w:val="clear"/>
            <w:tcMar>
              <w:top w:w="110.0" w:type="dxa"/>
              <w:bottom w:w="110.0" w:type="dxa"/>
              <w:left w:w="100" w:type="dxa"/>
              <w:right w:w="100" w:type="dxa"/>
            </w:tcMar>
            <w:vAlign w:val="center"/>
            <w:tcW w:w="4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Integrate confirmed roster/starter history and timestamped injury reports.</w:t>
            </w:r>
          </w:p>
        </w:tc>
        <w:tc>
          <w:tcPr>
            <w:shd w:fill="ffffff" w:val="clear"/>
            <w:tcMar>
              <w:top w:w="110.0" w:type="dxa"/>
              <w:bottom w:w="110.0" w:type="dxa"/>
              <w:left w:w="100" w:type="dxa"/>
              <w:right w:w="100" w:type="dxa"/>
            </w:tcMar>
            <w:vAlign w:val="center"/>
            <w:tcW w:w="4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Documented availability, season coverage, IDs and replacement handling; separate ablation study.</w:t>
            </w:r>
          </w:p>
        </w:tc>
      </w:tr>
      <w:tr>
        <w:trPr>
          <w:cantSplit w:val="0"/>
        </w:trPr>
        <w:tc>
          <w:tcPr>
            <w:shd w:fill="ffffff" w:val="clear"/>
            <w:tcMar>
              <w:top w:w="110.0" w:type="dxa"/>
              <w:bottom w:w="110.0" w:type="dxa"/>
              <w:left w:w="100" w:type="dxa"/>
              <w:right w:w="100" w:type="dxa"/>
            </w:tcMar>
            <w:vAlign w:val="center"/>
            <w:tcW w:w="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w:t>
            </w:r>
          </w:p>
        </w:tc>
        <w:tc>
          <w:tcPr>
            <w:shd w:fill="ffffff" w:val="clear"/>
            <w:tcMar>
              <w:top w:w="110.0" w:type="dxa"/>
              <w:bottom w:w="110.0" w:type="dxa"/>
              <w:left w:w="100" w:type="dxa"/>
              <w:right w:w="100" w:type="dxa"/>
            </w:tcMar>
            <w:vAlign w:val="center"/>
            <w:tcW w:w="4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Test more recent rolling training, opponent adjustment and calibration.</w:t>
            </w:r>
          </w:p>
        </w:tc>
        <w:tc>
          <w:tcPr>
            <w:shd w:fill="ffffff" w:val="clear"/>
            <w:tcMar>
              <w:top w:w="110.0" w:type="dxa"/>
              <w:bottom w:w="110.0" w:type="dxa"/>
              <w:left w:w="100" w:type="dxa"/>
              <w:right w:w="100" w:type="dxa"/>
            </w:tcMar>
            <w:vAlign w:val="center"/>
            <w:tcW w:w="4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Predeclared chronological evaluation; training-only fitting; future comparison with unchanged baseline.</w:t>
            </w:r>
          </w:p>
        </w:tc>
      </w:tr>
      <w:tr>
        <w:trPr>
          <w:cantSplit w:val="0"/>
        </w:trPr>
        <w:tc>
          <w:tcPr>
            <w:shd w:fill="ffffff" w:val="clear"/>
            <w:tcMar>
              <w:top w:w="110.0" w:type="dxa"/>
              <w:bottom w:w="110.0" w:type="dxa"/>
              <w:left w:w="100" w:type="dxa"/>
              <w:right w:w="100" w:type="dxa"/>
            </w:tcMar>
            <w:vAlign w:val="center"/>
            <w:tcW w:w="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w:t>
            </w:r>
          </w:p>
        </w:tc>
        <w:tc>
          <w:tcPr>
            <w:shd w:fill="ffffff" w:val="clear"/>
            <w:tcMar>
              <w:top w:w="110.0" w:type="dxa"/>
              <w:bottom w:w="110.0" w:type="dxa"/>
              <w:left w:w="100" w:type="dxa"/>
              <w:right w:w="100" w:type="dxa"/>
            </w:tcMar>
            <w:vAlign w:val="center"/>
            <w:tcW w:w="4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Connect model receipts and pending/final results to the dashboard.</w:t>
            </w:r>
          </w:p>
        </w:tc>
        <w:tc>
          <w:tcPr>
            <w:shd w:fill="ffffff" w:val="clear"/>
            <w:tcMar>
              <w:top w:w="110.0" w:type="dxa"/>
              <w:bottom w:w="110.0" w:type="dxa"/>
              <w:left w:w="100" w:type="dxa"/>
              <w:right w:w="100" w:type="dxa"/>
            </w:tcMar>
            <w:vAlign w:val="center"/>
            <w:tcW w:w="4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Clear model version, cutoff, source age, mode and provenance; no conflation with quote consensus.</w:t>
            </w:r>
          </w:p>
        </w:tc>
      </w:tr>
      <w:tr>
        <w:trPr>
          <w:cantSplit w:val="0"/>
        </w:trPr>
        <w:tc>
          <w:tcPr>
            <w:shd w:fill="ffffff" w:val="clear"/>
            <w:tcMar>
              <w:top w:w="110.0" w:type="dxa"/>
              <w:bottom w:w="110.0" w:type="dxa"/>
              <w:left w:w="100" w:type="dxa"/>
              <w:right w:w="100" w:type="dxa"/>
            </w:tcMar>
            <w:vAlign w:val="center"/>
            <w:tcW w:w="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w:t>
            </w:r>
          </w:p>
        </w:tc>
        <w:tc>
          <w:tcPr>
            <w:shd w:fill="ffffff" w:val="clear"/>
            <w:tcMar>
              <w:top w:w="110.0" w:type="dxa"/>
              <w:bottom w:w="110.0" w:type="dxa"/>
              <w:left w:w="100" w:type="dxa"/>
              <w:right w:w="100" w:type="dxa"/>
            </w:tcMar>
            <w:vAlign w:val="center"/>
            <w:tcW w:w="4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Consider a paid data trial only for a specific measured gap.</w:t>
            </w:r>
          </w:p>
        </w:tc>
        <w:tc>
          <w:tcPr>
            <w:shd w:fill="ffffff" w:val="clear"/>
            <w:tcMar>
              <w:top w:w="110.0" w:type="dxa"/>
              <w:bottom w:w="110.0" w:type="dxa"/>
              <w:left w:w="100" w:type="dxa"/>
              <w:right w:w="100" w:type="dxa"/>
            </w:tcMar>
            <w:vAlign w:val="center"/>
            <w:tcW w:w="4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Coverage/timestamp audit and incremental value versus free data; total software budget and API use tracked.</w:t>
            </w:r>
          </w:p>
        </w:tc>
      </w:tr>
      <w:tr>
        <w:trPr>
          <w:cantSplit w:val="0"/>
        </w:trPr>
        <w:tc>
          <w:tcPr>
            <w:shd w:fill="ffffff" w:val="clear"/>
            <w:tcMar>
              <w:top w:w="110.0" w:type="dxa"/>
              <w:bottom w:w="110.0" w:type="dxa"/>
              <w:left w:w="100" w:type="dxa"/>
              <w:right w:w="100" w:type="dxa"/>
            </w:tcMar>
            <w:vAlign w:val="center"/>
            <w:tcW w:w="65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w:t>
            </w:r>
          </w:p>
        </w:tc>
        <w:tc>
          <w:tcPr>
            <w:shd w:fill="ffffff" w:val="clear"/>
            <w:tcMar>
              <w:top w:w="110.0" w:type="dxa"/>
              <w:bottom w:w="110.0" w:type="dxa"/>
              <w:left w:w="100" w:type="dxa"/>
              <w:right w:w="100" w:type="dxa"/>
            </w:tcMar>
            <w:vAlign w:val="center"/>
            <w:tcW w:w="4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If evaluating betting usefulness, add matching timestamped prices and exact settlement rules.</w:t>
            </w:r>
          </w:p>
        </w:tc>
        <w:tc>
          <w:tcPr>
            <w:shd w:fill="ffffff" w:val="clear"/>
            <w:tcMar>
              <w:top w:w="110.0" w:type="dxa"/>
              <w:bottom w:w="110.0" w:type="dxa"/>
              <w:left w:w="100" w:type="dxa"/>
              <w:right w:w="100" w:type="dxa"/>
            </w:tcMar>
            <w:vAlign w:val="center"/>
            <w:tcW w:w="447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Prospective price benchmark, realistic execution assumptions and net-cost reporting; winner accuracy alone is insufficient.</w:t>
            </w:r>
          </w:p>
        </w:tc>
      </w:tr>
    </w:tbl>
    <w:p>
      <w:pPr>
        <w:rPr/>
      </w:pPr>
      <w:r>
        <w:rPr>
          <w:rtl w:val="0"/>
        </w:rPr>
        <w:t xml:space="preserve">No fixed number of future games guarantees sufficient evidence. Review probability loss, calibration, accuracy, coverage and uncertainty together. A player model should only replace the primary after a separately defined prospective comparison supports the change; the current code does not implement an automatic promotion gate.</w:t>
      </w:r>
    </w:p>
    <w:p>
      <w:pPr>
        <w:rPr/>
      </w:pPr>
      <w:r>
        <w:rPr>
          <w:rtl w:val="0"/>
        </w:rPr>
        <w:t xml:space="preserve">These are proposed next steps, not completed features or purchases. The completed work provides an auditable baseline, two challengers and a live recording loop. The unresolved question is how well those fixed models generalize on games that occur after forecasts are saved.</w:t>
      </w:r>
    </w:p>
    <w:p>
      <w:pPr>
        <w:pStyle w:val="Heading1"/>
        <w:pageBreakBefore w:val="1"/>
        <w:rPr/>
      </w:pPr>
      <w:bookmarkStart w:id="122" w:name="nfl_chapter_22"/>
      <w:r>
        <w:rPr>
          <w:rtl w:val="0"/>
        </w:rPr>
        <w:t xml:space="preserve">22 Appendix of files and evidence</w:t>
      </w:r>
      <w:bookmarkEnd w:id="122"/>
    </w:p>
    <w:p>
      <w:pPr>
        <w:rPr/>
      </w:pPr>
      <w:r>
        <w:rPr>
          <w:rtl w:val="0"/>
        </w:rPr>
        <w:t xml:space="preserve">The project folder is nfl-research-pilot under the user’s Betting startegies workspace. Paths below are relative to that project so the folder can be moved without changing this guide.</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560"/>
        <w:gridCol w:w="4560"/>
      </w:tblGrid>
      <w:tr>
        <w:trPr>
          <w:cantSplit w:val="0"/>
          <w:tblHeader w:val="1"/>
        </w:trPr>
        <w:tc>
          <w:tcPr>
            <w:shd w:fill="f2f2f2"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Path or group</w:t>
            </w:r>
          </w:p>
        </w:tc>
        <w:tc>
          <w:tcPr>
            <w:shd w:fill="f2f2f2"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Purpose</w:t>
            </w:r>
          </w:p>
        </w:tc>
      </w:tr>
      <w:tr>
        <w:trPr>
          <w:cantSplit w:val="0"/>
        </w:trPr>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README.md; VERIFICATION.md</w:t>
            </w:r>
          </w:p>
        </w:tc>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Earlier website design, setup and test record.</w:t>
            </w:r>
          </w:p>
        </w:tc>
      </w:tr>
      <w:tr>
        <w:trPr>
          <w:cantSplit w:val="0"/>
        </w:trPr>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app/dashboard.tsx; app/api/lab/route.ts; lib/odds.ts; db/schema.ts</w:t>
            </w:r>
          </w:p>
        </w:tc>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Website display, server provider adapter, consensus math and paper-ledger schema.</w:t>
            </w:r>
          </w:p>
        </w:tc>
      </w:tr>
      <w:tr>
        <w:trPr>
          <w:cantSplit w:val="0"/>
        </w:trPr>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forecasting/README.md</w:t>
            </w:r>
          </w:p>
        </w:tc>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Detailed operational and modeling reference.</w:t>
            </w:r>
          </w:p>
        </w:tc>
      </w:tr>
      <w:tr>
        <w:trPr>
          <w:cantSplit w:val="0"/>
        </w:trPr>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forecasting/build_features.py; data/processed/v1/</w:t>
            </w:r>
          </w:p>
        </w:tc>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Historical features, separate labels and split manifest. Data path is inside forecasting/.</w:t>
            </w:r>
          </w:p>
        </w:tc>
      </w:tr>
      <w:tr>
        <w:trPr>
          <w:cantSplit w:val="0"/>
        </w:trPr>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forecasting/snapshots.py; feeds.py; data/snapshots/; data/feeds/</w:t>
            </w:r>
          </w:p>
        </w:tc>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Source collectors, receipt metadata and content-addressed payloads. All paths after the first are inside forecasting/.</w:t>
            </w:r>
          </w:p>
        </w:tc>
      </w:tr>
      <w:tr>
        <w:trPr>
          <w:cantSplit w:val="0"/>
        </w:trPr>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forecasting/training-plan.json; train_model.py; model.py</w:t>
            </w:r>
          </w:p>
        </w:tc>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Selection plan, estimator fitting and portable inference.</w:t>
            </w:r>
          </w:p>
        </w:tc>
      </w:tr>
      <w:tr>
        <w:trPr>
          <w:cantSplit w:val="0"/>
        </w:trPr>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forecasting/runs/outcome-logit-v1/</w:t>
            </w:r>
          </w:p>
        </w:tc>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Primary model, validation report, timing experiments and artifact hashes.</w:t>
            </w:r>
          </w:p>
        </w:tc>
      </w:tr>
      <w:tr>
        <w:trPr>
          <w:cantSplit w:val="0"/>
        </w:trPr>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forecasting/runs/outcome-logit-v1/holdout-2024-2025/</w:t>
            </w:r>
          </w:p>
        </w:tc>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Frozen test plan, exact model copy, saved predictions, exposure marker and scored report.</w:t>
            </w:r>
          </w:p>
        </w:tc>
      </w:tr>
      <w:tr>
        <w:trPr>
          <w:cantSplit w:val="0"/>
        </w:trPr>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forecasting/player_features.py; player-plan.json; compare_players.py</w:t>
            </w:r>
          </w:p>
        </w:tc>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Player feature definitions and challenger experiment.</w:t>
            </w:r>
          </w:p>
        </w:tc>
      </w:tr>
      <w:tr>
        <w:trPr>
          <w:cantSplit w:val="0"/>
        </w:trPr>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forecasting/runs/player-comparison-v1/</w:t>
            </w:r>
          </w:p>
        </w:tc>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Player model JSON, matrices, predictions, comparison report and checksums.</w:t>
            </w:r>
          </w:p>
        </w:tc>
      </w:tr>
      <w:tr>
        <w:trPr>
          <w:cantSplit w:val="0"/>
        </w:trPr>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forecasting/live.py; score_live.py; cycle.py</w:t>
            </w:r>
          </w:p>
        </w:tc>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Forecast publication, final-result import, paired scoring and recurring orchestration.</w:t>
            </w:r>
          </w:p>
        </w:tc>
      </w:tr>
      <w:tr>
        <w:trPr>
          <w:cantSplit w:val="0"/>
        </w:trPr>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forecasting/live/forecasts/; results/; reports/; cycles/</w:t>
            </w:r>
          </w:p>
        </w:tc>
        <w:tc>
          <w:tcPr>
            <w:shd w:fill="ffffff" w:val="clear"/>
            <w:tcMar>
              <w:top w:w="110.0" w:type="dxa"/>
              <w:bottom w:w="110.0" w:type="dxa"/>
              <w:left w:w="100" w:type="dxa"/>
              <w:right w:w="1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Issued model receipts, observed finals, readable comparisons and operational logs. These subfolders are inside forecasting/live/.</w:t>
            </w:r>
          </w:p>
        </w:tc>
      </w:tr>
    </w:tbl>
    <w:p>
      <w:pPr>
        <w:rPr/>
      </w:pPr>
      <w:r>
        <w:rPr>
          <w:rtl w:val="0"/>
        </w:rPr>
        <w:t xml:space="preserve">Read forecasting/live/reports/2026-09-27-comparison.md for all three classes across the first cohort, and prospective-scores.md in the same directory for subsequent scoring. The latest report embedded in this guide is the 26 September 2026 14:30:49 UTC checkpoint.</w:t>
      </w:r>
    </w:p>
    <w:p>
      <w:pPr>
        <w:pStyle w:val="Heading1"/>
        <w:pageBreakBefore w:val="1"/>
        <w:rPr/>
      </w:pPr>
      <w:bookmarkStart w:id="123" w:name="nfl_chapter_23"/>
      <w:r>
        <w:rPr>
          <w:rtl w:val="0"/>
        </w:rPr>
        <w:t xml:space="preserve">23 Sources and glossary</w:t>
      </w:r>
      <w:bookmarkEnd w:id="123"/>
    </w:p>
    <w:p>
      <w:pPr>
        <w:rPr/>
      </w:pPr>
      <w:r>
        <w:rPr>
          <w:rtl w:val="0"/>
        </w:rPr>
        <w:t xml:space="preserve">Local implementation and saved reports are the authority for project-specific results in this guide. External documentation explains source fields and methods; it does not independently validate our models. Public references were checked on 26 September 2026.</w:t>
      </w:r>
    </w:p>
    <w:p>
      <w:pPr>
        <w:rPr/>
      </w:pPr>
      <w:r>
        <w:rPr>
          <w:rtl w:val="0"/>
          <w:b w:val="1"/>
        </w:rPr>
        <w:t xml:space="preserve">[S1] nflverse games feed and schedule dictionary</w:t>
      </w:r>
    </w:p>
    <w:p>
      <w:pPr>
        <w:rPr/>
        <w:spacing w:after="30"/>
      </w:pPr>
      <w:r>
        <w:rPr>
          <w:rtl w:val="0"/>
          <w:sz w:val="18"/>
        </w:rPr>
        <w:t xml:space="preserve">https://raw.githubusercontent.com/nflverse/nfldata/master/data/games.csv</w:t>
      </w:r>
    </w:p>
    <w:p>
      <w:pPr>
        <w:rPr/>
        <w:spacing w:after="30"/>
      </w:pPr>
      <w:r>
        <w:rPr>
          <w:rtl w:val="0"/>
          <w:sz w:val="18"/>
        </w:rPr>
        <w:t xml:space="preserve">https://nflreadr.nflverse.com/articles/dictionary_schedules.html</w:t>
      </w:r>
    </w:p>
    <w:p>
      <w:pPr>
        <w:rPr/>
      </w:pPr>
      <w:r>
        <w:rPr>
          <w:rtl w:val="0"/>
          <w:b w:val="1"/>
        </w:rPr>
        <w:t xml:space="preserve">[S2] nflverse player statistics and field dictionary</w:t>
      </w:r>
    </w:p>
    <w:p>
      <w:pPr>
        <w:rPr/>
        <w:spacing w:after="30"/>
      </w:pPr>
      <w:r>
        <w:rPr>
          <w:rtl w:val="0"/>
          <w:sz w:val="18"/>
        </w:rPr>
        <w:t xml:space="preserve">https://nflreadr.nflverse.com/reference/load_player_stats.html</w:t>
      </w:r>
    </w:p>
    <w:p>
      <w:pPr>
        <w:rPr/>
        <w:spacing w:after="30"/>
      </w:pPr>
      <w:r>
        <w:rPr>
          <w:rtl w:val="0"/>
          <w:sz w:val="18"/>
        </w:rPr>
        <w:t xml:space="preserve">https://nflreadr.nflverse.com/articles/dictionary_player_stats.html</w:t>
      </w:r>
    </w:p>
    <w:p>
      <w:pPr>
        <w:rPr/>
      </w:pPr>
      <w:r>
        <w:rPr>
          <w:rtl w:val="0"/>
          <w:b w:val="1"/>
        </w:rPr>
        <w:t xml:space="preserve">[S3] nflverse injury fields and update schedule</w:t>
      </w:r>
    </w:p>
    <w:p>
      <w:pPr>
        <w:rPr/>
        <w:spacing w:after="30"/>
      </w:pPr>
      <w:r>
        <w:rPr>
          <w:rtl w:val="0"/>
          <w:sz w:val="18"/>
        </w:rPr>
        <w:t xml:space="preserve">https://nflreadr.nflverse.com/articles/dictionary_injuries.html</w:t>
      </w:r>
    </w:p>
    <w:p>
      <w:pPr>
        <w:rPr/>
        <w:spacing w:after="30"/>
      </w:pPr>
      <w:r>
        <w:rPr>
          <w:rtl w:val="0"/>
          <w:sz w:val="18"/>
        </w:rPr>
        <w:t xml:space="preserve">https://nflreadr.nflverse.com/articles/nflverse_data_schedule.html</w:t>
      </w:r>
    </w:p>
    <w:p>
      <w:pPr>
        <w:rPr/>
      </w:pPr>
      <w:r>
        <w:rPr>
          <w:rtl w:val="0"/>
          <w:b w:val="1"/>
        </w:rPr>
        <w:t xml:space="preserve">[S4] ESPN public NFL daily scoreboard endpoint</w:t>
      </w:r>
    </w:p>
    <w:p>
      <w:pPr>
        <w:rPr/>
        <w:spacing w:after="30"/>
      </w:pPr>
      <w:r>
        <w:rPr>
          <w:rtl w:val="0"/>
          <w:sz w:val="18"/>
        </w:rPr>
        <w:t xml:space="preserve">https://site.api.espn.com/apis/site/v2/sports/football/nfl/scoreboard?dates=20260927&amp;limit=1000</w:t>
      </w:r>
    </w:p>
    <w:p>
      <w:pPr>
        <w:rPr/>
      </w:pPr>
      <w:r>
        <w:rPr>
          <w:rtl w:val="0"/>
          <w:b w:val="1"/>
        </w:rPr>
        <w:t xml:space="preserve">[S5] scikit-learn logistic regression and leakage guidance</w:t>
      </w:r>
    </w:p>
    <w:p>
      <w:pPr>
        <w:rPr/>
        <w:spacing w:after="30"/>
      </w:pPr>
      <w:r>
        <w:rPr>
          <w:rtl w:val="0"/>
          <w:sz w:val="18"/>
        </w:rPr>
        <w:t xml:space="preserve">https://scikit-learn.org/stable/modules/generated/sklearn.linear_model.LogisticRegression.html</w:t>
      </w:r>
    </w:p>
    <w:p>
      <w:pPr>
        <w:rPr/>
        <w:spacing w:after="30"/>
      </w:pPr>
      <w:r>
        <w:rPr>
          <w:rtl w:val="0"/>
          <w:sz w:val="18"/>
        </w:rPr>
        <w:t xml:space="preserve">https://scikit-learn.org/stable/common_pitfalls.html#data-leakage</w:t>
      </w:r>
    </w:p>
    <w:p>
      <w:pPr>
        <w:rPr/>
      </w:pPr>
      <w:r>
        <w:rPr>
          <w:rtl w:val="0"/>
          <w:b w:val="1"/>
        </w:rPr>
        <w:t xml:space="preserve">[S6] scikit-learn probability calibration documentation</w:t>
      </w:r>
    </w:p>
    <w:p>
      <w:pPr>
        <w:rPr/>
        <w:spacing w:after="30"/>
      </w:pPr>
      <w:r>
        <w:rPr>
          <w:rtl w:val="0"/>
          <w:sz w:val="18"/>
        </w:rPr>
        <w:t xml:space="preserve">https://scikit-learn.org/stable/modules/calibration.html</w:t>
      </w:r>
    </w:p>
    <w:p>
      <w:pPr>
        <w:rPr/>
      </w:pPr>
      <w:r>
        <w:rPr>
          <w:rtl w:val="0"/>
          <w:b w:val="1"/>
        </w:rPr>
        <w:t xml:space="preserve">[S7] The Odds API provider documentation</w:t>
      </w:r>
    </w:p>
    <w:p>
      <w:pPr>
        <w:rPr/>
        <w:spacing w:after="30"/>
      </w:pPr>
      <w:r>
        <w:rPr>
          <w:rtl w:val="0"/>
          <w:sz w:val="18"/>
        </w:rPr>
        <w:t xml:space="preserve">https://the-odds-api.com/liveapi/guides/v4/</w:t>
      </w:r>
    </w:p>
    <w:p>
      <w:pPr>
        <w:pStyle w:val="Heading2"/>
        <w:rPr/>
      </w:pPr>
      <w:r>
        <w:rPr>
          <w:rtl w:val="0"/>
        </w:rPr>
        <w:t xml:space="preserve">Glossary</w:t>
      </w:r>
    </w:p>
    <w:p>
      <w:pPr>
        <w:rPr/>
      </w:pPr>
      <w:r>
        <w:rPr>
          <w:rtl w:val="0"/>
          <w:b w:val="1"/>
        </w:rPr>
        <w:t xml:space="preserve">Feature</w:t>
      </w:r>
      <w:r>
        <w:rPr>
          <w:rtl w:val="0"/>
        </w:rPr>
        <w:t xml:space="preserve"> — a numeric model input. </w:t>
      </w:r>
      <w:r>
        <w:rPr>
          <w:rtl w:val="0"/>
          <w:b w:val="1"/>
        </w:rPr>
        <w:t xml:space="preserve">Label</w:t>
      </w:r>
      <w:r>
        <w:rPr>
          <w:rtl w:val="0"/>
        </w:rPr>
        <w:t xml:space="preserve"> — the observed outcome used for training or scoring. </w:t>
      </w:r>
      <w:r>
        <w:rPr>
          <w:rtl w:val="0"/>
          <w:b w:val="1"/>
        </w:rPr>
        <w:t xml:space="preserve">Cutoff</w:t>
      </w:r>
      <w:r>
        <w:rPr>
          <w:rtl w:val="0"/>
        </w:rPr>
        <w:t xml:space="preserve"> — the latest time information may enter a forecast. </w:t>
      </w:r>
      <w:r>
        <w:rPr>
          <w:rtl w:val="0"/>
          <w:b w:val="1"/>
        </w:rPr>
        <w:t xml:space="preserve">Prospective</w:t>
      </w:r>
      <w:r>
        <w:rPr>
          <w:rtl w:val="0"/>
        </w:rPr>
        <w:t xml:space="preserve"> — saved before the game with real observed inputs. </w:t>
      </w:r>
      <w:r>
        <w:rPr>
          <w:rtl w:val="0"/>
          <w:b w:val="1"/>
        </w:rPr>
        <w:t xml:space="preserve">Retrospective</w:t>
      </w:r>
      <w:r>
        <w:rPr>
          <w:rtl w:val="0"/>
        </w:rPr>
        <w:t xml:space="preserve"> — reconstructed after the game. </w:t>
      </w:r>
      <w:r>
        <w:rPr>
          <w:rtl w:val="0"/>
          <w:b w:val="1"/>
        </w:rPr>
        <w:t xml:space="preserve">Shadow model</w:t>
      </w:r>
      <w:r>
        <w:rPr>
          <w:rtl w:val="0"/>
        </w:rPr>
        <w:t xml:space="preserve"> — compared without replacing the primary. </w:t>
      </w:r>
      <w:r>
        <w:rPr>
          <w:rtl w:val="0"/>
          <w:b w:val="1"/>
        </w:rPr>
        <w:t xml:space="preserve">Ablation</w:t>
      </w:r>
      <w:r>
        <w:rPr>
          <w:rtl w:val="0"/>
        </w:rPr>
        <w:t xml:space="preserve"> — comparison with a feature group removed. </w:t>
      </w:r>
      <w:r>
        <w:rPr>
          <w:rtl w:val="0"/>
          <w:b w:val="1"/>
        </w:rPr>
        <w:t xml:space="preserve">Calibration</w:t>
      </w:r>
      <w:r>
        <w:rPr>
          <w:rtl w:val="0"/>
        </w:rPr>
        <w:t xml:space="preserve"> — whether stated probabilities match observed frequencies. </w:t>
      </w:r>
      <w:r>
        <w:rPr>
          <w:rtl w:val="0"/>
          <w:b w:val="1"/>
        </w:rPr>
        <w:t xml:space="preserve">Regularization</w:t>
      </w:r>
      <w:r>
        <w:rPr>
          <w:rtl w:val="0"/>
        </w:rPr>
        <w:t xml:space="preserve"> — a constraint discouraging overly large fitted weights. </w:t>
      </w:r>
      <w:r>
        <w:rPr>
          <w:rtl w:val="0"/>
          <w:b w:val="1"/>
        </w:rPr>
        <w:t xml:space="preserve">EPA</w:t>
      </w:r>
      <w:r>
        <w:rPr>
          <w:rtl w:val="0"/>
        </w:rPr>
        <w:t xml:space="preserve"> — expected points added. </w:t>
      </w:r>
      <w:r>
        <w:rPr>
          <w:rtl w:val="0"/>
          <w:b w:val="1"/>
        </w:rPr>
        <w:t xml:space="preserve">Manifest</w:t>
      </w:r>
      <w:r>
        <w:rPr>
          <w:rtl w:val="0"/>
        </w:rPr>
        <w:t xml:space="preserve"> — a file listing versions, settings and checksums. </w:t>
      </w:r>
      <w:r>
        <w:rPr>
          <w:rtl w:val="0"/>
          <w:b w:val="1"/>
        </w:rPr>
        <w:t xml:space="preserve">ROI</w:t>
      </w:r>
      <w:r>
        <w:rPr>
          <w:rtl w:val="0"/>
        </w:rPr>
        <w:t xml:space="preserve"> — net return divided by stake or capital under an explicit accounting definition; not measured by this forecast evaluation.</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000000"/>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000000"/>
                  <w:sz w:val="17"/>
                  <w:szCs w:val="17"/>
                </w:rPr>
              </w:pPr>
              <w:r>
                <w:rPr>
                  <w:color w:val="000000"/>
                  <w:sz w:val="17"/>
                  <w:szCs w:val="17"/>
                  <w:rtl w:val="0"/>
                </w:rPr>
                <w:t xml:space="preserve">Gridiron Lab</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000000"/>
                  <w:sz w:val="17"/>
                  <w:szCs w:val="17"/>
                </w:rPr>
              </w:pPr>
              <w:r>
                <w:rPr>
                  <w:color w:val="000000"/>
                  <w:sz w:val="17"/>
                  <w:szCs w:val="17"/>
                  <w:rtl w:val="0"/>
                </w:rPr>
                <w:t xml:space="preserve">26 Sep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