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390E" w14:textId="77777777" w:rsidR="002715D4" w:rsidRPr="002715D4" w:rsidRDefault="002715D4" w:rsidP="002715D4">
      <w:pPr>
        <w:rPr>
          <w:b/>
          <w:bCs/>
        </w:rPr>
      </w:pPr>
      <w:r w:rsidRPr="002715D4">
        <w:rPr>
          <w:b/>
          <w:bCs/>
        </w:rPr>
        <w:t>Business Requirements Document (BRD): FInsight Trading Engine (Final)</w:t>
      </w:r>
    </w:p>
    <w:p w14:paraId="54CC97E4" w14:textId="77777777" w:rsidR="002715D4" w:rsidRPr="002715D4" w:rsidRDefault="002715D4" w:rsidP="002715D4">
      <w:pPr>
        <w:rPr>
          <w:b/>
          <w:bCs/>
        </w:rPr>
      </w:pPr>
      <w:r w:rsidRPr="002715D4">
        <w:rPr>
          <w:b/>
          <w:bCs/>
        </w:rPr>
        <w:t>1. Asset Universe &amp; Liquidity Gates</w:t>
      </w:r>
    </w:p>
    <w:p w14:paraId="47EBDC72" w14:textId="77777777" w:rsidR="002715D4" w:rsidRPr="002715D4" w:rsidRDefault="002715D4" w:rsidP="002715D4">
      <w:pPr>
        <w:numPr>
          <w:ilvl w:val="0"/>
          <w:numId w:val="1"/>
        </w:numPr>
      </w:pPr>
      <w:r w:rsidRPr="002715D4">
        <w:rPr>
          <w:b/>
          <w:bCs/>
        </w:rPr>
        <w:t>Market Cap &amp; Liquidity:</w:t>
      </w:r>
      <w:r w:rsidRPr="002715D4">
        <w:t xml:space="preserve"> Market Capitalization must strictly exceed ₹5,000 crores. The 20-day Average Daily Traded Value (ADTV) must strictly exceed ₹25 crores.</w:t>
      </w:r>
    </w:p>
    <w:p w14:paraId="3E74DA5B" w14:textId="77777777" w:rsidR="002715D4" w:rsidRPr="002715D4" w:rsidRDefault="002715D4" w:rsidP="002715D4">
      <w:pPr>
        <w:numPr>
          <w:ilvl w:val="0"/>
          <w:numId w:val="1"/>
        </w:numPr>
      </w:pPr>
      <w:r w:rsidRPr="002715D4">
        <w:rPr>
          <w:b/>
          <w:bCs/>
        </w:rPr>
        <w:t>Regulatory Quarantine:</w:t>
      </w:r>
      <w:r w:rsidRPr="002715D4">
        <w:t xml:space="preserve"> The engine must actively query NSE/BSE lists and immediately exclude any stock currently under SEBI’s ASM or GSM frameworks.</w:t>
      </w:r>
    </w:p>
    <w:p w14:paraId="23E99FD7" w14:textId="77777777" w:rsidR="002715D4" w:rsidRPr="002715D4" w:rsidRDefault="002715D4" w:rsidP="002715D4">
      <w:pPr>
        <w:numPr>
          <w:ilvl w:val="0"/>
          <w:numId w:val="1"/>
        </w:numPr>
      </w:pPr>
      <w:r w:rsidRPr="002715D4">
        <w:rPr>
          <w:b/>
          <w:bCs/>
        </w:rPr>
        <w:t>Seasoning Floor:</w:t>
      </w:r>
      <w:r w:rsidRPr="002715D4">
        <w:t xml:space="preserve"> The stock must have a minimum listing history of 252 trading days. IPOs and newly listed entities are strictly excluded.</w:t>
      </w:r>
    </w:p>
    <w:p w14:paraId="54A5B938" w14:textId="77777777" w:rsidR="002715D4" w:rsidRPr="002715D4" w:rsidRDefault="002715D4" w:rsidP="002715D4">
      <w:pPr>
        <w:rPr>
          <w:b/>
          <w:bCs/>
        </w:rPr>
      </w:pPr>
      <w:r w:rsidRPr="002715D4">
        <w:rPr>
          <w:b/>
          <w:bCs/>
        </w:rPr>
        <w:t>2. Macro Regime "Kill Switches" (Symmetrical &amp; Shock-Aware)</w:t>
      </w:r>
    </w:p>
    <w:p w14:paraId="74BF896F" w14:textId="77777777" w:rsidR="002715D4" w:rsidRPr="002715D4" w:rsidRDefault="002715D4" w:rsidP="002715D4">
      <w:pPr>
        <w:numPr>
          <w:ilvl w:val="0"/>
          <w:numId w:val="2"/>
        </w:numPr>
      </w:pPr>
      <w:r w:rsidRPr="002715D4">
        <w:rPr>
          <w:b/>
          <w:bCs/>
        </w:rPr>
        <w:t>The Trigger (OR Condition):</w:t>
      </w:r>
      <w:r w:rsidRPr="002715D4">
        <w:t xml:space="preserve"> The engine stops presenting new bullish setups if the Nifty 50 closes below its 200-day SMA </w:t>
      </w:r>
      <w:r w:rsidRPr="002715D4">
        <w:rPr>
          <w:b/>
          <w:bCs/>
        </w:rPr>
        <w:t>OR</w:t>
      </w:r>
      <w:r w:rsidRPr="002715D4">
        <w:t xml:space="preserve"> the India VIX closes above 20.</w:t>
      </w:r>
    </w:p>
    <w:p w14:paraId="73085D55" w14:textId="77777777" w:rsidR="002715D4" w:rsidRPr="002715D4" w:rsidRDefault="002715D4" w:rsidP="002715D4">
      <w:pPr>
        <w:numPr>
          <w:ilvl w:val="0"/>
          <w:numId w:val="2"/>
        </w:numPr>
      </w:pPr>
      <w:r w:rsidRPr="002715D4">
        <w:rPr>
          <w:b/>
          <w:bCs/>
        </w:rPr>
        <w:t>The Symmetrical Hysteresis (Re-entry):</w:t>
      </w:r>
      <w:r w:rsidRPr="002715D4">
        <w:t xml:space="preserve"> Once triggered, the kill switch remains active until </w:t>
      </w:r>
      <w:r w:rsidRPr="002715D4">
        <w:rPr>
          <w:b/>
          <w:bCs/>
        </w:rPr>
        <w:t>both</w:t>
      </w:r>
      <w:r w:rsidRPr="002715D4">
        <w:t xml:space="preserve"> conditions normalize for three consecutive trading sessions: The Nifty 50 must close above its 50-day SMA </w:t>
      </w:r>
      <w:r w:rsidRPr="002715D4">
        <w:rPr>
          <w:b/>
          <w:bCs/>
        </w:rPr>
        <w:t>AND</w:t>
      </w:r>
      <w:r w:rsidRPr="002715D4">
        <w:t xml:space="preserve"> the India VIX must close below 18.</w:t>
      </w:r>
    </w:p>
    <w:p w14:paraId="22F18961" w14:textId="77777777" w:rsidR="002715D4" w:rsidRPr="002715D4" w:rsidRDefault="002715D4" w:rsidP="002715D4">
      <w:pPr>
        <w:rPr>
          <w:b/>
          <w:bCs/>
        </w:rPr>
      </w:pPr>
      <w:r w:rsidRPr="002715D4">
        <w:rPr>
          <w:b/>
          <w:bCs/>
        </w:rPr>
        <w:t>3. Binary Events &amp; Portfolio Exposure</w:t>
      </w:r>
    </w:p>
    <w:p w14:paraId="27301FB0" w14:textId="77777777" w:rsidR="002715D4" w:rsidRPr="002715D4" w:rsidRDefault="002715D4" w:rsidP="002715D4">
      <w:pPr>
        <w:numPr>
          <w:ilvl w:val="0"/>
          <w:numId w:val="3"/>
        </w:numPr>
      </w:pPr>
      <w:r w:rsidRPr="002715D4">
        <w:rPr>
          <w:b/>
          <w:bCs/>
        </w:rPr>
        <w:t>The Entry Block:</w:t>
      </w:r>
      <w:r w:rsidRPr="002715D4">
        <w:t xml:space="preserve"> Exclude any stock from the daily shortlist if it has an earnings announcement or major corporate action scheduled within the next </w:t>
      </w:r>
      <w:r w:rsidRPr="002715D4">
        <w:rPr>
          <w:b/>
          <w:bCs/>
        </w:rPr>
        <w:t>14 calendar days</w:t>
      </w:r>
      <w:r w:rsidRPr="002715D4">
        <w:t>.</w:t>
      </w:r>
    </w:p>
    <w:p w14:paraId="7C3C676B" w14:textId="77777777" w:rsidR="002715D4" w:rsidRPr="002715D4" w:rsidRDefault="002715D4" w:rsidP="002715D4">
      <w:pPr>
        <w:numPr>
          <w:ilvl w:val="0"/>
          <w:numId w:val="3"/>
        </w:numPr>
      </w:pPr>
      <w:r w:rsidRPr="002715D4">
        <w:rPr>
          <w:b/>
          <w:bCs/>
        </w:rPr>
        <w:t>The Open Position Alert:</w:t>
      </w:r>
      <w:r w:rsidRPr="002715D4">
        <w:t xml:space="preserve"> The system must visually warn the user 7 days prior to an open position's earnings date, prompting a manual hold/exit decision.</w:t>
      </w:r>
    </w:p>
    <w:p w14:paraId="345874D3" w14:textId="77777777" w:rsidR="002715D4" w:rsidRPr="002715D4" w:rsidRDefault="002715D4" w:rsidP="002715D4">
      <w:pPr>
        <w:rPr>
          <w:b/>
          <w:bCs/>
        </w:rPr>
      </w:pPr>
      <w:r w:rsidRPr="002715D4">
        <w:rPr>
          <w:b/>
          <w:bCs/>
        </w:rPr>
        <w:t>4. Portfolio Risk, Sizing, &amp; The Heat Cap</w:t>
      </w:r>
    </w:p>
    <w:p w14:paraId="40868D5B" w14:textId="77777777" w:rsidR="002715D4" w:rsidRPr="002715D4" w:rsidRDefault="002715D4" w:rsidP="002715D4">
      <w:pPr>
        <w:numPr>
          <w:ilvl w:val="0"/>
          <w:numId w:val="4"/>
        </w:numPr>
      </w:pPr>
      <w:r w:rsidRPr="002715D4">
        <w:rPr>
          <w:b/>
          <w:bCs/>
        </w:rPr>
        <w:t>The Noise-Adjusted Stop-Loss:</w:t>
      </w:r>
      <w:r w:rsidRPr="002715D4">
        <w:t xml:space="preserve"> Every setup calculates two stop-loss levels: (A) 1.5x of the 14-day ATR subtracted from entry, and (B) the nearest structural swing-low. The engine assigns the </w:t>
      </w:r>
      <w:r w:rsidRPr="002715D4">
        <w:rPr>
          <w:b/>
          <w:bCs/>
        </w:rPr>
        <w:t>wider</w:t>
      </w:r>
      <w:r w:rsidRPr="002715D4">
        <w:t xml:space="preserve"> of the two as the live stop-loss.</w:t>
      </w:r>
    </w:p>
    <w:p w14:paraId="04E9B993" w14:textId="77777777" w:rsidR="002715D4" w:rsidRPr="002715D4" w:rsidRDefault="002715D4" w:rsidP="002715D4">
      <w:pPr>
        <w:numPr>
          <w:ilvl w:val="0"/>
          <w:numId w:val="4"/>
        </w:numPr>
      </w:pPr>
      <w:r w:rsidRPr="002715D4">
        <w:rPr>
          <w:b/>
          <w:bCs/>
        </w:rPr>
        <w:t>Dynamic Position Sizing:</w:t>
      </w:r>
      <w:r w:rsidRPr="002715D4">
        <w:t xml:space="preserve"> The system calculates the exact number of shares to buy using the distance to the live stop-loss, ensuring a hit results in a strict maximum loss of </w:t>
      </w:r>
      <w:r w:rsidRPr="002715D4">
        <w:rPr>
          <w:b/>
          <w:bCs/>
        </w:rPr>
        <w:t>1% of total account equity</w:t>
      </w:r>
      <w:r w:rsidRPr="002715D4">
        <w:t>.</w:t>
      </w:r>
    </w:p>
    <w:p w14:paraId="1580E3E4" w14:textId="77777777" w:rsidR="002715D4" w:rsidRPr="002715D4" w:rsidRDefault="002715D4" w:rsidP="002715D4">
      <w:pPr>
        <w:numPr>
          <w:ilvl w:val="0"/>
          <w:numId w:val="4"/>
        </w:numPr>
      </w:pPr>
      <w:r w:rsidRPr="002715D4">
        <w:rPr>
          <w:b/>
          <w:bCs/>
        </w:rPr>
        <w:t>Reward-to-Risk (R:R) Gate:</w:t>
      </w:r>
      <w:r w:rsidRPr="002715D4">
        <w:t xml:space="preserve"> The distance to the first major resistance target must offer a minimum 1:1.5 R:R using the live stop-loss.</w:t>
      </w:r>
    </w:p>
    <w:p w14:paraId="0CB3711B" w14:textId="77777777" w:rsidR="002715D4" w:rsidRPr="002715D4" w:rsidRDefault="002715D4" w:rsidP="002715D4">
      <w:pPr>
        <w:numPr>
          <w:ilvl w:val="0"/>
          <w:numId w:val="4"/>
        </w:numPr>
      </w:pPr>
      <w:r w:rsidRPr="002715D4">
        <w:rPr>
          <w:b/>
          <w:bCs/>
        </w:rPr>
        <w:t>Sector Concentration Cap:</w:t>
      </w:r>
      <w:r w:rsidRPr="002715D4">
        <w:t xml:space="preserve"> Maximum active exposure in a single sector is capped at 15% of total allocated capital.</w:t>
      </w:r>
    </w:p>
    <w:p w14:paraId="5B06D307" w14:textId="77777777" w:rsidR="002715D4" w:rsidRPr="002715D4" w:rsidRDefault="002715D4" w:rsidP="002715D4">
      <w:pPr>
        <w:numPr>
          <w:ilvl w:val="0"/>
          <w:numId w:val="4"/>
        </w:numPr>
      </w:pPr>
      <w:r w:rsidRPr="002715D4">
        <w:rPr>
          <w:b/>
          <w:bCs/>
        </w:rPr>
        <w:lastRenderedPageBreak/>
        <w:t>Total Portfolio Heat Cap (Binding):</w:t>
      </w:r>
      <w:r w:rsidRPr="002715D4">
        <w:t xml:space="preserve"> The system enforces a hard ceiling of </w:t>
      </w:r>
      <w:r w:rsidRPr="002715D4">
        <w:rPr>
          <w:b/>
          <w:bCs/>
        </w:rPr>
        <w:t>10% total equity at risk</w:t>
      </w:r>
      <w:r w:rsidRPr="002715D4">
        <w:t xml:space="preserve"> across a maximum of </w:t>
      </w:r>
      <w:r w:rsidRPr="002715D4">
        <w:rPr>
          <w:b/>
          <w:bCs/>
        </w:rPr>
        <w:t>10 concurrent open positions</w:t>
      </w:r>
      <w:r w:rsidRPr="002715D4">
        <w:t>. The engine will block new "Invest" tags if either limit is reached.</w:t>
      </w:r>
    </w:p>
    <w:p w14:paraId="2FDA928E" w14:textId="77777777" w:rsidR="002715D4" w:rsidRPr="002715D4" w:rsidRDefault="002715D4" w:rsidP="002715D4">
      <w:pPr>
        <w:rPr>
          <w:b/>
          <w:bCs/>
        </w:rPr>
      </w:pPr>
      <w:r w:rsidRPr="002715D4">
        <w:rPr>
          <w:b/>
          <w:bCs/>
        </w:rPr>
        <w:t>5. Trade Management &amp; Exits</w:t>
      </w:r>
    </w:p>
    <w:p w14:paraId="6F351159" w14:textId="77777777" w:rsidR="002715D4" w:rsidRPr="002715D4" w:rsidRDefault="002715D4" w:rsidP="002715D4">
      <w:pPr>
        <w:numPr>
          <w:ilvl w:val="0"/>
          <w:numId w:val="5"/>
        </w:numPr>
      </w:pPr>
      <w:r w:rsidRPr="002715D4">
        <w:rPr>
          <w:b/>
          <w:bCs/>
        </w:rPr>
        <w:t>Time-Based Decay:</w:t>
      </w:r>
      <w:r w:rsidRPr="002715D4">
        <w:t xml:space="preserve"> If an active position fails to reach a 1:1 R:R within </w:t>
      </w:r>
      <w:r w:rsidRPr="002715D4">
        <w:rPr>
          <w:b/>
          <w:bCs/>
        </w:rPr>
        <w:t>15 trading sessions</w:t>
      </w:r>
      <w:r w:rsidRPr="002715D4">
        <w:t>, the system flags it for a mandatory manual exit.</w:t>
      </w:r>
    </w:p>
    <w:p w14:paraId="61E77346" w14:textId="77777777" w:rsidR="002715D4" w:rsidRPr="002715D4" w:rsidRDefault="002715D4" w:rsidP="002715D4">
      <w:pPr>
        <w:numPr>
          <w:ilvl w:val="0"/>
          <w:numId w:val="5"/>
        </w:numPr>
      </w:pPr>
      <w:r w:rsidRPr="002715D4">
        <w:rPr>
          <w:b/>
          <w:bCs/>
        </w:rPr>
        <w:t>Risk-Free Transition:</w:t>
      </w:r>
      <w:r w:rsidRPr="002715D4">
        <w:t xml:space="preserve"> Once a position reaches a 1:1 profit ratio, the system automatically updates the recommended stop-loss to the breakeven entry price.</w:t>
      </w:r>
    </w:p>
    <w:p w14:paraId="073E2CA9" w14:textId="77777777" w:rsidR="002715D4" w:rsidRPr="002715D4" w:rsidRDefault="002715D4" w:rsidP="002715D4">
      <w:pPr>
        <w:numPr>
          <w:ilvl w:val="0"/>
          <w:numId w:val="5"/>
        </w:numPr>
      </w:pPr>
      <w:r w:rsidRPr="002715D4">
        <w:rPr>
          <w:b/>
          <w:bCs/>
        </w:rPr>
        <w:t>The ATR Trailing Stop:</w:t>
      </w:r>
      <w:r w:rsidRPr="002715D4">
        <w:t xml:space="preserve"> Once the price clears the initial resistance target, the engine activates a trailing stop-loss set at </w:t>
      </w:r>
      <w:r w:rsidRPr="002715D4">
        <w:rPr>
          <w:b/>
          <w:bCs/>
        </w:rPr>
        <w:t>2x ATR below the highest high</w:t>
      </w:r>
      <w:r w:rsidRPr="002715D4">
        <w:t xml:space="preserve"> achieved since the breakout.</w:t>
      </w:r>
    </w:p>
    <w:p w14:paraId="7743F5E8" w14:textId="77777777" w:rsidR="002715D4" w:rsidRPr="002715D4" w:rsidRDefault="002715D4" w:rsidP="002715D4">
      <w:pPr>
        <w:numPr>
          <w:ilvl w:val="0"/>
          <w:numId w:val="5"/>
        </w:numPr>
      </w:pPr>
      <w:r w:rsidRPr="002715D4">
        <w:rPr>
          <w:b/>
          <w:bCs/>
        </w:rPr>
        <w:t>The Analytics Loop (Feedback Mechanism):</w:t>
      </w:r>
      <w:r w:rsidRPr="002715D4">
        <w:t xml:space="preserve"> When a position is closed, the system must permanently log the </w:t>
      </w:r>
      <w:r w:rsidRPr="002715D4">
        <w:rPr>
          <w:i/>
          <w:iCs/>
        </w:rPr>
        <w:t>Projected</w:t>
      </w:r>
      <w:r w:rsidRPr="002715D4">
        <w:t xml:space="preserve"> R:R (at entry) against the </w:t>
      </w:r>
      <w:r w:rsidRPr="002715D4">
        <w:rPr>
          <w:i/>
          <w:iCs/>
        </w:rPr>
        <w:t>Realized</w:t>
      </w:r>
      <w:r w:rsidRPr="002715D4">
        <w:t xml:space="preserve"> R:R (at exit). This creates a live performance database to continuously monitor whether the engine's real-world execution is decaying over time.</w:t>
      </w:r>
    </w:p>
    <w:p w14:paraId="053DAD10" w14:textId="77777777" w:rsidR="002715D4" w:rsidRPr="002715D4" w:rsidRDefault="002715D4" w:rsidP="002715D4">
      <w:pPr>
        <w:rPr>
          <w:b/>
          <w:bCs/>
        </w:rPr>
      </w:pPr>
      <w:r w:rsidRPr="002715D4">
        <w:rPr>
          <w:b/>
          <w:bCs/>
        </w:rPr>
        <w:t>6. Validation, Testing &amp; Regulatory Boundary</w:t>
      </w:r>
    </w:p>
    <w:p w14:paraId="2A24E1F5" w14:textId="77777777" w:rsidR="002715D4" w:rsidRPr="002715D4" w:rsidRDefault="002715D4" w:rsidP="002715D4">
      <w:pPr>
        <w:numPr>
          <w:ilvl w:val="0"/>
          <w:numId w:val="6"/>
        </w:numPr>
      </w:pPr>
      <w:r w:rsidRPr="002715D4">
        <w:rPr>
          <w:b/>
          <w:bCs/>
        </w:rPr>
        <w:t>The "Click-to-Trade" Barrier:</w:t>
      </w:r>
      <w:r w:rsidRPr="002715D4">
        <w:t xml:space="preserve"> To remain compliant with SEBI's April 2026 algorithmic trading regulations, the system will never route an automated buy/sell order via API, browser automation, or scripted ticket-fillers. The human user must physically click "Invest" and manually enter the trade into their broker terminal.</w:t>
      </w:r>
    </w:p>
    <w:p w14:paraId="63FD2EBF" w14:textId="77777777" w:rsidR="002715D4" w:rsidRPr="002715D4" w:rsidRDefault="002715D4" w:rsidP="002715D4">
      <w:pPr>
        <w:numPr>
          <w:ilvl w:val="0"/>
          <w:numId w:val="6"/>
        </w:numPr>
      </w:pPr>
      <w:r w:rsidRPr="002715D4">
        <w:rPr>
          <w:b/>
          <w:bCs/>
        </w:rPr>
        <w:t>Point-in-Time (PIT) Data Mandate:</w:t>
      </w:r>
      <w:r w:rsidRPr="002715D4">
        <w:t xml:space="preserve"> The backtesting engine must strictly utilize PIT historical data. Market cap, ADTV, and ASM/GSM classifications must reflect the exact status of the asset on the historical date being tested to eliminate look-ahead bias.</w:t>
      </w:r>
    </w:p>
    <w:p w14:paraId="02F73ED1" w14:textId="77777777" w:rsidR="002715D4" w:rsidRPr="002715D4" w:rsidRDefault="002715D4" w:rsidP="002715D4">
      <w:pPr>
        <w:numPr>
          <w:ilvl w:val="0"/>
          <w:numId w:val="6"/>
        </w:numPr>
      </w:pPr>
      <w:r w:rsidRPr="002715D4">
        <w:rPr>
          <w:b/>
          <w:bCs/>
        </w:rPr>
        <w:t>Out-of-Sample Regime Testing:</w:t>
      </w:r>
      <w:r w:rsidRPr="002715D4">
        <w:t xml:space="preserve"> The specific parameters locked in this document must be tested against two distinct market regimes (e.g., the 2019–2024 bull run, and a high-inflation/sideways regime like 2010–2013).</w:t>
      </w:r>
    </w:p>
    <w:p w14:paraId="62317AD7" w14:textId="77777777" w:rsidR="002715D4" w:rsidRPr="002715D4" w:rsidRDefault="002715D4" w:rsidP="002715D4">
      <w:pPr>
        <w:numPr>
          <w:ilvl w:val="0"/>
          <w:numId w:val="6"/>
        </w:numPr>
      </w:pPr>
      <w:r w:rsidRPr="002715D4">
        <w:rPr>
          <w:b/>
          <w:bCs/>
        </w:rPr>
        <w:t>Pass/Fail Live Deployment Criteria (The Dual Gate):</w:t>
      </w:r>
      <w:r w:rsidRPr="002715D4">
        <w:t xml:space="preserve"> The engine is only authorized for live capital deployment if the dual-regime backtest yields a Max Drawdown of strictly less than 15% </w:t>
      </w:r>
      <w:r w:rsidRPr="002715D4">
        <w:rPr>
          <w:b/>
          <w:bCs/>
        </w:rPr>
        <w:t>AND</w:t>
      </w:r>
      <w:r w:rsidRPr="002715D4">
        <w:t xml:space="preserve"> demonstrably outperforms the Nifty 50 benchmark's risk-adjusted return (accounting for estimated tax drag and transaction costs).</w:t>
      </w:r>
    </w:p>
    <w:p w14:paraId="1F427CAD" w14:textId="77777777" w:rsidR="002715D4" w:rsidRPr="002715D4" w:rsidRDefault="002715D4" w:rsidP="002715D4">
      <w:pPr>
        <w:numPr>
          <w:ilvl w:val="0"/>
          <w:numId w:val="6"/>
        </w:numPr>
      </w:pPr>
      <w:r w:rsidRPr="002715D4">
        <w:rPr>
          <w:b/>
          <w:bCs/>
        </w:rPr>
        <w:t>Continuous Forward Validation:</w:t>
      </w:r>
      <w:r w:rsidRPr="002715D4">
        <w:t xml:space="preserve"> Once live, the forward-looking Analytics Loop must be regularly reviewed against the historical baseline to detect strategy decay or underperformance.</w:t>
      </w:r>
    </w:p>
    <w:p w14:paraId="35523F59" w14:textId="77777777" w:rsidR="00AF6358" w:rsidRDefault="00AF6358"/>
    <w:sectPr w:rsidR="00AF6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5B58"/>
    <w:multiLevelType w:val="multilevel"/>
    <w:tmpl w:val="1A7C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00116"/>
    <w:multiLevelType w:val="multilevel"/>
    <w:tmpl w:val="A2D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219B3"/>
    <w:multiLevelType w:val="multilevel"/>
    <w:tmpl w:val="5EAE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26F3F"/>
    <w:multiLevelType w:val="multilevel"/>
    <w:tmpl w:val="333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36667"/>
    <w:multiLevelType w:val="multilevel"/>
    <w:tmpl w:val="A5CE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679D3"/>
    <w:multiLevelType w:val="multilevel"/>
    <w:tmpl w:val="B028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353937">
    <w:abstractNumId w:val="2"/>
  </w:num>
  <w:num w:numId="2" w16cid:durableId="1470052696">
    <w:abstractNumId w:val="5"/>
  </w:num>
  <w:num w:numId="3" w16cid:durableId="375786936">
    <w:abstractNumId w:val="1"/>
  </w:num>
  <w:num w:numId="4" w16cid:durableId="1077286023">
    <w:abstractNumId w:val="0"/>
  </w:num>
  <w:num w:numId="5" w16cid:durableId="27998595">
    <w:abstractNumId w:val="4"/>
  </w:num>
  <w:num w:numId="6" w16cid:durableId="1375350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EC"/>
    <w:rsid w:val="00175E7D"/>
    <w:rsid w:val="002715D4"/>
    <w:rsid w:val="00546CEC"/>
    <w:rsid w:val="0085445B"/>
    <w:rsid w:val="00AF6358"/>
    <w:rsid w:val="00EB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816D97-D02A-49C7-AEB2-420E7898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Govindu</dc:creator>
  <cp:keywords/>
  <dc:description/>
  <cp:lastModifiedBy>Ravi Govindu</cp:lastModifiedBy>
  <cp:revision>2</cp:revision>
  <dcterms:created xsi:type="dcterms:W3CDTF">2026-10-01T10:41:00Z</dcterms:created>
  <dcterms:modified xsi:type="dcterms:W3CDTF">2026-10-01T10:41:00Z</dcterms:modified>
</cp:coreProperties>
</file>