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jc w:val="center"/>
        <w:spacing w:before="1000" w:after="80"/>
      </w:pPr>
      <w:r>
        <w:rPr>
          <w:b/>
          <w:color w:val="12345B"/>
          <w:sz w:val="64"/>
          <w:szCs w:val="64"/>
        </w:rPr>
        <w:t xml:space="preserve">EOS QUARK</w:t>
      </w:r>
    </w:p>
    <w:p>
      <w:pPr>
        <w:jc w:val="center"/>
        <w:spacing w:before="0" w:after="160"/>
      </w:pPr>
      <w:r>
        <w:rPr>
          <w:b/>
          <w:color w:val="2878B8"/>
          <w:sz w:val="42"/>
          <w:szCs w:val="42"/>
        </w:rPr>
        <w:t xml:space="preserve">Application Architecture</w:t>
      </w:r>
    </w:p>
    <w:p>
      <w:pPr>
        <w:jc w:val="center"/>
        <w:spacing w:before="0" w:after="420" w:line="276" w:lineRule="auto"/>
      </w:pPr>
      <w:r>
        <w:rPr/>
        <w:t xml:space="preserve">Architecture Review Document</w:t>
      </w:r>
    </w:p>
    <w:tbl>
      <w:tblPr>
        <w:tblW w:w="9360" w:type="dxa"/>
        <w:tblInd w:w="120" w:type="dxa"/>
        <w:tblLayout w:type="fixed"/>
        <w:tblBorders>
          <w:top w:val="single" w:sz="4" w:color="C9D5DF"/>
          <w:left w:val="single" w:sz="4" w:color="C9D5DF"/>
          <w:bottom w:val="single" w:sz="4" w:color="C9D5DF"/>
          <w:right w:val="single" w:sz="4" w:color="C9D5DF"/>
          <w:insideH w:val="single" w:sz="3" w:color="DCE3E9"/>
          <w:insideV w:val="single" w:sz="3" w:color="DCE3E9"/>
        </w:tblBorders>
      </w:tblPr>
      <w:tblGrid>
        <w:gridCol w:w="2500"/>
        <w:gridCol w:w="6860"/>
      </w:tblGrid>
      <w:tr>
        <w:trPr>
          <w:tblHeader/>
        </w:trPr>
        <w:tc>
          <w:tcPr>
            <w:tcW w:w="2500" w:type="dxa"/>
            <w:shd w:val="clear" w:fill="12345B"/>
            <w:tcMar>
              <w:top w:w="100" w:type="dxa"/>
              <w:left w:w="120" w:type="dxa"/>
              <w:bottom w:w="100" w:type="dxa"/>
              <w:right w:w="120" w:type="dxa"/>
            </w:tcMar>
          </w:tcPr>
          <w:p>
            <w:pPr>
              <w:spacing w:after="0"/>
            </w:pPr>
            <w:r>
              <w:rPr>
                <w:b/>
                <w:color w:val="FFFFFF"/>
                <w:sz w:val="18"/>
                <w:szCs w:val="18"/>
              </w:rPr>
              <w:t xml:space="preserve">Document information</w:t>
            </w:r>
          </w:p>
        </w:tc>
        <w:tc>
          <w:tcPr>
            <w:tcW w:w="6860" w:type="dxa"/>
            <w:shd w:val="clear" w:fill="12345B"/>
            <w:tcMar>
              <w:top w:w="100" w:type="dxa"/>
              <w:left w:w="120" w:type="dxa"/>
              <w:bottom w:w="100" w:type="dxa"/>
              <w:right w:w="120" w:type="dxa"/>
            </w:tcMar>
          </w:tcPr>
          <w:p>
            <w:pPr>
              <w:spacing w:after="0"/>
            </w:pPr>
            <w:r>
              <w:rPr>
                <w:b/>
                <w:color w:val="FFFFFF"/>
                <w:sz w:val="18"/>
                <w:szCs w:val="18"/>
              </w:rPr>
              <w:t xml:space="preserve">Value</w:t>
            </w:r>
          </w:p>
        </w:tc>
      </w:tr>
      <w:tr>
        <w:tc>
          <w:tcPr>
            <w:tcW w:w="2500" w:type="dxa"/>
            <w:shd w:val="clear" w:fill="FFFFFF"/>
            <w:tcMar>
              <w:top w:w="100" w:type="dxa"/>
              <w:left w:w="120" w:type="dxa"/>
              <w:bottom w:w="100" w:type="dxa"/>
              <w:right w:w="120" w:type="dxa"/>
            </w:tcMar>
          </w:tcPr>
          <w:p>
            <w:pPr>
              <w:spacing w:after="0"/>
            </w:pPr>
            <w:r>
              <w:rPr>
                <w:color w:val="17212B"/>
                <w:sz w:val="18"/>
                <w:szCs w:val="18"/>
              </w:rPr>
              <w:t xml:space="preserve">Purpose</w:t>
            </w:r>
          </w:p>
        </w:tc>
        <w:tc>
          <w:tcPr>
            <w:tcW w:w="6860" w:type="dxa"/>
            <w:shd w:val="clear" w:fill="FFFFFF"/>
            <w:tcMar>
              <w:top w:w="100" w:type="dxa"/>
              <w:left w:w="120" w:type="dxa"/>
              <w:bottom w:w="100" w:type="dxa"/>
              <w:right w:w="120" w:type="dxa"/>
            </w:tcMar>
          </w:tcPr>
          <w:p>
            <w:pPr>
              <w:spacing w:after="0"/>
            </w:pPr>
            <w:r>
              <w:rPr>
                <w:color w:val="17212B"/>
                <w:sz w:val="18"/>
                <w:szCs w:val="18"/>
              </w:rPr>
              <w:t xml:space="preserve">Application architecture review and approval</w:t>
            </w:r>
          </w:p>
        </w:tc>
      </w:tr>
      <w:tr>
        <w:tc>
          <w:tcPr>
            <w:tcW w:w="2500" w:type="dxa"/>
            <w:shd w:val="clear" w:fill="F4F7FA"/>
            <w:tcMar>
              <w:top w:w="100" w:type="dxa"/>
              <w:left w:w="120" w:type="dxa"/>
              <w:bottom w:w="100" w:type="dxa"/>
              <w:right w:w="120" w:type="dxa"/>
            </w:tcMar>
          </w:tcPr>
          <w:p>
            <w:pPr>
              <w:spacing w:after="0"/>
            </w:pPr>
            <w:r>
              <w:rPr>
                <w:color w:val="17212B"/>
                <w:sz w:val="18"/>
                <w:szCs w:val="18"/>
              </w:rPr>
              <w:t xml:space="preserve">Scope</w:t>
            </w:r>
          </w:p>
        </w:tc>
        <w:tc>
          <w:tcPr>
            <w:tcW w:w="6860" w:type="dxa"/>
            <w:shd w:val="clear" w:fill="F4F7FA"/>
            <w:tcMar>
              <w:top w:w="100" w:type="dxa"/>
              <w:left w:w="120" w:type="dxa"/>
              <w:bottom w:w="100" w:type="dxa"/>
              <w:right w:w="120" w:type="dxa"/>
            </w:tcMar>
          </w:tcPr>
          <w:p>
            <w:pPr>
              <w:spacing w:after="0"/>
            </w:pPr>
            <w:r>
              <w:rPr>
                <w:color w:val="17212B"/>
                <w:sz w:val="18"/>
                <w:szCs w:val="18"/>
              </w:rPr>
              <w:t xml:space="preserve">Angular UI, Backend API, Upload Service, Batch Service and Engine Service</w:t>
            </w:r>
          </w:p>
        </w:tc>
      </w:tr>
      <w:tr>
        <w:tc>
          <w:tcPr>
            <w:tcW w:w="2500" w:type="dxa"/>
            <w:shd w:val="clear" w:fill="FFFFFF"/>
            <w:tcMar>
              <w:top w:w="100" w:type="dxa"/>
              <w:left w:w="120" w:type="dxa"/>
              <w:bottom w:w="100" w:type="dxa"/>
              <w:right w:w="120" w:type="dxa"/>
            </w:tcMar>
          </w:tcPr>
          <w:p>
            <w:pPr>
              <w:spacing w:after="0"/>
            </w:pPr>
            <w:r>
              <w:rPr>
                <w:color w:val="17212B"/>
                <w:sz w:val="18"/>
                <w:szCs w:val="18"/>
              </w:rPr>
              <w:t xml:space="preserve">Core integrations</w:t>
            </w:r>
          </w:p>
        </w:tc>
        <w:tc>
          <w:tcPr>
            <w:tcW w:w="6860" w:type="dxa"/>
            <w:shd w:val="clear" w:fill="FFFFFF"/>
            <w:tcMar>
              <w:top w:w="100" w:type="dxa"/>
              <w:left w:w="120" w:type="dxa"/>
              <w:bottom w:w="100" w:type="dxa"/>
              <w:right w:w="120" w:type="dxa"/>
            </w:tcMar>
          </w:tcPr>
          <w:p>
            <w:pPr>
              <w:spacing w:after="0"/>
            </w:pPr>
            <w:r>
              <w:rPr>
                <w:color w:val="17212B"/>
                <w:sz w:val="18"/>
                <w:szCs w:val="18"/>
              </w:rPr>
              <w:t xml:space="preserve">Oracle, RabbitMQ, object/document storage, QXPS HTTP and QXPSM SOAP</w:t>
            </w:r>
          </w:p>
        </w:tc>
      </w:tr>
      <w:tr>
        <w:tc>
          <w:tcPr>
            <w:tcW w:w="2500" w:type="dxa"/>
            <w:shd w:val="clear" w:fill="F4F7FA"/>
            <w:tcMar>
              <w:top w:w="100" w:type="dxa"/>
              <w:left w:w="120" w:type="dxa"/>
              <w:bottom w:w="100" w:type="dxa"/>
              <w:right w:w="120" w:type="dxa"/>
            </w:tcMar>
          </w:tcPr>
          <w:p>
            <w:pPr>
              <w:spacing w:after="0"/>
            </w:pPr>
            <w:r>
              <w:rPr>
                <w:color w:val="17212B"/>
                <w:sz w:val="18"/>
                <w:szCs w:val="18"/>
              </w:rPr>
              <w:t xml:space="preserve">Prepared</w:t>
            </w:r>
          </w:p>
        </w:tc>
        <w:tc>
          <w:tcPr>
            <w:tcW w:w="6860" w:type="dxa"/>
            <w:shd w:val="clear" w:fill="F4F7FA"/>
            <w:tcMar>
              <w:top w:w="100" w:type="dxa"/>
              <w:left w:w="120" w:type="dxa"/>
              <w:bottom w:w="100" w:type="dxa"/>
              <w:right w:w="120" w:type="dxa"/>
            </w:tcMar>
          </w:tcPr>
          <w:p>
            <w:pPr>
              <w:spacing w:after="0"/>
            </w:pPr>
            <w:r>
              <w:rPr>
                <w:color w:val="17212B"/>
                <w:sz w:val="18"/>
                <w:szCs w:val="18"/>
              </w:rPr>
              <w:t xml:space="preserve">20 August 2026</w:t>
            </w:r>
          </w:p>
        </w:tc>
      </w:tr>
      <w:tr>
        <w:tc>
          <w:tcPr>
            <w:tcW w:w="2500" w:type="dxa"/>
            <w:shd w:val="clear" w:fill="FFFFFF"/>
            <w:tcMar>
              <w:top w:w="100" w:type="dxa"/>
              <w:left w:w="120" w:type="dxa"/>
              <w:bottom w:w="100" w:type="dxa"/>
              <w:right w:w="120" w:type="dxa"/>
            </w:tcMar>
          </w:tcPr>
          <w:p>
            <w:pPr>
              <w:spacing w:after="0"/>
            </w:pPr>
            <w:r>
              <w:rPr>
                <w:color w:val="17212B"/>
                <w:sz w:val="18"/>
                <w:szCs w:val="18"/>
              </w:rPr>
              <w:t xml:space="preserve">Status</w:t>
            </w:r>
          </w:p>
        </w:tc>
        <w:tc>
          <w:tcPr>
            <w:tcW w:w="6860" w:type="dxa"/>
            <w:shd w:val="clear" w:fill="FFFFFF"/>
            <w:tcMar>
              <w:top w:w="100" w:type="dxa"/>
              <w:left w:w="120" w:type="dxa"/>
              <w:bottom w:w="100" w:type="dxa"/>
              <w:right w:w="120" w:type="dxa"/>
            </w:tcMar>
          </w:tcPr>
          <w:p>
            <w:pPr>
              <w:spacing w:after="0"/>
            </w:pPr>
            <w:r>
              <w:rPr>
                <w:color w:val="17212B"/>
                <w:sz w:val="18"/>
                <w:szCs w:val="18"/>
              </w:rPr>
              <w:t xml:space="preserve">For architecture review</w:t>
            </w:r>
          </w:p>
        </w:tc>
      </w:tr>
    </w:tbl>
    <w:p>
      <w:pPr>
        <w:pStyle w:val="Heading2"/>
        <w:spacing w:before="180" w:after="100" w:line="276" w:lineRule="auto"/>
        <w:keepNext/>
      </w:pPr>
      <w:r>
        <w:rPr/>
        <w:t xml:space="preserve">Executive overview</w:t>
      </w:r>
    </w:p>
    <w:p>
      <w:pPr>
        <w:spacing w:before="0" w:after="100" w:line="276" w:lineRule="auto"/>
        <w:shd w:val="clear" w:fill="E7F3FB"/>
      </w:pPr>
      <w:r>
        <w:rPr/>
        <w:t xml:space="preserve">EOS Quark is an enterprise document-production application. It combines configured business data with QuarkXPress templates to create controlled QXP, PDF and JPEG outputs. The application separates interactive workflows, file intake, scheduled orchestration and document rendering into focused services connected through REST APIs, RabbitMQ and governed data contracts.</w:t>
      </w:r>
    </w:p>
    <w:p>
      <w:pPr>
        <w:pageBreakBefore/>
      </w:pPr>
    </w:p>
    <w:p>
      <w:pPr>
        <w:pStyle w:val="Heading1"/>
        <w:spacing w:before="180" w:after="100" w:line="276" w:lineRule="auto"/>
        <w:keepNext/>
      </w:pPr>
      <w:r>
        <w:rPr/>
        <w:t xml:space="preserve">1. Purpose and scope</w:t>
      </w:r>
    </w:p>
    <w:p>
      <w:pPr>
        <w:jc w:val="center"/>
        <w:spacing w:before="80" w:after="60"/>
      </w:pPr>
      <w:r>
        <w:drawing>
          <wp:inline xmlns:wp="http://schemas.openxmlformats.org/drawingml/2006/wordprocessingDrawing" distT="0" distB="0" distL="0" distR="0">
            <wp:extent cx="5943600" cy="3343275"/>
            <wp:docPr id="1" name="Figure 1 - EOS Quark system context" descr="Figure 1 - EOS Quark system context"/>
            <a:graphic xmlns:a="http://schemas.openxmlformats.org/drawingml/2006/main">
              <a:graphicData uri="http://schemas.openxmlformats.org/drawingml/2006/picture">
                <pic:pic xmlns:pic="http://schemas.openxmlformats.org/drawingml/2006/picture">
                  <pic:nvPicPr>
                    <pic:cNvPr id="0" name="Figure 1 - EOS Quark system context" descr="Figure 1 - EOS Quark system context"/>
                    <pic:cNvPicPr/>
                  </pic:nvPicPr>
                  <pic:blipFill>
                    <a:blip xmlns:r="http://schemas.openxmlformats.org/officeDocument/2006/relationships" r:embed="rId10"/>
                    <a:stretch>
                      <a:fillRect/>
                    </a:stretch>
                  </pic:blipFill>
                  <pic:spPr>
                    <a:xfrm>
                      <a:off x="0" y="0"/>
                      <a:ext cx="5943600" cy="3343275"/>
                    </a:xfrm>
                    <a:prstGeom prst="rect">
                      <a:avLst/>
                    </a:prstGeom>
                  </pic:spPr>
                </pic:pic>
              </a:graphicData>
            </a:graphic>
          </wp:inline>
        </w:drawing>
      </w:r>
    </w:p>
    <w:p>
      <w:pPr>
        <w:jc w:val="center"/>
        <w:spacing w:after="120"/>
      </w:pPr>
      <w:r>
        <w:rPr>
          <w:i/>
          <w:color w:val="536271"/>
          <w:sz w:val="16"/>
          <w:szCs w:val="16"/>
        </w:rPr>
        <w:t xml:space="preserve">Figure 1 - EOS Quark system context</w:t>
      </w:r>
    </w:p>
    <w:p>
      <w:pPr>
        <w:pStyle w:val="Heading2"/>
        <w:spacing w:before="180" w:after="100" w:line="276" w:lineRule="auto"/>
        <w:keepNext/>
      </w:pPr>
      <w:r>
        <w:rPr/>
        <w:t xml:space="preserve">Business purpose</w:t>
      </w:r>
    </w:p>
    <w:p>
      <w:pPr>
        <w:spacing w:before="0" w:after="100" w:line="276" w:lineRule="auto"/>
      </w:pPr>
      <w:r>
        <w:rPr/>
        <w:t xml:space="preserve">The application enables authorized users and operational processes to configure, initiate, monitor and retrieve generated reporting documents. A run is the central unit of work: it identifies the report, period, template, input data, tasks, execution status and generated outputs.</w:t>
      </w:r>
    </w:p>
    <w:p>
      <w:pPr>
        <w:pStyle w:val="Heading2"/>
        <w:spacing w:before="180" w:after="100" w:line="276" w:lineRule="auto"/>
        <w:keepNext/>
      </w:pPr>
      <w:r>
        <w:rPr/>
        <w:t xml:space="preserve">In scope</w:t>
      </w:r>
    </w:p>
    <w:p>
      <w:pPr>
        <w:pStyle w:val="ListBullet"/>
        <w:spacing w:before="0" w:after="55" w:line="276" w:lineRule="auto"/>
      </w:pPr>
      <w:r>
        <w:rPr/>
        <w:t xml:space="preserve">Interactive report configuration, launch, monitoring and output retrieval.</w:t>
      </w:r>
    </w:p>
    <w:p>
      <w:pPr>
        <w:pStyle w:val="ListBullet"/>
        <w:spacing w:before="0" w:after="55" w:line="276" w:lineRule="auto"/>
      </w:pPr>
      <w:r>
        <w:rPr/>
        <w:t xml:space="preserve">Secure intake and registration of source and template documents.</w:t>
      </w:r>
    </w:p>
    <w:p>
      <w:pPr>
        <w:pStyle w:val="ListBullet"/>
        <w:spacing w:before="0" w:after="55" w:line="276" w:lineRule="auto"/>
      </w:pPr>
      <w:r>
        <w:rPr/>
        <w:t xml:space="preserve">Scheduled and recovery-based creation or initiation of runs.</w:t>
      </w:r>
    </w:p>
    <w:p>
      <w:pPr>
        <w:pStyle w:val="ListBullet"/>
        <w:spacing w:before="0" w:after="55" w:line="276" w:lineRule="auto"/>
      </w:pPr>
      <w:r>
        <w:rPr/>
        <w:t xml:space="preserve">Document composition, validation and rendering through QuarkXPress Server.</w:t>
      </w:r>
    </w:p>
    <w:p>
      <w:pPr>
        <w:pStyle w:val="ListBullet"/>
        <w:spacing w:before="0" w:after="55" w:line="276" w:lineRule="auto"/>
      </w:pPr>
      <w:r>
        <w:rPr/>
        <w:t xml:space="preserve">Run status, audit, error handling and operational observability.</w:t>
      </w:r>
    </w:p>
    <w:p>
      <w:pPr>
        <w:pageBreakBefore/>
      </w:pPr>
    </w:p>
    <w:p>
      <w:pPr>
        <w:pStyle w:val="Heading1"/>
        <w:spacing w:before="180" w:after="100" w:line="276" w:lineRule="auto"/>
        <w:keepNext/>
      </w:pPr>
      <w:r>
        <w:rPr/>
        <w:t xml:space="preserve">2. Logical architecture</w:t>
      </w:r>
    </w:p>
    <w:p>
      <w:pPr>
        <w:jc w:val="center"/>
        <w:spacing w:before="80" w:after="60"/>
      </w:pPr>
      <w:r>
        <w:drawing>
          <wp:inline xmlns:wp="http://schemas.openxmlformats.org/drawingml/2006/wordprocessingDrawing" distT="0" distB="0" distL="0" distR="0">
            <wp:extent cx="5943600" cy="3343275"/>
            <wp:docPr id="2" name="Figure 2 - Logical application architecture" descr="Figure 2 - Logical application architecture"/>
            <a:graphic xmlns:a="http://schemas.openxmlformats.org/drawingml/2006/main">
              <a:graphicData uri="http://schemas.openxmlformats.org/drawingml/2006/picture">
                <pic:pic xmlns:pic="http://schemas.openxmlformats.org/drawingml/2006/picture">
                  <pic:nvPicPr>
                    <pic:cNvPr id="0" name="Figure 2 - Logical application architecture" descr="Figure 2 - Logical application architecture"/>
                    <pic:cNvPicPr/>
                  </pic:nvPicPr>
                  <pic:blipFill>
                    <a:blip xmlns:r="http://schemas.openxmlformats.org/officeDocument/2006/relationships" r:embed="rId11"/>
                    <a:stretch>
                      <a:fillRect/>
                    </a:stretch>
                  </pic:blipFill>
                  <pic:spPr>
                    <a:xfrm>
                      <a:off x="0" y="0"/>
                      <a:ext cx="5943600" cy="3343275"/>
                    </a:xfrm>
                    <a:prstGeom prst="rect">
                      <a:avLst/>
                    </a:prstGeom>
                  </pic:spPr>
                </pic:pic>
              </a:graphicData>
            </a:graphic>
          </wp:inline>
        </w:drawing>
      </w:r>
    </w:p>
    <w:p>
      <w:pPr>
        <w:jc w:val="center"/>
        <w:spacing w:after="120"/>
      </w:pPr>
      <w:r>
        <w:rPr>
          <w:i/>
          <w:color w:val="536271"/>
          <w:sz w:val="16"/>
          <w:szCs w:val="16"/>
        </w:rPr>
        <w:t xml:space="preserve">Figure 2 - Logical application architecture</w:t>
      </w:r>
    </w:p>
    <w:tbl>
      <w:tblPr>
        <w:tblW w:w="9360" w:type="dxa"/>
        <w:tblInd w:w="120" w:type="dxa"/>
        <w:tblLayout w:type="fixed"/>
        <w:tblBorders>
          <w:top w:val="single" w:sz="4" w:color="C9D5DF"/>
          <w:left w:val="single" w:sz="4" w:color="C9D5DF"/>
          <w:bottom w:val="single" w:sz="4" w:color="C9D5DF"/>
          <w:right w:val="single" w:sz="4" w:color="C9D5DF"/>
          <w:insideH w:val="single" w:sz="3" w:color="DCE3E9"/>
          <w:insideV w:val="single" w:sz="3" w:color="DCE3E9"/>
        </w:tblBorders>
      </w:tblPr>
      <w:tblGrid>
        <w:gridCol w:w="2100"/>
        <w:gridCol w:w="7260"/>
      </w:tblGrid>
      <w:tr>
        <w:trPr>
          <w:tblHeader/>
        </w:trPr>
        <w:tc>
          <w:tcPr>
            <w:tcW w:w="2100" w:type="dxa"/>
            <w:shd w:val="clear" w:fill="12345B"/>
            <w:tcMar>
              <w:top w:w="100" w:type="dxa"/>
              <w:left w:w="120" w:type="dxa"/>
              <w:bottom w:w="100" w:type="dxa"/>
              <w:right w:w="120" w:type="dxa"/>
            </w:tcMar>
          </w:tcPr>
          <w:p>
            <w:pPr>
              <w:spacing w:after="0"/>
            </w:pPr>
            <w:r>
              <w:rPr>
                <w:b/>
                <w:color w:val="FFFFFF"/>
                <w:sz w:val="18"/>
                <w:szCs w:val="18"/>
              </w:rPr>
              <w:t xml:space="preserve">Component</w:t>
            </w:r>
          </w:p>
        </w:tc>
        <w:tc>
          <w:tcPr>
            <w:tcW w:w="7260" w:type="dxa"/>
            <w:shd w:val="clear" w:fill="12345B"/>
            <w:tcMar>
              <w:top w:w="100" w:type="dxa"/>
              <w:left w:w="120" w:type="dxa"/>
              <w:bottom w:w="100" w:type="dxa"/>
              <w:right w:w="120" w:type="dxa"/>
            </w:tcMar>
          </w:tcPr>
          <w:p>
            <w:pPr>
              <w:spacing w:after="0"/>
            </w:pPr>
            <w:r>
              <w:rPr>
                <w:b/>
                <w:color w:val="FFFFFF"/>
                <w:sz w:val="18"/>
                <w:szCs w:val="18"/>
              </w:rPr>
              <w:t xml:space="preserve">Primary responsibility</w:t>
            </w:r>
          </w:p>
        </w:tc>
      </w:tr>
      <w:tr>
        <w:tc>
          <w:tcPr>
            <w:tcW w:w="2100" w:type="dxa"/>
            <w:shd w:val="clear" w:fill="FFFFFF"/>
            <w:tcMar>
              <w:top w:w="100" w:type="dxa"/>
              <w:left w:w="120" w:type="dxa"/>
              <w:bottom w:w="100" w:type="dxa"/>
              <w:right w:w="120" w:type="dxa"/>
            </w:tcMar>
          </w:tcPr>
          <w:p>
            <w:pPr>
              <w:spacing w:after="0"/>
            </w:pPr>
            <w:r>
              <w:rPr>
                <w:color w:val="17212B"/>
                <w:sz w:val="18"/>
                <w:szCs w:val="18"/>
              </w:rPr>
              <w:t xml:space="preserve">Angular UI</w:t>
            </w:r>
          </w:p>
        </w:tc>
        <w:tc>
          <w:tcPr>
            <w:tcW w:w="7260" w:type="dxa"/>
            <w:shd w:val="clear" w:fill="FFFFFF"/>
            <w:tcMar>
              <w:top w:w="100" w:type="dxa"/>
              <w:left w:w="120" w:type="dxa"/>
              <w:bottom w:w="100" w:type="dxa"/>
              <w:right w:w="120" w:type="dxa"/>
            </w:tcMar>
          </w:tcPr>
          <w:p>
            <w:pPr>
              <w:spacing w:after="0"/>
            </w:pPr>
            <w:r>
              <w:rPr>
                <w:color w:val="17212B"/>
                <w:sz w:val="18"/>
                <w:szCs w:val="18"/>
              </w:rPr>
              <w:t xml:space="preserve">User journeys, input validation, run monitoring and output presentation.</w:t>
            </w:r>
          </w:p>
        </w:tc>
      </w:tr>
      <w:tr>
        <w:tc>
          <w:tcPr>
            <w:tcW w:w="2100" w:type="dxa"/>
            <w:shd w:val="clear" w:fill="F4F7FA"/>
            <w:tcMar>
              <w:top w:w="100" w:type="dxa"/>
              <w:left w:w="120" w:type="dxa"/>
              <w:bottom w:w="100" w:type="dxa"/>
              <w:right w:w="120" w:type="dxa"/>
            </w:tcMar>
          </w:tcPr>
          <w:p>
            <w:pPr>
              <w:spacing w:after="0"/>
            </w:pPr>
            <w:r>
              <w:rPr>
                <w:color w:val="17212B"/>
                <w:sz w:val="18"/>
                <w:szCs w:val="18"/>
              </w:rPr>
              <w:t xml:space="preserve">Backend API</w:t>
            </w:r>
          </w:p>
        </w:tc>
        <w:tc>
          <w:tcPr>
            <w:tcW w:w="7260" w:type="dxa"/>
            <w:shd w:val="clear" w:fill="F4F7FA"/>
            <w:tcMar>
              <w:top w:w="100" w:type="dxa"/>
              <w:left w:w="120" w:type="dxa"/>
              <w:bottom w:w="100" w:type="dxa"/>
              <w:right w:w="120" w:type="dxa"/>
            </w:tcMar>
          </w:tcPr>
          <w:p>
            <w:pPr>
              <w:spacing w:after="0"/>
            </w:pPr>
            <w:r>
              <w:rPr>
                <w:color w:val="17212B"/>
                <w:sz w:val="18"/>
                <w:szCs w:val="18"/>
              </w:rPr>
              <w:t xml:space="preserve">UI-facing business APIs, authorization, workflow coordination, metadata and status queries.</w:t>
            </w:r>
          </w:p>
        </w:tc>
      </w:tr>
      <w:tr>
        <w:tc>
          <w:tcPr>
            <w:tcW w:w="2100" w:type="dxa"/>
            <w:shd w:val="clear" w:fill="FFFFFF"/>
            <w:tcMar>
              <w:top w:w="100" w:type="dxa"/>
              <w:left w:w="120" w:type="dxa"/>
              <w:bottom w:w="100" w:type="dxa"/>
              <w:right w:w="120" w:type="dxa"/>
            </w:tcMar>
          </w:tcPr>
          <w:p>
            <w:pPr>
              <w:spacing w:after="0"/>
            </w:pPr>
            <w:r>
              <w:rPr>
                <w:color w:val="17212B"/>
                <w:sz w:val="18"/>
                <w:szCs w:val="18"/>
              </w:rPr>
              <w:t xml:space="preserve">Upload Service</w:t>
            </w:r>
          </w:p>
        </w:tc>
        <w:tc>
          <w:tcPr>
            <w:tcW w:w="7260" w:type="dxa"/>
            <w:shd w:val="clear" w:fill="FFFFFF"/>
            <w:tcMar>
              <w:top w:w="100" w:type="dxa"/>
              <w:left w:w="120" w:type="dxa"/>
              <w:bottom w:w="100" w:type="dxa"/>
              <w:right w:w="120" w:type="dxa"/>
            </w:tcMar>
          </w:tcPr>
          <w:p>
            <w:pPr>
              <w:spacing w:after="0"/>
            </w:pPr>
            <w:r>
              <w:rPr>
                <w:color w:val="17212B"/>
                <w:sz w:val="18"/>
                <w:szCs w:val="18"/>
              </w:rPr>
              <w:t xml:space="preserve">File intake, validation, quarantine/scan integration, storage and upload registration.</w:t>
            </w:r>
          </w:p>
        </w:tc>
      </w:tr>
      <w:tr>
        <w:tc>
          <w:tcPr>
            <w:tcW w:w="2100" w:type="dxa"/>
            <w:shd w:val="clear" w:fill="F4F7FA"/>
            <w:tcMar>
              <w:top w:w="100" w:type="dxa"/>
              <w:left w:w="120" w:type="dxa"/>
              <w:bottom w:w="100" w:type="dxa"/>
              <w:right w:w="120" w:type="dxa"/>
            </w:tcMar>
          </w:tcPr>
          <w:p>
            <w:pPr>
              <w:spacing w:after="0"/>
            </w:pPr>
            <w:r>
              <w:rPr>
                <w:color w:val="17212B"/>
                <w:sz w:val="18"/>
                <w:szCs w:val="18"/>
              </w:rPr>
              <w:t xml:space="preserve">Batch Service</w:t>
            </w:r>
          </w:p>
        </w:tc>
        <w:tc>
          <w:tcPr>
            <w:tcW w:w="7260" w:type="dxa"/>
            <w:shd w:val="clear" w:fill="F4F7FA"/>
            <w:tcMar>
              <w:top w:w="100" w:type="dxa"/>
              <w:left w:w="120" w:type="dxa"/>
              <w:bottom w:w="100" w:type="dxa"/>
              <w:right w:w="120" w:type="dxa"/>
            </w:tcMar>
          </w:tcPr>
          <w:p>
            <w:pPr>
              <w:spacing w:after="0"/>
            </w:pPr>
            <w:r>
              <w:rPr>
                <w:color w:val="17212B"/>
                <w:sz w:val="18"/>
                <w:szCs w:val="18"/>
              </w:rPr>
              <w:t xml:space="preserve">Planned-run scheduling, startup recovery, upload polling and publication of run events.</w:t>
            </w:r>
          </w:p>
        </w:tc>
      </w:tr>
      <w:tr>
        <w:tc>
          <w:tcPr>
            <w:tcW w:w="2100" w:type="dxa"/>
            <w:shd w:val="clear" w:fill="FFFFFF"/>
            <w:tcMar>
              <w:top w:w="100" w:type="dxa"/>
              <w:left w:w="120" w:type="dxa"/>
              <w:bottom w:w="100" w:type="dxa"/>
              <w:right w:w="120" w:type="dxa"/>
            </w:tcMar>
          </w:tcPr>
          <w:p>
            <w:pPr>
              <w:spacing w:after="0"/>
            </w:pPr>
            <w:r>
              <w:rPr>
                <w:color w:val="17212B"/>
                <w:sz w:val="18"/>
                <w:szCs w:val="18"/>
              </w:rPr>
              <w:t xml:space="preserve">Engine Service</w:t>
            </w:r>
          </w:p>
        </w:tc>
        <w:tc>
          <w:tcPr>
            <w:tcW w:w="7260" w:type="dxa"/>
            <w:shd w:val="clear" w:fill="FFFFFF"/>
            <w:tcMar>
              <w:top w:w="100" w:type="dxa"/>
              <w:left w:w="120" w:type="dxa"/>
              <w:bottom w:w="100" w:type="dxa"/>
              <w:right w:w="120" w:type="dxa"/>
            </w:tcMar>
          </w:tcPr>
          <w:p>
            <w:pPr>
              <w:spacing w:after="0"/>
            </w:pPr>
            <w:r>
              <w:rPr>
                <w:color w:val="17212B"/>
                <w:sz w:val="18"/>
                <w:szCs w:val="18"/>
              </w:rPr>
              <w:t xml:space="preserve">Single-run processing, task strategies, Quark document operations, rendering and completion.</w:t>
            </w:r>
          </w:p>
        </w:tc>
      </w:tr>
    </w:tbl>
    <w:p>
      <w:pPr>
        <w:pageBreakBefore/>
      </w:pPr>
    </w:p>
    <w:p>
      <w:pPr>
        <w:pStyle w:val="Heading1"/>
        <w:spacing w:before="180" w:after="100" w:line="276" w:lineRule="auto"/>
        <w:keepNext/>
      </w:pPr>
      <w:r>
        <w:rPr/>
        <w:t xml:space="preserve">3. Service boundaries</w:t>
      </w:r>
    </w:p>
    <w:p>
      <w:pPr>
        <w:pStyle w:val="Heading2"/>
        <w:spacing w:before="180" w:after="100" w:line="276" w:lineRule="auto"/>
        <w:keepNext/>
      </w:pPr>
      <w:r>
        <w:rPr/>
        <w:t xml:space="preserve">Boundary principles</w:t>
      </w:r>
    </w:p>
    <w:p>
      <w:pPr>
        <w:pStyle w:val="ListBullet"/>
        <w:spacing w:before="0" w:after="55" w:line="276" w:lineRule="auto"/>
      </w:pPr>
      <w:r>
        <w:rPr/>
        <w:t xml:space="preserve">The browser communicates only through approved HTTPS APIs.</w:t>
      </w:r>
    </w:p>
    <w:p>
      <w:pPr>
        <w:pStyle w:val="ListBullet"/>
        <w:spacing w:before="0" w:after="55" w:line="276" w:lineRule="auto"/>
      </w:pPr>
      <w:r>
        <w:rPr/>
        <w:t xml:space="preserve">Backend API owns interactive business workflows and authorization.</w:t>
      </w:r>
    </w:p>
    <w:p>
      <w:pPr>
        <w:pStyle w:val="ListBullet"/>
        <w:spacing w:before="0" w:after="55" w:line="276" w:lineRule="auto"/>
      </w:pPr>
      <w:r>
        <w:rPr/>
        <w:t xml:space="preserve">Upload Service owns the file-ingestion lifecycle until content is accepted and registered.</w:t>
      </w:r>
    </w:p>
    <w:p>
      <w:pPr>
        <w:pStyle w:val="ListBullet"/>
        <w:spacing w:before="0" w:after="55" w:line="276" w:lineRule="auto"/>
      </w:pPr>
      <w:r>
        <w:rPr/>
        <w:t xml:space="preserve">Batch Service owns time-based discovery, recovery and publication of work.</w:t>
      </w:r>
    </w:p>
    <w:p>
      <w:pPr>
        <w:pStyle w:val="ListBullet"/>
        <w:spacing w:before="0" w:after="55" w:line="276" w:lineRule="auto"/>
      </w:pPr>
      <w:r>
        <w:rPr/>
        <w:t xml:space="preserve">Engine Service owns all document-generation algorithms and Quark integration.</w:t>
      </w:r>
    </w:p>
    <w:p>
      <w:pPr>
        <w:pStyle w:val="ListBullet"/>
        <w:spacing w:before="0" w:after="55" w:line="276" w:lineRule="auto"/>
      </w:pPr>
      <w:r>
        <w:rPr/>
        <w:t xml:space="preserve">Components exchange versioned REST or event contracts; no service imports another service’s internal code.</w:t>
      </w:r>
    </w:p>
    <w:p>
      <w:pPr>
        <w:pStyle w:val="Heading2"/>
        <w:spacing w:before="180" w:after="100" w:line="276" w:lineRule="auto"/>
        <w:keepNext/>
      </w:pPr>
      <w:r>
        <w:rPr/>
        <w:t xml:space="preserve">Responsibility model</w:t>
      </w:r>
    </w:p>
    <w:tbl>
      <w:tblPr>
        <w:tblW w:w="9360" w:type="dxa"/>
        <w:tblInd w:w="120" w:type="dxa"/>
        <w:tblLayout w:type="fixed"/>
        <w:tblBorders>
          <w:top w:val="single" w:sz="4" w:color="C9D5DF"/>
          <w:left w:val="single" w:sz="4" w:color="C9D5DF"/>
          <w:bottom w:val="single" w:sz="4" w:color="C9D5DF"/>
          <w:right w:val="single" w:sz="4" w:color="C9D5DF"/>
          <w:insideH w:val="single" w:sz="3" w:color="DCE3E9"/>
          <w:insideV w:val="single" w:sz="3" w:color="DCE3E9"/>
        </w:tblBorders>
      </w:tblPr>
      <w:tblGrid>
        <w:gridCol w:w="1600"/>
        <w:gridCol w:w="3880"/>
        <w:gridCol w:w="3880"/>
      </w:tblGrid>
      <w:tr>
        <w:trPr>
          <w:tblHeader/>
        </w:trPr>
        <w:tc>
          <w:tcPr>
            <w:tcW w:w="1600" w:type="dxa"/>
            <w:shd w:val="clear" w:fill="12345B"/>
            <w:tcMar>
              <w:top w:w="100" w:type="dxa"/>
              <w:left w:w="120" w:type="dxa"/>
              <w:bottom w:w="100" w:type="dxa"/>
              <w:right w:w="120" w:type="dxa"/>
            </w:tcMar>
          </w:tcPr>
          <w:p>
            <w:pPr>
              <w:spacing w:after="0"/>
            </w:pPr>
            <w:r>
              <w:rPr>
                <w:b/>
                <w:color w:val="FFFFFF"/>
                <w:sz w:val="18"/>
                <w:szCs w:val="18"/>
              </w:rPr>
              <w:t xml:space="preserve">Service</w:t>
            </w:r>
          </w:p>
        </w:tc>
        <w:tc>
          <w:tcPr>
            <w:tcW w:w="3880" w:type="dxa"/>
            <w:shd w:val="clear" w:fill="12345B"/>
            <w:tcMar>
              <w:top w:w="100" w:type="dxa"/>
              <w:left w:w="120" w:type="dxa"/>
              <w:bottom w:w="100" w:type="dxa"/>
              <w:right w:w="120" w:type="dxa"/>
            </w:tcMar>
          </w:tcPr>
          <w:p>
            <w:pPr>
              <w:spacing w:after="0"/>
            </w:pPr>
            <w:r>
              <w:rPr>
                <w:b/>
                <w:color w:val="FFFFFF"/>
                <w:sz w:val="18"/>
                <w:szCs w:val="18"/>
              </w:rPr>
              <w:t xml:space="preserve">Owns</w:t>
            </w:r>
          </w:p>
        </w:tc>
        <w:tc>
          <w:tcPr>
            <w:tcW w:w="3880" w:type="dxa"/>
            <w:shd w:val="clear" w:fill="12345B"/>
            <w:tcMar>
              <w:top w:w="100" w:type="dxa"/>
              <w:left w:w="120" w:type="dxa"/>
              <w:bottom w:w="100" w:type="dxa"/>
              <w:right w:w="120" w:type="dxa"/>
            </w:tcMar>
          </w:tcPr>
          <w:p>
            <w:pPr>
              <w:spacing w:after="0"/>
            </w:pPr>
            <w:r>
              <w:rPr>
                <w:b/>
                <w:color w:val="FFFFFF"/>
                <w:sz w:val="18"/>
                <w:szCs w:val="18"/>
              </w:rPr>
              <w:t xml:space="preserve">Does not own</w:t>
            </w:r>
          </w:p>
        </w:tc>
      </w:tr>
      <w:tr>
        <w:tc>
          <w:tcPr>
            <w:tcW w:w="1600" w:type="dxa"/>
            <w:shd w:val="clear" w:fill="FFFFFF"/>
            <w:tcMar>
              <w:top w:w="100" w:type="dxa"/>
              <w:left w:w="120" w:type="dxa"/>
              <w:bottom w:w="100" w:type="dxa"/>
              <w:right w:w="120" w:type="dxa"/>
            </w:tcMar>
          </w:tcPr>
          <w:p>
            <w:pPr>
              <w:spacing w:after="0"/>
            </w:pPr>
            <w:r>
              <w:rPr>
                <w:color w:val="17212B"/>
                <w:sz w:val="18"/>
                <w:szCs w:val="18"/>
              </w:rPr>
              <w:t xml:space="preserve">Angular UI</w:t>
            </w:r>
          </w:p>
        </w:tc>
        <w:tc>
          <w:tcPr>
            <w:tcW w:w="3880" w:type="dxa"/>
            <w:shd w:val="clear" w:fill="FFFFFF"/>
            <w:tcMar>
              <w:top w:w="100" w:type="dxa"/>
              <w:left w:w="120" w:type="dxa"/>
              <w:bottom w:w="100" w:type="dxa"/>
              <w:right w:w="120" w:type="dxa"/>
            </w:tcMar>
          </w:tcPr>
          <w:p>
            <w:pPr>
              <w:spacing w:after="0"/>
            </w:pPr>
            <w:r>
              <w:rPr>
                <w:color w:val="17212B"/>
                <w:sz w:val="18"/>
                <w:szCs w:val="18"/>
              </w:rPr>
              <w:t xml:space="preserve">Presentation, navigation, client validation</w:t>
            </w:r>
          </w:p>
        </w:tc>
        <w:tc>
          <w:tcPr>
            <w:tcW w:w="3880" w:type="dxa"/>
            <w:shd w:val="clear" w:fill="FFFFFF"/>
            <w:tcMar>
              <w:top w:w="100" w:type="dxa"/>
              <w:left w:w="120" w:type="dxa"/>
              <w:bottom w:w="100" w:type="dxa"/>
              <w:right w:w="120" w:type="dxa"/>
            </w:tcMar>
          </w:tcPr>
          <w:p>
            <w:pPr>
              <w:spacing w:after="0"/>
            </w:pPr>
            <w:r>
              <w:rPr>
                <w:color w:val="17212B"/>
                <w:sz w:val="18"/>
                <w:szCs w:val="18"/>
              </w:rPr>
              <w:t xml:space="preserve">Authoritative authorization or direct database access</w:t>
            </w:r>
          </w:p>
        </w:tc>
      </w:tr>
      <w:tr>
        <w:tc>
          <w:tcPr>
            <w:tcW w:w="1600" w:type="dxa"/>
            <w:shd w:val="clear" w:fill="F4F7FA"/>
            <w:tcMar>
              <w:top w:w="100" w:type="dxa"/>
              <w:left w:w="120" w:type="dxa"/>
              <w:bottom w:w="100" w:type="dxa"/>
              <w:right w:w="120" w:type="dxa"/>
            </w:tcMar>
          </w:tcPr>
          <w:p>
            <w:pPr>
              <w:spacing w:after="0"/>
            </w:pPr>
            <w:r>
              <w:rPr>
                <w:color w:val="17212B"/>
                <w:sz w:val="18"/>
                <w:szCs w:val="18"/>
              </w:rPr>
              <w:t xml:space="preserve">Backend API</w:t>
            </w:r>
          </w:p>
        </w:tc>
        <w:tc>
          <w:tcPr>
            <w:tcW w:w="3880" w:type="dxa"/>
            <w:shd w:val="clear" w:fill="F4F7FA"/>
            <w:tcMar>
              <w:top w:w="100" w:type="dxa"/>
              <w:left w:w="120" w:type="dxa"/>
              <w:bottom w:w="100" w:type="dxa"/>
              <w:right w:w="120" w:type="dxa"/>
            </w:tcMar>
          </w:tcPr>
          <w:p>
            <w:pPr>
              <w:spacing w:after="0"/>
            </w:pPr>
            <w:r>
              <w:rPr>
                <w:color w:val="17212B"/>
                <w:sz w:val="18"/>
                <w:szCs w:val="18"/>
              </w:rPr>
              <w:t xml:space="preserve">Business facade, user commands and queries</w:t>
            </w:r>
          </w:p>
        </w:tc>
        <w:tc>
          <w:tcPr>
            <w:tcW w:w="3880" w:type="dxa"/>
            <w:shd w:val="clear" w:fill="F4F7FA"/>
            <w:tcMar>
              <w:top w:w="100" w:type="dxa"/>
              <w:left w:w="120" w:type="dxa"/>
              <w:bottom w:w="100" w:type="dxa"/>
              <w:right w:w="120" w:type="dxa"/>
            </w:tcMar>
          </w:tcPr>
          <w:p>
            <w:pPr>
              <w:spacing w:after="0"/>
            </w:pPr>
            <w:r>
              <w:rPr>
                <w:color w:val="17212B"/>
                <w:sz w:val="18"/>
                <w:szCs w:val="18"/>
              </w:rPr>
              <w:t xml:space="preserve">Long-running rendering or scheduled polling</w:t>
            </w:r>
          </w:p>
        </w:tc>
      </w:tr>
      <w:tr>
        <w:tc>
          <w:tcPr>
            <w:tcW w:w="1600" w:type="dxa"/>
            <w:shd w:val="clear" w:fill="FFFFFF"/>
            <w:tcMar>
              <w:top w:w="100" w:type="dxa"/>
              <w:left w:w="120" w:type="dxa"/>
              <w:bottom w:w="100" w:type="dxa"/>
              <w:right w:w="120" w:type="dxa"/>
            </w:tcMar>
          </w:tcPr>
          <w:p>
            <w:pPr>
              <w:spacing w:after="0"/>
            </w:pPr>
            <w:r>
              <w:rPr>
                <w:color w:val="17212B"/>
                <w:sz w:val="18"/>
                <w:szCs w:val="18"/>
              </w:rPr>
              <w:t xml:space="preserve">Upload</w:t>
            </w:r>
          </w:p>
        </w:tc>
        <w:tc>
          <w:tcPr>
            <w:tcW w:w="3880" w:type="dxa"/>
            <w:shd w:val="clear" w:fill="FFFFFF"/>
            <w:tcMar>
              <w:top w:w="100" w:type="dxa"/>
              <w:left w:w="120" w:type="dxa"/>
              <w:bottom w:w="100" w:type="dxa"/>
              <w:right w:w="120" w:type="dxa"/>
            </w:tcMar>
          </w:tcPr>
          <w:p>
            <w:pPr>
              <w:spacing w:after="0"/>
            </w:pPr>
            <w:r>
              <w:rPr>
                <w:color w:val="17212B"/>
                <w:sz w:val="18"/>
                <w:szCs w:val="18"/>
              </w:rPr>
              <w:t xml:space="preserve">Secure file lifecycle and storage registration</w:t>
            </w:r>
          </w:p>
        </w:tc>
        <w:tc>
          <w:tcPr>
            <w:tcW w:w="3880" w:type="dxa"/>
            <w:shd w:val="clear" w:fill="FFFFFF"/>
            <w:tcMar>
              <w:top w:w="100" w:type="dxa"/>
              <w:left w:w="120" w:type="dxa"/>
              <w:bottom w:w="100" w:type="dxa"/>
              <w:right w:w="120" w:type="dxa"/>
            </w:tcMar>
          </w:tcPr>
          <w:p>
            <w:pPr>
              <w:spacing w:after="0"/>
            </w:pPr>
            <w:r>
              <w:rPr>
                <w:color w:val="17212B"/>
                <w:sz w:val="18"/>
                <w:szCs w:val="18"/>
              </w:rPr>
              <w:t xml:space="preserve">Run scheduling or document composition</w:t>
            </w:r>
          </w:p>
        </w:tc>
      </w:tr>
      <w:tr>
        <w:tc>
          <w:tcPr>
            <w:tcW w:w="1600" w:type="dxa"/>
            <w:shd w:val="clear" w:fill="F4F7FA"/>
            <w:tcMar>
              <w:top w:w="100" w:type="dxa"/>
              <w:left w:w="120" w:type="dxa"/>
              <w:bottom w:w="100" w:type="dxa"/>
              <w:right w:w="120" w:type="dxa"/>
            </w:tcMar>
          </w:tcPr>
          <w:p>
            <w:pPr>
              <w:spacing w:after="0"/>
            </w:pPr>
            <w:r>
              <w:rPr>
                <w:color w:val="17212B"/>
                <w:sz w:val="18"/>
                <w:szCs w:val="18"/>
              </w:rPr>
              <w:t xml:space="preserve">Batch</w:t>
            </w:r>
          </w:p>
        </w:tc>
        <w:tc>
          <w:tcPr>
            <w:tcW w:w="3880" w:type="dxa"/>
            <w:shd w:val="clear" w:fill="F4F7FA"/>
            <w:tcMar>
              <w:top w:w="100" w:type="dxa"/>
              <w:left w:w="120" w:type="dxa"/>
              <w:bottom w:w="100" w:type="dxa"/>
              <w:right w:w="120" w:type="dxa"/>
            </w:tcMar>
          </w:tcPr>
          <w:p>
            <w:pPr>
              <w:spacing w:after="0"/>
            </w:pPr>
            <w:r>
              <w:rPr>
                <w:color w:val="17212B"/>
                <w:sz w:val="18"/>
                <w:szCs w:val="18"/>
              </w:rPr>
              <w:t xml:space="preserve">Scheduled claims, recovery and event publication</w:t>
            </w:r>
          </w:p>
        </w:tc>
        <w:tc>
          <w:tcPr>
            <w:tcW w:w="3880" w:type="dxa"/>
            <w:shd w:val="clear" w:fill="F4F7FA"/>
            <w:tcMar>
              <w:top w:w="100" w:type="dxa"/>
              <w:left w:w="120" w:type="dxa"/>
              <w:bottom w:w="100" w:type="dxa"/>
              <w:right w:w="120" w:type="dxa"/>
            </w:tcMar>
          </w:tcPr>
          <w:p>
            <w:pPr>
              <w:spacing w:after="0"/>
            </w:pPr>
            <w:r>
              <w:rPr>
                <w:color w:val="17212B"/>
                <w:sz w:val="18"/>
                <w:szCs w:val="18"/>
              </w:rPr>
              <w:t xml:space="preserve">Task algorithms or document rendering</w:t>
            </w:r>
          </w:p>
        </w:tc>
      </w:tr>
      <w:tr>
        <w:tc>
          <w:tcPr>
            <w:tcW w:w="1600" w:type="dxa"/>
            <w:shd w:val="clear" w:fill="FFFFFF"/>
            <w:tcMar>
              <w:top w:w="100" w:type="dxa"/>
              <w:left w:w="120" w:type="dxa"/>
              <w:bottom w:w="100" w:type="dxa"/>
              <w:right w:w="120" w:type="dxa"/>
            </w:tcMar>
          </w:tcPr>
          <w:p>
            <w:pPr>
              <w:spacing w:after="0"/>
            </w:pPr>
            <w:r>
              <w:rPr>
                <w:color w:val="17212B"/>
                <w:sz w:val="18"/>
                <w:szCs w:val="18"/>
              </w:rPr>
              <w:t xml:space="preserve">Engine</w:t>
            </w:r>
          </w:p>
        </w:tc>
        <w:tc>
          <w:tcPr>
            <w:tcW w:w="3880" w:type="dxa"/>
            <w:shd w:val="clear" w:fill="FFFFFF"/>
            <w:tcMar>
              <w:top w:w="100" w:type="dxa"/>
              <w:left w:w="120" w:type="dxa"/>
              <w:bottom w:w="100" w:type="dxa"/>
              <w:right w:w="120" w:type="dxa"/>
            </w:tcMar>
          </w:tcPr>
          <w:p>
            <w:pPr>
              <w:spacing w:after="0"/>
            </w:pPr>
            <w:r>
              <w:rPr>
                <w:color w:val="17212B"/>
                <w:sz w:val="18"/>
                <w:szCs w:val="18"/>
              </w:rPr>
              <w:t xml:space="preserve">Run pipeline, task processing, QXPS/QXPSM</w:t>
            </w:r>
          </w:p>
        </w:tc>
        <w:tc>
          <w:tcPr>
            <w:tcW w:w="3880" w:type="dxa"/>
            <w:shd w:val="clear" w:fill="FFFFFF"/>
            <w:tcMar>
              <w:top w:w="100" w:type="dxa"/>
              <w:left w:w="120" w:type="dxa"/>
              <w:bottom w:w="100" w:type="dxa"/>
              <w:right w:w="120" w:type="dxa"/>
            </w:tcMar>
          </w:tcPr>
          <w:p>
            <w:pPr>
              <w:spacing w:after="0"/>
            </w:pPr>
            <w:r>
              <w:rPr>
                <w:color w:val="17212B"/>
                <w:sz w:val="18"/>
                <w:szCs w:val="18"/>
              </w:rPr>
              <w:t xml:space="preserve">Interactive UI workflows or scheduling</w:t>
            </w:r>
          </w:p>
        </w:tc>
      </w:tr>
    </w:tbl>
    <w:p>
      <w:pPr>
        <w:pageBreakBefore/>
      </w:pPr>
    </w:p>
    <w:p>
      <w:pPr>
        <w:pStyle w:val="Heading1"/>
        <w:spacing w:before="180" w:after="100" w:line="276" w:lineRule="auto"/>
        <w:keepNext/>
      </w:pPr>
      <w:r>
        <w:rPr/>
        <w:t xml:space="preserve">4. End-to-end functional flow</w:t>
      </w:r>
    </w:p>
    <w:p>
      <w:pPr>
        <w:jc w:val="center"/>
        <w:spacing w:before="80" w:after="60"/>
      </w:pPr>
      <w:r>
        <w:drawing>
          <wp:inline xmlns:wp="http://schemas.openxmlformats.org/drawingml/2006/wordprocessingDrawing" distT="0" distB="0" distL="0" distR="0">
            <wp:extent cx="5943600" cy="3343275"/>
            <wp:docPr id="3" name="Figure 3 - End-to-end run lifecycle" descr="Figure 3 - End-to-end run lifecycle"/>
            <a:graphic xmlns:a="http://schemas.openxmlformats.org/drawingml/2006/main">
              <a:graphicData uri="http://schemas.openxmlformats.org/drawingml/2006/picture">
                <pic:pic xmlns:pic="http://schemas.openxmlformats.org/drawingml/2006/picture">
                  <pic:nvPicPr>
                    <pic:cNvPr id="0" name="Figure 3 - End-to-end run lifecycle" descr="Figure 3 - End-to-end run lifecycle"/>
                    <pic:cNvPicPr/>
                  </pic:nvPicPr>
                  <pic:blipFill>
                    <a:blip xmlns:r="http://schemas.openxmlformats.org/officeDocument/2006/relationships" r:embed="rId12"/>
                    <a:stretch>
                      <a:fillRect/>
                    </a:stretch>
                  </pic:blipFill>
                  <pic:spPr>
                    <a:xfrm>
                      <a:off x="0" y="0"/>
                      <a:ext cx="5943600" cy="3343275"/>
                    </a:xfrm>
                    <a:prstGeom prst="rect">
                      <a:avLst/>
                    </a:prstGeom>
                  </pic:spPr>
                </pic:pic>
              </a:graphicData>
            </a:graphic>
          </wp:inline>
        </w:drawing>
      </w:r>
    </w:p>
    <w:p>
      <w:pPr>
        <w:jc w:val="center"/>
        <w:spacing w:after="120"/>
      </w:pPr>
      <w:r>
        <w:rPr>
          <w:i/>
          <w:color w:val="536271"/>
          <w:sz w:val="16"/>
          <w:szCs w:val="16"/>
        </w:rPr>
        <w:t xml:space="preserve">Figure 3 - End-to-end run lifecycle</w:t>
      </w:r>
    </w:p>
    <w:p>
      <w:pPr>
        <w:pStyle w:val="Heading2"/>
        <w:spacing w:before="180" w:after="100" w:line="276" w:lineRule="auto"/>
        <w:keepNext/>
      </w:pPr>
      <w:r>
        <w:rPr/>
        <w:t xml:space="preserve">Run lifecycle</w:t>
      </w:r>
    </w:p>
    <w:p>
      <w:pPr>
        <w:spacing w:before="0" w:after="100" w:line="276" w:lineRule="auto"/>
      </w:pPr>
      <w:r>
        <w:rPr/>
        <w:t xml:space="preserve">The application uses asynchronous execution. User-facing requests create or activate a run and return control immediately. Batch orchestration publishes a small run event. Engine consumers execute the run and persist stage, outcome and output metadata. The UI obtains progress and output information through the Backend API.</w:t>
      </w:r>
    </w:p>
    <w:p>
      <w:pPr>
        <w:pageBreakBefore/>
      </w:pPr>
    </w:p>
    <w:p>
      <w:pPr>
        <w:pStyle w:val="Heading1"/>
        <w:spacing w:before="180" w:after="100" w:line="276" w:lineRule="auto"/>
        <w:keepNext/>
      </w:pPr>
      <w:r>
        <w:rPr/>
        <w:t xml:space="preserve">5. Engine service architecture</w:t>
      </w:r>
    </w:p>
    <w:p>
      <w:pPr>
        <w:jc w:val="center"/>
        <w:spacing w:before="80" w:after="60"/>
      </w:pPr>
      <w:r>
        <w:drawing>
          <wp:inline xmlns:wp="http://schemas.openxmlformats.org/drawingml/2006/wordprocessingDrawing" distT="0" distB="0" distL="0" distR="0">
            <wp:extent cx="5943600" cy="3343275"/>
            <wp:docPr id="4" name="Figure 4 - Engine processing pipeline" descr="Figure 4 - Engine processing pipeline"/>
            <a:graphic xmlns:a="http://schemas.openxmlformats.org/drawingml/2006/main">
              <a:graphicData uri="http://schemas.openxmlformats.org/drawingml/2006/picture">
                <pic:pic xmlns:pic="http://schemas.openxmlformats.org/drawingml/2006/picture">
                  <pic:nvPicPr>
                    <pic:cNvPr id="0" name="Figure 4 - Engine processing pipeline" descr="Figure 4 - Engine processing pipeline"/>
                    <pic:cNvPicPr/>
                  </pic:nvPicPr>
                  <pic:blipFill>
                    <a:blip xmlns:r="http://schemas.openxmlformats.org/officeDocument/2006/relationships" r:embed="rId13"/>
                    <a:stretch>
                      <a:fillRect/>
                    </a:stretch>
                  </pic:blipFill>
                  <pic:spPr>
                    <a:xfrm>
                      <a:off x="0" y="0"/>
                      <a:ext cx="5943600" cy="3343275"/>
                    </a:xfrm>
                    <a:prstGeom prst="rect">
                      <a:avLst/>
                    </a:prstGeom>
                  </pic:spPr>
                </pic:pic>
              </a:graphicData>
            </a:graphic>
          </wp:inline>
        </w:drawing>
      </w:r>
    </w:p>
    <w:p>
      <w:pPr>
        <w:jc w:val="center"/>
        <w:spacing w:after="120"/>
      </w:pPr>
      <w:r>
        <w:rPr>
          <w:i/>
          <w:color w:val="536271"/>
          <w:sz w:val="16"/>
          <w:szCs w:val="16"/>
        </w:rPr>
        <w:t xml:space="preserve">Figure 4 - Engine processing pipeline</w:t>
      </w:r>
    </w:p>
    <w:p>
      <w:pPr>
        <w:pStyle w:val="Heading2"/>
        <w:spacing w:before="180" w:after="100" w:line="276" w:lineRule="auto"/>
        <w:keepNext/>
      </w:pPr>
      <w:r>
        <w:rPr/>
        <w:t xml:space="preserve">Processing model</w:t>
      </w:r>
    </w:p>
    <w:p>
      <w:pPr>
        <w:spacing w:before="0" w:after="100" w:line="276" w:lineRule="auto"/>
      </w:pPr>
      <w:r>
        <w:rPr/>
        <w:t xml:space="preserve">The Engine Service receives a run identifier from RabbitMQ or the restricted REST entry point. Both entry paths invoke the same run processor. The processor loads Oracle configuration and data, selects the correct document source, executes configured task strategies, builds ordered document changes, validates the document and uses QXPS/QXPSM to apply and render the result.</w:t>
      </w:r>
    </w:p>
    <w:p>
      <w:pPr>
        <w:pStyle w:val="Heading2"/>
        <w:spacing w:before="180" w:after="100" w:line="276" w:lineRule="auto"/>
        <w:keepNext/>
      </w:pPr>
      <w:r>
        <w:rPr/>
        <w:t xml:space="preserve">Supported task families</w:t>
      </w:r>
    </w:p>
    <w:p>
      <w:pPr>
        <w:spacing w:before="0" w:after="100" w:line="276" w:lineRule="auto"/>
      </w:pPr>
      <w:r>
        <w:rPr/>
        <w:t xml:space="preserve">SYSTEM and SQL value tasks; DOCUMENT and QXP_PREVIOUS file tasks; DYNAMIQUE and COMPARTIMENT structural tasks. Internally, tasks produce ordered blocs that become Quark value or structure operations.</w:t>
      </w:r>
    </w:p>
    <w:p>
      <w:pPr>
        <w:pageBreakBefore/>
      </w:pPr>
    </w:p>
    <w:p>
      <w:pPr>
        <w:pStyle w:val="Heading1"/>
        <w:spacing w:before="180" w:after="100" w:line="276" w:lineRule="auto"/>
        <w:keepNext/>
      </w:pPr>
      <w:r>
        <w:rPr/>
        <w:t xml:space="preserve">6. Batch service architecture</w:t>
      </w:r>
    </w:p>
    <w:p>
      <w:pPr>
        <w:jc w:val="center"/>
        <w:spacing w:before="80" w:after="60"/>
      </w:pPr>
      <w:r>
        <w:drawing>
          <wp:inline xmlns:wp="http://schemas.openxmlformats.org/drawingml/2006/wordprocessingDrawing" distT="0" distB="0" distL="0" distR="0">
            <wp:extent cx="5943600" cy="3343275"/>
            <wp:docPr id="5" name="Figure 5 - Batch orchestration and recovery" descr="Figure 5 - Batch orchestration and recovery"/>
            <a:graphic xmlns:a="http://schemas.openxmlformats.org/drawingml/2006/main">
              <a:graphicData uri="http://schemas.openxmlformats.org/drawingml/2006/picture">
                <pic:pic xmlns:pic="http://schemas.openxmlformats.org/drawingml/2006/picture">
                  <pic:nvPicPr>
                    <pic:cNvPr id="0" name="Figure 5 - Batch orchestration and recovery" descr="Figure 5 - Batch orchestration and recovery"/>
                    <pic:cNvPicPr/>
                  </pic:nvPicPr>
                  <pic:blipFill>
                    <a:blip xmlns:r="http://schemas.openxmlformats.org/officeDocument/2006/relationships" r:embed="rId14"/>
                    <a:stretch>
                      <a:fillRect/>
                    </a:stretch>
                  </pic:blipFill>
                  <pic:spPr>
                    <a:xfrm>
                      <a:off x="0" y="0"/>
                      <a:ext cx="5943600" cy="3343275"/>
                    </a:xfrm>
                    <a:prstGeom prst="rect">
                      <a:avLst/>
                    </a:prstGeom>
                  </pic:spPr>
                </pic:pic>
              </a:graphicData>
            </a:graphic>
          </wp:inline>
        </w:drawing>
      </w:r>
    </w:p>
    <w:p>
      <w:pPr>
        <w:jc w:val="center"/>
        <w:spacing w:after="120"/>
      </w:pPr>
      <w:r>
        <w:rPr>
          <w:i/>
          <w:color w:val="536271"/>
          <w:sz w:val="16"/>
          <w:szCs w:val="16"/>
        </w:rPr>
        <w:t xml:space="preserve">Figure 5 - Batch orchestration and recovery</w:t>
      </w:r>
    </w:p>
    <w:p>
      <w:pPr>
        <w:pStyle w:val="Heading2"/>
        <w:spacing w:before="180" w:after="100" w:line="276" w:lineRule="auto"/>
        <w:keepNext/>
      </w:pPr>
      <w:r>
        <w:rPr/>
        <w:t xml:space="preserve">Batch capabilities</w:t>
      </w:r>
    </w:p>
    <w:p>
      <w:pPr>
        <w:pStyle w:val="ListBullet"/>
        <w:spacing w:before="0" w:after="55" w:line="276" w:lineRule="auto"/>
      </w:pPr>
      <w:r>
        <w:rPr/>
        <w:t xml:space="preserve">Process planned runs that are due for execution.</w:t>
      </w:r>
    </w:p>
    <w:p>
      <w:pPr>
        <w:pStyle w:val="ListBullet"/>
        <w:spacing w:before="0" w:after="55" w:line="276" w:lineRule="auto"/>
      </w:pPr>
      <w:r>
        <w:rPr/>
        <w:t xml:space="preserve">Check registered uploads and coordinate run creation/initiation.</w:t>
      </w:r>
    </w:p>
    <w:p>
      <w:pPr>
        <w:pStyle w:val="ListBullet"/>
        <w:spacing w:before="0" w:after="55" w:line="276" w:lineRule="auto"/>
      </w:pPr>
      <w:r>
        <w:rPr/>
        <w:t xml:space="preserve">Recover eligible pending work during controlled startup processing.</w:t>
      </w:r>
    </w:p>
    <w:p>
      <w:pPr>
        <w:pStyle w:val="ListBullet"/>
        <w:spacing w:before="0" w:after="55" w:line="276" w:lineRule="auto"/>
      </w:pPr>
      <w:r>
        <w:rPr/>
        <w:t xml:space="preserve">Atomically claim work before publication to prevent duplicate scheduling.</w:t>
      </w:r>
    </w:p>
    <w:p>
      <w:pPr>
        <w:pStyle w:val="ListBullet"/>
        <w:spacing w:before="0" w:after="55" w:line="276" w:lineRule="auto"/>
      </w:pPr>
      <w:r>
        <w:rPr/>
        <w:t xml:space="preserve">Publish run identifiers with correlation metadata and publisher confirmation.</w:t>
      </w:r>
    </w:p>
    <w:p>
      <w:pPr>
        <w:pageBreakBefore/>
      </w:pPr>
    </w:p>
    <w:p>
      <w:pPr>
        <w:pStyle w:val="Heading1"/>
        <w:spacing w:before="180" w:after="100" w:line="276" w:lineRule="auto"/>
        <w:keepNext/>
      </w:pPr>
      <w:r>
        <w:rPr/>
        <w:t xml:space="preserve">7. Upload architecture</w:t>
      </w:r>
    </w:p>
    <w:p>
      <w:pPr>
        <w:jc w:val="center"/>
        <w:spacing w:before="80" w:after="60"/>
      </w:pPr>
      <w:r>
        <w:drawing>
          <wp:inline xmlns:wp="http://schemas.openxmlformats.org/drawingml/2006/wordprocessingDrawing" distT="0" distB="0" distL="0" distR="0">
            <wp:extent cx="5943600" cy="3343275"/>
            <wp:docPr id="6" name="Figure 6 - Secure upload lifecycle" descr="Figure 6 - Secure upload lifecycle"/>
            <a:graphic xmlns:a="http://schemas.openxmlformats.org/drawingml/2006/main">
              <a:graphicData uri="http://schemas.openxmlformats.org/drawingml/2006/picture">
                <pic:pic xmlns:pic="http://schemas.openxmlformats.org/drawingml/2006/picture">
                  <pic:nvPicPr>
                    <pic:cNvPr id="0" name="Figure 6 - Secure upload lifecycle" descr="Figure 6 - Secure upload lifecycle"/>
                    <pic:cNvPicPr/>
                  </pic:nvPicPr>
                  <pic:blipFill>
                    <a:blip xmlns:r="http://schemas.openxmlformats.org/officeDocument/2006/relationships" r:embed="rId15"/>
                    <a:stretch>
                      <a:fillRect/>
                    </a:stretch>
                  </pic:blipFill>
                  <pic:spPr>
                    <a:xfrm>
                      <a:off x="0" y="0"/>
                      <a:ext cx="5943600" cy="3343275"/>
                    </a:xfrm>
                    <a:prstGeom prst="rect">
                      <a:avLst/>
                    </a:prstGeom>
                  </pic:spPr>
                </pic:pic>
              </a:graphicData>
            </a:graphic>
          </wp:inline>
        </w:drawing>
      </w:r>
    </w:p>
    <w:p>
      <w:pPr>
        <w:jc w:val="center"/>
        <w:spacing w:after="120"/>
      </w:pPr>
      <w:r>
        <w:rPr>
          <w:i/>
          <w:color w:val="536271"/>
          <w:sz w:val="16"/>
          <w:szCs w:val="16"/>
        </w:rPr>
        <w:t xml:space="preserve">Figure 6 - Secure upload lifecycle</w:t>
      </w:r>
    </w:p>
    <w:p>
      <w:pPr>
        <w:pStyle w:val="Heading2"/>
        <w:spacing w:before="180" w:after="100" w:line="276" w:lineRule="auto"/>
        <w:keepNext/>
      </w:pPr>
      <w:r>
        <w:rPr/>
        <w:t xml:space="preserve">Upload controls</w:t>
      </w:r>
    </w:p>
    <w:p>
      <w:pPr>
        <w:spacing w:before="0" w:after="100" w:line="276" w:lineRule="auto"/>
      </w:pPr>
      <w:r>
        <w:rPr/>
        <w:t xml:space="preserve">The Upload Service validates file name, extension, MIME signature, size, checksum and business entitlement. Content is quarantined until mandatory scanning completes. Accepted files are stored using stable identifiers and registered in Oracle. Only accepted and registered documents can be used by batch or engine processing.</w:t>
      </w:r>
    </w:p>
    <w:p>
      <w:pPr>
        <w:pageBreakBefore/>
      </w:pPr>
    </w:p>
    <w:p>
      <w:pPr>
        <w:pStyle w:val="Heading1"/>
        <w:spacing w:before="180" w:after="100" w:line="276" w:lineRule="auto"/>
        <w:keepNext/>
      </w:pPr>
      <w:r>
        <w:rPr/>
        <w:t xml:space="preserve">8. Deployment architecture</w:t>
      </w:r>
    </w:p>
    <w:p>
      <w:pPr>
        <w:jc w:val="center"/>
        <w:spacing w:before="80" w:after="60"/>
      </w:pPr>
      <w:r>
        <w:drawing>
          <wp:inline xmlns:wp="http://schemas.openxmlformats.org/drawingml/2006/wordprocessingDrawing" distT="0" distB="0" distL="0" distR="0">
            <wp:extent cx="5943600" cy="3343275"/>
            <wp:docPr id="7" name="Figure 7 - Deployment and network zoning" descr="Figure 7 - Deployment and network zoning"/>
            <a:graphic xmlns:a="http://schemas.openxmlformats.org/drawingml/2006/main">
              <a:graphicData uri="http://schemas.openxmlformats.org/drawingml/2006/picture">
                <pic:pic xmlns:pic="http://schemas.openxmlformats.org/drawingml/2006/picture">
                  <pic:nvPicPr>
                    <pic:cNvPr id="0" name="Figure 7 - Deployment and network zoning" descr="Figure 7 - Deployment and network zoning"/>
                    <pic:cNvPicPr/>
                  </pic:nvPicPr>
                  <pic:blipFill>
                    <a:blip xmlns:r="http://schemas.openxmlformats.org/officeDocument/2006/relationships" r:embed="rId16"/>
                    <a:stretch>
                      <a:fillRect/>
                    </a:stretch>
                  </pic:blipFill>
                  <pic:spPr>
                    <a:xfrm>
                      <a:off x="0" y="0"/>
                      <a:ext cx="5943600" cy="3343275"/>
                    </a:xfrm>
                    <a:prstGeom prst="rect">
                      <a:avLst/>
                    </a:prstGeom>
                  </pic:spPr>
                </pic:pic>
              </a:graphicData>
            </a:graphic>
          </wp:inline>
        </w:drawing>
      </w:r>
    </w:p>
    <w:p>
      <w:pPr>
        <w:jc w:val="center"/>
        <w:spacing w:after="120"/>
      </w:pPr>
      <w:r>
        <w:rPr>
          <w:i/>
          <w:color w:val="536271"/>
          <w:sz w:val="16"/>
          <w:szCs w:val="16"/>
        </w:rPr>
        <w:t xml:space="preserve">Figure 7 - Deployment and network zoning</w:t>
      </w:r>
    </w:p>
    <w:tbl>
      <w:tblPr>
        <w:tblW w:w="9360" w:type="dxa"/>
        <w:tblInd w:w="120" w:type="dxa"/>
        <w:tblLayout w:type="fixed"/>
        <w:tblBorders>
          <w:top w:val="single" w:sz="4" w:color="C9D5DF"/>
          <w:left w:val="single" w:sz="4" w:color="C9D5DF"/>
          <w:bottom w:val="single" w:sz="4" w:color="C9D5DF"/>
          <w:right w:val="single" w:sz="4" w:color="C9D5DF"/>
          <w:insideH w:val="single" w:sz="3" w:color="DCE3E9"/>
          <w:insideV w:val="single" w:sz="3" w:color="DCE3E9"/>
        </w:tblBorders>
      </w:tblPr>
      <w:tblGrid>
        <w:gridCol w:w="2100"/>
        <w:gridCol w:w="7260"/>
      </w:tblGrid>
      <w:tr>
        <w:trPr>
          <w:tblHeader/>
        </w:trPr>
        <w:tc>
          <w:tcPr>
            <w:tcW w:w="2100" w:type="dxa"/>
            <w:shd w:val="clear" w:fill="12345B"/>
            <w:tcMar>
              <w:top w:w="100" w:type="dxa"/>
              <w:left w:w="120" w:type="dxa"/>
              <w:bottom w:w="100" w:type="dxa"/>
              <w:right w:w="120" w:type="dxa"/>
            </w:tcMar>
          </w:tcPr>
          <w:p>
            <w:pPr>
              <w:spacing w:after="0"/>
            </w:pPr>
            <w:r>
              <w:rPr>
                <w:b/>
                <w:color w:val="FFFFFF"/>
                <w:sz w:val="18"/>
                <w:szCs w:val="18"/>
              </w:rPr>
              <w:t xml:space="preserve">Runtime</w:t>
            </w:r>
          </w:p>
        </w:tc>
        <w:tc>
          <w:tcPr>
            <w:tcW w:w="7260" w:type="dxa"/>
            <w:shd w:val="clear" w:fill="12345B"/>
            <w:tcMar>
              <w:top w:w="100" w:type="dxa"/>
              <w:left w:w="120" w:type="dxa"/>
              <w:bottom w:w="100" w:type="dxa"/>
              <w:right w:w="120" w:type="dxa"/>
            </w:tcMar>
          </w:tcPr>
          <w:p>
            <w:pPr>
              <w:spacing w:after="0"/>
            </w:pPr>
            <w:r>
              <w:rPr>
                <w:b/>
                <w:color w:val="FFFFFF"/>
                <w:sz w:val="18"/>
                <w:szCs w:val="18"/>
              </w:rPr>
              <w:t xml:space="preserve">Deployment and scaling</w:t>
            </w:r>
          </w:p>
        </w:tc>
      </w:tr>
      <w:tr>
        <w:tc>
          <w:tcPr>
            <w:tcW w:w="2100" w:type="dxa"/>
            <w:shd w:val="clear" w:fill="FFFFFF"/>
            <w:tcMar>
              <w:top w:w="100" w:type="dxa"/>
              <w:left w:w="120" w:type="dxa"/>
              <w:bottom w:w="100" w:type="dxa"/>
              <w:right w:w="120" w:type="dxa"/>
            </w:tcMar>
          </w:tcPr>
          <w:p>
            <w:pPr>
              <w:spacing w:after="0"/>
            </w:pPr>
            <w:r>
              <w:rPr>
                <w:color w:val="17212B"/>
                <w:sz w:val="18"/>
                <w:szCs w:val="18"/>
              </w:rPr>
              <w:t xml:space="preserve">Angular UI</w:t>
            </w:r>
          </w:p>
        </w:tc>
        <w:tc>
          <w:tcPr>
            <w:tcW w:w="7260" w:type="dxa"/>
            <w:shd w:val="clear" w:fill="FFFFFF"/>
            <w:tcMar>
              <w:top w:w="100" w:type="dxa"/>
              <w:left w:w="120" w:type="dxa"/>
              <w:bottom w:w="100" w:type="dxa"/>
              <w:right w:w="120" w:type="dxa"/>
            </w:tcMar>
          </w:tcPr>
          <w:p>
            <w:pPr>
              <w:spacing w:after="0"/>
            </w:pPr>
            <w:r>
              <w:rPr>
                <w:color w:val="17212B"/>
                <w:sz w:val="18"/>
                <w:szCs w:val="18"/>
              </w:rPr>
              <w:t xml:space="preserve">Versioned static assets behind enterprise ingress/CDN.</w:t>
            </w:r>
          </w:p>
        </w:tc>
      </w:tr>
      <w:tr>
        <w:tc>
          <w:tcPr>
            <w:tcW w:w="2100" w:type="dxa"/>
            <w:shd w:val="clear" w:fill="F4F7FA"/>
            <w:tcMar>
              <w:top w:w="100" w:type="dxa"/>
              <w:left w:w="120" w:type="dxa"/>
              <w:bottom w:w="100" w:type="dxa"/>
              <w:right w:w="120" w:type="dxa"/>
            </w:tcMar>
          </w:tcPr>
          <w:p>
            <w:pPr>
              <w:spacing w:after="0"/>
            </w:pPr>
            <w:r>
              <w:rPr>
                <w:color w:val="17212B"/>
                <w:sz w:val="18"/>
                <w:szCs w:val="18"/>
              </w:rPr>
              <w:t xml:space="preserve">Backend API</w:t>
            </w:r>
          </w:p>
        </w:tc>
        <w:tc>
          <w:tcPr>
            <w:tcW w:w="7260" w:type="dxa"/>
            <w:shd w:val="clear" w:fill="F4F7FA"/>
            <w:tcMar>
              <w:top w:w="100" w:type="dxa"/>
              <w:left w:w="120" w:type="dxa"/>
              <w:bottom w:w="100" w:type="dxa"/>
              <w:right w:w="120" w:type="dxa"/>
            </w:tcMar>
          </w:tcPr>
          <w:p>
            <w:pPr>
              <w:spacing w:after="0"/>
            </w:pPr>
            <w:r>
              <w:rPr>
                <w:color w:val="17212B"/>
                <w:sz w:val="18"/>
                <w:szCs w:val="18"/>
              </w:rPr>
              <w:t xml:space="preserve">Stateless replicas with health and readiness probes; horizontal scaling.</w:t>
            </w:r>
          </w:p>
        </w:tc>
      </w:tr>
      <w:tr>
        <w:tc>
          <w:tcPr>
            <w:tcW w:w="2100" w:type="dxa"/>
            <w:shd w:val="clear" w:fill="FFFFFF"/>
            <w:tcMar>
              <w:top w:w="100" w:type="dxa"/>
              <w:left w:w="120" w:type="dxa"/>
              <w:bottom w:w="100" w:type="dxa"/>
              <w:right w:w="120" w:type="dxa"/>
            </w:tcMar>
          </w:tcPr>
          <w:p>
            <w:pPr>
              <w:spacing w:after="0"/>
            </w:pPr>
            <w:r>
              <w:rPr>
                <w:color w:val="17212B"/>
                <w:sz w:val="18"/>
                <w:szCs w:val="18"/>
              </w:rPr>
              <w:t xml:space="preserve">Upload Service</w:t>
            </w:r>
          </w:p>
        </w:tc>
        <w:tc>
          <w:tcPr>
            <w:tcW w:w="7260" w:type="dxa"/>
            <w:shd w:val="clear" w:fill="FFFFFF"/>
            <w:tcMar>
              <w:top w:w="100" w:type="dxa"/>
              <w:left w:w="120" w:type="dxa"/>
              <w:bottom w:w="100" w:type="dxa"/>
              <w:right w:w="120" w:type="dxa"/>
            </w:tcMar>
          </w:tcPr>
          <w:p>
            <w:pPr>
              <w:spacing w:after="0"/>
            </w:pPr>
            <w:r>
              <w:rPr>
                <w:color w:val="17212B"/>
                <w:sz w:val="18"/>
                <w:szCs w:val="18"/>
              </w:rPr>
              <w:t xml:space="preserve">Stateless replicas; streaming and explicit payload limits; durable external storage.</w:t>
            </w:r>
          </w:p>
        </w:tc>
      </w:tr>
      <w:tr>
        <w:tc>
          <w:tcPr>
            <w:tcW w:w="2100" w:type="dxa"/>
            <w:shd w:val="clear" w:fill="F4F7FA"/>
            <w:tcMar>
              <w:top w:w="100" w:type="dxa"/>
              <w:left w:w="120" w:type="dxa"/>
              <w:bottom w:w="100" w:type="dxa"/>
              <w:right w:w="120" w:type="dxa"/>
            </w:tcMar>
          </w:tcPr>
          <w:p>
            <w:pPr>
              <w:spacing w:after="0"/>
            </w:pPr>
            <w:r>
              <w:rPr>
                <w:color w:val="17212B"/>
                <w:sz w:val="18"/>
                <w:szCs w:val="18"/>
              </w:rPr>
              <w:t xml:space="preserve">Batch Service</w:t>
            </w:r>
          </w:p>
        </w:tc>
        <w:tc>
          <w:tcPr>
            <w:tcW w:w="7260" w:type="dxa"/>
            <w:shd w:val="clear" w:fill="F4F7FA"/>
            <w:tcMar>
              <w:top w:w="100" w:type="dxa"/>
              <w:left w:w="120" w:type="dxa"/>
              <w:bottom w:w="100" w:type="dxa"/>
              <w:right w:w="120" w:type="dxa"/>
            </w:tcMar>
          </w:tcPr>
          <w:p>
            <w:pPr>
              <w:spacing w:after="0"/>
            </w:pPr>
            <w:r>
              <w:rPr>
                <w:color w:val="17212B"/>
                <w:sz w:val="18"/>
                <w:szCs w:val="18"/>
              </w:rPr>
              <w:t xml:space="preserve">Controlled single active scheduler per job using leader/distributed locking.</w:t>
            </w:r>
          </w:p>
        </w:tc>
      </w:tr>
      <w:tr>
        <w:tc>
          <w:tcPr>
            <w:tcW w:w="2100" w:type="dxa"/>
            <w:shd w:val="clear" w:fill="FFFFFF"/>
            <w:tcMar>
              <w:top w:w="100" w:type="dxa"/>
              <w:left w:w="120" w:type="dxa"/>
              <w:bottom w:w="100" w:type="dxa"/>
              <w:right w:w="120" w:type="dxa"/>
            </w:tcMar>
          </w:tcPr>
          <w:p>
            <w:pPr>
              <w:spacing w:after="0"/>
            </w:pPr>
            <w:r>
              <w:rPr>
                <w:color w:val="17212B"/>
                <w:sz w:val="18"/>
                <w:szCs w:val="18"/>
              </w:rPr>
              <w:t xml:space="preserve">Engine Service</w:t>
            </w:r>
          </w:p>
        </w:tc>
        <w:tc>
          <w:tcPr>
            <w:tcW w:w="7260" w:type="dxa"/>
            <w:shd w:val="clear" w:fill="FFFFFF"/>
            <w:tcMar>
              <w:top w:w="100" w:type="dxa"/>
              <w:left w:w="120" w:type="dxa"/>
              <w:bottom w:w="100" w:type="dxa"/>
              <w:right w:w="120" w:type="dxa"/>
            </w:tcMar>
          </w:tcPr>
          <w:p>
            <w:pPr>
              <w:spacing w:after="0"/>
            </w:pPr>
            <w:r>
              <w:rPr>
                <w:color w:val="17212B"/>
                <w:sz w:val="18"/>
                <w:szCs w:val="18"/>
              </w:rPr>
              <w:t xml:space="preserve">Multiple consumers scaled by queue depth, document size and QXPS capacity.</w:t>
            </w:r>
          </w:p>
        </w:tc>
      </w:tr>
      <w:tr>
        <w:tc>
          <w:tcPr>
            <w:tcW w:w="2100" w:type="dxa"/>
            <w:shd w:val="clear" w:fill="F4F7FA"/>
            <w:tcMar>
              <w:top w:w="100" w:type="dxa"/>
              <w:left w:w="120" w:type="dxa"/>
              <w:bottom w:w="100" w:type="dxa"/>
              <w:right w:w="120" w:type="dxa"/>
            </w:tcMar>
          </w:tcPr>
          <w:p>
            <w:pPr>
              <w:spacing w:after="0"/>
            </w:pPr>
            <w:r>
              <w:rPr>
                <w:color w:val="17212B"/>
                <w:sz w:val="18"/>
                <w:szCs w:val="18"/>
              </w:rPr>
              <w:t xml:space="preserve">RabbitMQ / Oracle / QXPS</w:t>
            </w:r>
          </w:p>
        </w:tc>
        <w:tc>
          <w:tcPr>
            <w:tcW w:w="7260" w:type="dxa"/>
            <w:shd w:val="clear" w:fill="F4F7FA"/>
            <w:tcMar>
              <w:top w:w="100" w:type="dxa"/>
              <w:left w:w="120" w:type="dxa"/>
              <w:bottom w:w="100" w:type="dxa"/>
              <w:right w:w="120" w:type="dxa"/>
            </w:tcMar>
          </w:tcPr>
          <w:p>
            <w:pPr>
              <w:spacing w:after="0"/>
            </w:pPr>
            <w:r>
              <w:rPr>
                <w:color w:val="17212B"/>
                <w:sz w:val="18"/>
                <w:szCs w:val="18"/>
              </w:rPr>
              <w:t xml:space="preserve">Enterprise-managed dependencies with monitored availability and capacity.</w:t>
            </w:r>
          </w:p>
        </w:tc>
      </w:tr>
    </w:tbl>
    <w:p>
      <w:pPr>
        <w:pageBreakBefore/>
      </w:pPr>
    </w:p>
    <w:p>
      <w:pPr>
        <w:pStyle w:val="Heading1"/>
        <w:spacing w:before="180" w:after="100" w:line="276" w:lineRule="auto"/>
        <w:keepNext/>
      </w:pPr>
      <w:r>
        <w:rPr/>
        <w:t xml:space="preserve">9. Data and integration architecture</w:t>
      </w:r>
    </w:p>
    <w:p>
      <w:pPr>
        <w:jc w:val="center"/>
        <w:spacing w:before="80" w:after="60"/>
      </w:pPr>
      <w:r>
        <w:drawing>
          <wp:inline xmlns:wp="http://schemas.openxmlformats.org/drawingml/2006/wordprocessingDrawing" distT="0" distB="0" distL="0" distR="0">
            <wp:extent cx="5943600" cy="3343275"/>
            <wp:docPr id="8" name="Figure 8 - Data and integration contracts" descr="Figure 8 - Data and integration contracts"/>
            <a:graphic xmlns:a="http://schemas.openxmlformats.org/drawingml/2006/main">
              <a:graphicData uri="http://schemas.openxmlformats.org/drawingml/2006/picture">
                <pic:pic xmlns:pic="http://schemas.openxmlformats.org/drawingml/2006/picture">
                  <pic:nvPicPr>
                    <pic:cNvPr id="0" name="Figure 8 - Data and integration contracts" descr="Figure 8 - Data and integration contracts"/>
                    <pic:cNvPicPr/>
                  </pic:nvPicPr>
                  <pic:blipFill>
                    <a:blip xmlns:r="http://schemas.openxmlformats.org/officeDocument/2006/relationships" r:embed="rId17"/>
                    <a:stretch>
                      <a:fillRect/>
                    </a:stretch>
                  </pic:blipFill>
                  <pic:spPr>
                    <a:xfrm>
                      <a:off x="0" y="0"/>
                      <a:ext cx="5943600" cy="3343275"/>
                    </a:xfrm>
                    <a:prstGeom prst="rect">
                      <a:avLst/>
                    </a:prstGeom>
                  </pic:spPr>
                </pic:pic>
              </a:graphicData>
            </a:graphic>
          </wp:inline>
        </w:drawing>
      </w:r>
    </w:p>
    <w:p>
      <w:pPr>
        <w:jc w:val="center"/>
        <w:spacing w:after="120"/>
      </w:pPr>
      <w:r>
        <w:rPr>
          <w:i/>
          <w:color w:val="536271"/>
          <w:sz w:val="16"/>
          <w:szCs w:val="16"/>
        </w:rPr>
        <w:t xml:space="preserve">Figure 8 - Data and integration contracts</w:t>
      </w:r>
    </w:p>
    <w:tbl>
      <w:tblPr>
        <w:tblW w:w="9360" w:type="dxa"/>
        <w:tblInd w:w="120" w:type="dxa"/>
        <w:tblLayout w:type="fixed"/>
        <w:tblBorders>
          <w:top w:val="single" w:sz="4" w:color="C9D5DF"/>
          <w:left w:val="single" w:sz="4" w:color="C9D5DF"/>
          <w:bottom w:val="single" w:sz="4" w:color="C9D5DF"/>
          <w:right w:val="single" w:sz="4" w:color="C9D5DF"/>
          <w:insideH w:val="single" w:sz="3" w:color="DCE3E9"/>
          <w:insideV w:val="single" w:sz="3" w:color="DCE3E9"/>
        </w:tblBorders>
      </w:tblPr>
      <w:tblGrid>
        <w:gridCol w:w="2500"/>
        <w:gridCol w:w="6860"/>
      </w:tblGrid>
      <w:tr>
        <w:trPr>
          <w:tblHeader/>
        </w:trPr>
        <w:tc>
          <w:tcPr>
            <w:tcW w:w="2500" w:type="dxa"/>
            <w:shd w:val="clear" w:fill="12345B"/>
            <w:tcMar>
              <w:top w:w="100" w:type="dxa"/>
              <w:left w:w="120" w:type="dxa"/>
              <w:bottom w:w="100" w:type="dxa"/>
              <w:right w:w="120" w:type="dxa"/>
            </w:tcMar>
          </w:tcPr>
          <w:p>
            <w:pPr>
              <w:spacing w:after="0"/>
            </w:pPr>
            <w:r>
              <w:rPr>
                <w:b/>
                <w:color w:val="FFFFFF"/>
                <w:sz w:val="18"/>
                <w:szCs w:val="18"/>
              </w:rPr>
              <w:t xml:space="preserve">Integration</w:t>
            </w:r>
          </w:p>
        </w:tc>
        <w:tc>
          <w:tcPr>
            <w:tcW w:w="6860" w:type="dxa"/>
            <w:shd w:val="clear" w:fill="12345B"/>
            <w:tcMar>
              <w:top w:w="100" w:type="dxa"/>
              <w:left w:w="120" w:type="dxa"/>
              <w:bottom w:w="100" w:type="dxa"/>
              <w:right w:w="120" w:type="dxa"/>
            </w:tcMar>
          </w:tcPr>
          <w:p>
            <w:pPr>
              <w:spacing w:after="0"/>
            </w:pPr>
            <w:r>
              <w:rPr>
                <w:b/>
                <w:color w:val="FFFFFF"/>
                <w:sz w:val="18"/>
                <w:szCs w:val="18"/>
              </w:rPr>
              <w:t xml:space="preserve">Contract and purpose</w:t>
            </w:r>
          </w:p>
        </w:tc>
      </w:tr>
      <w:tr>
        <w:tc>
          <w:tcPr>
            <w:tcW w:w="2500" w:type="dxa"/>
            <w:shd w:val="clear" w:fill="FFFFFF"/>
            <w:tcMar>
              <w:top w:w="100" w:type="dxa"/>
              <w:left w:w="120" w:type="dxa"/>
              <w:bottom w:w="100" w:type="dxa"/>
              <w:right w:w="120" w:type="dxa"/>
            </w:tcMar>
          </w:tcPr>
          <w:p>
            <w:pPr>
              <w:spacing w:after="0"/>
            </w:pPr>
            <w:r>
              <w:rPr>
                <w:color w:val="17212B"/>
                <w:sz w:val="18"/>
                <w:szCs w:val="18"/>
              </w:rPr>
              <w:t xml:space="preserve">Angular → Backend/Upload</w:t>
            </w:r>
          </w:p>
        </w:tc>
        <w:tc>
          <w:tcPr>
            <w:tcW w:w="6860" w:type="dxa"/>
            <w:shd w:val="clear" w:fill="FFFFFF"/>
            <w:tcMar>
              <w:top w:w="100" w:type="dxa"/>
              <w:left w:w="120" w:type="dxa"/>
              <w:bottom w:w="100" w:type="dxa"/>
              <w:right w:w="120" w:type="dxa"/>
            </w:tcMar>
          </w:tcPr>
          <w:p>
            <w:pPr>
              <w:spacing w:after="0"/>
            </w:pPr>
            <w:r>
              <w:rPr>
                <w:color w:val="17212B"/>
                <w:sz w:val="18"/>
                <w:szCs w:val="18"/>
              </w:rPr>
              <w:t xml:space="preserve">HTTPS REST; authenticated user commands, queries and file-intake operations.</w:t>
            </w:r>
          </w:p>
        </w:tc>
      </w:tr>
      <w:tr>
        <w:tc>
          <w:tcPr>
            <w:tcW w:w="2500" w:type="dxa"/>
            <w:shd w:val="clear" w:fill="F4F7FA"/>
            <w:tcMar>
              <w:top w:w="100" w:type="dxa"/>
              <w:left w:w="120" w:type="dxa"/>
              <w:bottom w:w="100" w:type="dxa"/>
              <w:right w:w="120" w:type="dxa"/>
            </w:tcMar>
          </w:tcPr>
          <w:p>
            <w:pPr>
              <w:spacing w:after="0"/>
            </w:pPr>
            <w:r>
              <w:rPr>
                <w:color w:val="17212B"/>
                <w:sz w:val="18"/>
                <w:szCs w:val="18"/>
              </w:rPr>
              <w:t xml:space="preserve">Batch → Engine</w:t>
            </w:r>
          </w:p>
        </w:tc>
        <w:tc>
          <w:tcPr>
            <w:tcW w:w="6860" w:type="dxa"/>
            <w:shd w:val="clear" w:fill="F4F7FA"/>
            <w:tcMar>
              <w:top w:w="100" w:type="dxa"/>
              <w:left w:w="120" w:type="dxa"/>
              <w:bottom w:w="100" w:type="dxa"/>
              <w:right w:w="120" w:type="dxa"/>
            </w:tcMar>
          </w:tcPr>
          <w:p>
            <w:pPr>
              <w:spacing w:after="0"/>
            </w:pPr>
            <w:r>
              <w:rPr>
                <w:color w:val="17212B"/>
                <w:sz w:val="18"/>
                <w:szCs w:val="18"/>
              </w:rPr>
              <w:t xml:space="preserve">RabbitMQ durable run event; at-least-once delivery with idempotent consumption.</w:t>
            </w:r>
          </w:p>
        </w:tc>
      </w:tr>
      <w:tr>
        <w:tc>
          <w:tcPr>
            <w:tcW w:w="2500" w:type="dxa"/>
            <w:shd w:val="clear" w:fill="FFFFFF"/>
            <w:tcMar>
              <w:top w:w="100" w:type="dxa"/>
              <w:left w:w="120" w:type="dxa"/>
              <w:bottom w:w="100" w:type="dxa"/>
              <w:right w:w="120" w:type="dxa"/>
            </w:tcMar>
          </w:tcPr>
          <w:p>
            <w:pPr>
              <w:spacing w:after="0"/>
            </w:pPr>
            <w:r>
              <w:rPr>
                <w:color w:val="17212B"/>
                <w:sz w:val="18"/>
                <w:szCs w:val="18"/>
              </w:rPr>
              <w:t xml:space="preserve">Services → Oracle</w:t>
            </w:r>
          </w:p>
        </w:tc>
        <w:tc>
          <w:tcPr>
            <w:tcW w:w="6860" w:type="dxa"/>
            <w:shd w:val="clear" w:fill="FFFFFF"/>
            <w:tcMar>
              <w:top w:w="100" w:type="dxa"/>
              <w:left w:w="120" w:type="dxa"/>
              <w:bottom w:w="100" w:type="dxa"/>
              <w:right w:w="120" w:type="dxa"/>
            </w:tcMar>
          </w:tcPr>
          <w:p>
            <w:pPr>
              <w:spacing w:after="0"/>
            </w:pPr>
            <w:r>
              <w:rPr>
                <w:color w:val="17212B"/>
                <w:sz w:val="18"/>
                <w:szCs w:val="18"/>
              </w:rPr>
              <w:t xml:space="preserve">JDBC and stored-package contracts for configuration, business data and run state.</w:t>
            </w:r>
          </w:p>
        </w:tc>
      </w:tr>
      <w:tr>
        <w:tc>
          <w:tcPr>
            <w:tcW w:w="2500" w:type="dxa"/>
            <w:shd w:val="clear" w:fill="F4F7FA"/>
            <w:tcMar>
              <w:top w:w="100" w:type="dxa"/>
              <w:left w:w="120" w:type="dxa"/>
              <w:bottom w:w="100" w:type="dxa"/>
              <w:right w:w="120" w:type="dxa"/>
            </w:tcMar>
          </w:tcPr>
          <w:p>
            <w:pPr>
              <w:spacing w:after="0"/>
            </w:pPr>
            <w:r>
              <w:rPr>
                <w:color w:val="17212B"/>
                <w:sz w:val="18"/>
                <w:szCs w:val="18"/>
              </w:rPr>
              <w:t xml:space="preserve">Services → storage</w:t>
            </w:r>
          </w:p>
        </w:tc>
        <w:tc>
          <w:tcPr>
            <w:tcW w:w="6860" w:type="dxa"/>
            <w:shd w:val="clear" w:fill="F4F7FA"/>
            <w:tcMar>
              <w:top w:w="100" w:type="dxa"/>
              <w:left w:w="120" w:type="dxa"/>
              <w:bottom w:w="100" w:type="dxa"/>
              <w:right w:w="120" w:type="dxa"/>
            </w:tcMar>
          </w:tcPr>
          <w:p>
            <w:pPr>
              <w:spacing w:after="0"/>
            </w:pPr>
            <w:r>
              <w:rPr>
                <w:color w:val="17212B"/>
                <w:sz w:val="18"/>
                <w:szCs w:val="18"/>
              </w:rPr>
              <w:t xml:space="preserve">Document bytes, checksums, metadata, retention and lifecycle controls.</w:t>
            </w:r>
          </w:p>
        </w:tc>
      </w:tr>
      <w:tr>
        <w:tc>
          <w:tcPr>
            <w:tcW w:w="2500" w:type="dxa"/>
            <w:shd w:val="clear" w:fill="FFFFFF"/>
            <w:tcMar>
              <w:top w:w="100" w:type="dxa"/>
              <w:left w:w="120" w:type="dxa"/>
              <w:bottom w:w="100" w:type="dxa"/>
              <w:right w:w="120" w:type="dxa"/>
            </w:tcMar>
          </w:tcPr>
          <w:p>
            <w:pPr>
              <w:spacing w:after="0"/>
            </w:pPr>
            <w:r>
              <w:rPr>
                <w:color w:val="17212B"/>
                <w:sz w:val="18"/>
                <w:szCs w:val="18"/>
              </w:rPr>
              <w:t xml:space="preserve">Engine → QXPS</w:t>
            </w:r>
          </w:p>
        </w:tc>
        <w:tc>
          <w:tcPr>
            <w:tcW w:w="6860" w:type="dxa"/>
            <w:shd w:val="clear" w:fill="FFFFFF"/>
            <w:tcMar>
              <w:top w:w="100" w:type="dxa"/>
              <w:left w:w="120" w:type="dxa"/>
              <w:bottom w:w="100" w:type="dxa"/>
              <w:right w:w="120" w:type="dxa"/>
            </w:tcMar>
          </w:tcPr>
          <w:p>
            <w:pPr>
              <w:spacing w:after="0"/>
            </w:pPr>
            <w:r>
              <w:rPr>
                <w:color w:val="17212B"/>
                <w:sz w:val="18"/>
                <w:szCs w:val="18"/>
              </w:rPr>
              <w:t xml:space="preserve">HTTP document-pool, XML, modify, save and render operations.</w:t>
            </w:r>
          </w:p>
        </w:tc>
      </w:tr>
      <w:tr>
        <w:tc>
          <w:tcPr>
            <w:tcW w:w="2500" w:type="dxa"/>
            <w:shd w:val="clear" w:fill="F4F7FA"/>
            <w:tcMar>
              <w:top w:w="100" w:type="dxa"/>
              <w:left w:w="120" w:type="dxa"/>
              <w:bottom w:w="100" w:type="dxa"/>
              <w:right w:w="120" w:type="dxa"/>
            </w:tcMar>
          </w:tcPr>
          <w:p>
            <w:pPr>
              <w:spacing w:after="0"/>
            </w:pPr>
            <w:r>
              <w:rPr>
                <w:color w:val="17212B"/>
                <w:sz w:val="18"/>
                <w:szCs w:val="18"/>
              </w:rPr>
              <w:t xml:space="preserve">Engine → QXPSM</w:t>
            </w:r>
          </w:p>
        </w:tc>
        <w:tc>
          <w:tcPr>
            <w:tcW w:w="6860" w:type="dxa"/>
            <w:shd w:val="clear" w:fill="F4F7FA"/>
            <w:tcMar>
              <w:top w:w="100" w:type="dxa"/>
              <w:left w:w="120" w:type="dxa"/>
              <w:bottom w:w="100" w:type="dxa"/>
              <w:right w:w="120" w:type="dxa"/>
            </w:tcMar>
          </w:tcPr>
          <w:p>
            <w:pPr>
              <w:spacing w:after="0"/>
            </w:pPr>
            <w:r>
              <w:rPr>
                <w:color w:val="17212B"/>
                <w:sz w:val="18"/>
                <w:szCs w:val="18"/>
              </w:rPr>
              <w:t xml:space="preserve">SOAP DOM retrieval and chained document/value operations.</w:t>
            </w:r>
          </w:p>
        </w:tc>
      </w:tr>
    </w:tbl>
    <w:p>
      <w:pPr>
        <w:pageBreakBefore/>
      </w:pPr>
    </w:p>
    <w:p>
      <w:pPr>
        <w:pStyle w:val="Heading1"/>
        <w:spacing w:before="180" w:after="100" w:line="276" w:lineRule="auto"/>
        <w:keepNext/>
      </w:pPr>
      <w:r>
        <w:rPr/>
        <w:t xml:space="preserve">10. Technology stack</w:t>
      </w:r>
    </w:p>
    <w:tbl>
      <w:tblPr>
        <w:tblW w:w="9360" w:type="dxa"/>
        <w:tblInd w:w="120" w:type="dxa"/>
        <w:tblLayout w:type="fixed"/>
        <w:tblBorders>
          <w:top w:val="single" w:sz="4" w:color="C9D5DF"/>
          <w:left w:val="single" w:sz="4" w:color="C9D5DF"/>
          <w:bottom w:val="single" w:sz="4" w:color="C9D5DF"/>
          <w:right w:val="single" w:sz="4" w:color="C9D5DF"/>
          <w:insideH w:val="single" w:sz="3" w:color="DCE3E9"/>
          <w:insideV w:val="single" w:sz="3" w:color="DCE3E9"/>
        </w:tblBorders>
      </w:tblPr>
      <w:tblGrid>
        <w:gridCol w:w="1700"/>
        <w:gridCol w:w="3560"/>
        <w:gridCol w:w="4100"/>
      </w:tblGrid>
      <w:tr>
        <w:trPr>
          <w:tblHeader/>
        </w:trPr>
        <w:tc>
          <w:tcPr>
            <w:tcW w:w="1700" w:type="dxa"/>
            <w:shd w:val="clear" w:fill="12345B"/>
            <w:tcMar>
              <w:top w:w="100" w:type="dxa"/>
              <w:left w:w="120" w:type="dxa"/>
              <w:bottom w:w="100" w:type="dxa"/>
              <w:right w:w="120" w:type="dxa"/>
            </w:tcMar>
          </w:tcPr>
          <w:p>
            <w:pPr>
              <w:spacing w:after="0"/>
            </w:pPr>
            <w:r>
              <w:rPr>
                <w:b/>
                <w:color w:val="FFFFFF"/>
                <w:sz w:val="18"/>
                <w:szCs w:val="18"/>
              </w:rPr>
              <w:t xml:space="preserve">Layer</w:t>
            </w:r>
          </w:p>
        </w:tc>
        <w:tc>
          <w:tcPr>
            <w:tcW w:w="3560" w:type="dxa"/>
            <w:shd w:val="clear" w:fill="12345B"/>
            <w:tcMar>
              <w:top w:w="100" w:type="dxa"/>
              <w:left w:w="120" w:type="dxa"/>
              <w:bottom w:w="100" w:type="dxa"/>
              <w:right w:w="120" w:type="dxa"/>
            </w:tcMar>
          </w:tcPr>
          <w:p>
            <w:pPr>
              <w:spacing w:after="0"/>
            </w:pPr>
            <w:r>
              <w:rPr>
                <w:b/>
                <w:color w:val="FFFFFF"/>
                <w:sz w:val="18"/>
                <w:szCs w:val="18"/>
              </w:rPr>
              <w:t xml:space="preserve">Technology</w:t>
            </w:r>
          </w:p>
        </w:tc>
        <w:tc>
          <w:tcPr>
            <w:tcW w:w="4100" w:type="dxa"/>
            <w:shd w:val="clear" w:fill="12345B"/>
            <w:tcMar>
              <w:top w:w="100" w:type="dxa"/>
              <w:left w:w="120" w:type="dxa"/>
              <w:bottom w:w="100" w:type="dxa"/>
              <w:right w:w="120" w:type="dxa"/>
            </w:tcMar>
          </w:tcPr>
          <w:p>
            <w:pPr>
              <w:spacing w:after="0"/>
            </w:pPr>
            <w:r>
              <w:rPr>
                <w:b/>
                <w:color w:val="FFFFFF"/>
                <w:sz w:val="18"/>
                <w:szCs w:val="18"/>
              </w:rPr>
              <w:t xml:space="preserve">Purpose</w:t>
            </w:r>
          </w:p>
        </w:tc>
      </w:tr>
      <w:tr>
        <w:tc>
          <w:tcPr>
            <w:tcW w:w="1700" w:type="dxa"/>
            <w:shd w:val="clear" w:fill="FFFFFF"/>
            <w:tcMar>
              <w:top w:w="100" w:type="dxa"/>
              <w:left w:w="120" w:type="dxa"/>
              <w:bottom w:w="100" w:type="dxa"/>
              <w:right w:w="120" w:type="dxa"/>
            </w:tcMar>
          </w:tcPr>
          <w:p>
            <w:pPr>
              <w:spacing w:after="0"/>
            </w:pPr>
            <w:r>
              <w:rPr>
                <w:color w:val="17212B"/>
                <w:sz w:val="18"/>
                <w:szCs w:val="18"/>
              </w:rPr>
              <w:t xml:space="preserve">Frontend</w:t>
            </w:r>
          </w:p>
        </w:tc>
        <w:tc>
          <w:tcPr>
            <w:tcW w:w="3560" w:type="dxa"/>
            <w:shd w:val="clear" w:fill="FFFFFF"/>
            <w:tcMar>
              <w:top w:w="100" w:type="dxa"/>
              <w:left w:w="120" w:type="dxa"/>
              <w:bottom w:w="100" w:type="dxa"/>
              <w:right w:w="120" w:type="dxa"/>
            </w:tcMar>
          </w:tcPr>
          <w:p>
            <w:pPr>
              <w:spacing w:after="0"/>
            </w:pPr>
            <w:r>
              <w:rPr>
                <w:color w:val="17212B"/>
                <w:sz w:val="18"/>
                <w:szCs w:val="18"/>
              </w:rPr>
              <w:t xml:space="preserve">Angular</w:t>
            </w:r>
          </w:p>
        </w:tc>
        <w:tc>
          <w:tcPr>
            <w:tcW w:w="4100" w:type="dxa"/>
            <w:shd w:val="clear" w:fill="FFFFFF"/>
            <w:tcMar>
              <w:top w:w="100" w:type="dxa"/>
              <w:left w:w="120" w:type="dxa"/>
              <w:bottom w:w="100" w:type="dxa"/>
              <w:right w:w="120" w:type="dxa"/>
            </w:tcMar>
          </w:tcPr>
          <w:p>
            <w:pPr>
              <w:spacing w:after="0"/>
            </w:pPr>
            <w:r>
              <w:rPr>
                <w:color w:val="17212B"/>
                <w:sz w:val="18"/>
                <w:szCs w:val="18"/>
              </w:rPr>
              <w:t xml:space="preserve">Web user interface.</w:t>
            </w:r>
          </w:p>
        </w:tc>
      </w:tr>
      <w:tr>
        <w:tc>
          <w:tcPr>
            <w:tcW w:w="1700" w:type="dxa"/>
            <w:shd w:val="clear" w:fill="F4F7FA"/>
            <w:tcMar>
              <w:top w:w="100" w:type="dxa"/>
              <w:left w:w="120" w:type="dxa"/>
              <w:bottom w:w="100" w:type="dxa"/>
              <w:right w:w="120" w:type="dxa"/>
            </w:tcMar>
          </w:tcPr>
          <w:p>
            <w:pPr>
              <w:spacing w:after="0"/>
            </w:pPr>
            <w:r>
              <w:rPr>
                <w:color w:val="17212B"/>
                <w:sz w:val="18"/>
                <w:szCs w:val="18"/>
              </w:rPr>
              <w:t xml:space="preserve">Service runtime</w:t>
            </w:r>
          </w:p>
        </w:tc>
        <w:tc>
          <w:tcPr>
            <w:tcW w:w="3560" w:type="dxa"/>
            <w:shd w:val="clear" w:fill="F4F7FA"/>
            <w:tcMar>
              <w:top w:w="100" w:type="dxa"/>
              <w:left w:w="120" w:type="dxa"/>
              <w:bottom w:w="100" w:type="dxa"/>
              <w:right w:w="120" w:type="dxa"/>
            </w:tcMar>
          </w:tcPr>
          <w:p>
            <w:pPr>
              <w:spacing w:after="0"/>
            </w:pPr>
            <w:r>
              <w:rPr>
                <w:color w:val="17212B"/>
                <w:sz w:val="18"/>
                <w:szCs w:val="18"/>
              </w:rPr>
              <w:t xml:space="preserve">Java; Spring Boot 2.7.18; Maven</w:t>
            </w:r>
          </w:p>
        </w:tc>
        <w:tc>
          <w:tcPr>
            <w:tcW w:w="4100" w:type="dxa"/>
            <w:shd w:val="clear" w:fill="F4F7FA"/>
            <w:tcMar>
              <w:top w:w="100" w:type="dxa"/>
              <w:left w:w="120" w:type="dxa"/>
              <w:bottom w:w="100" w:type="dxa"/>
              <w:right w:w="120" w:type="dxa"/>
            </w:tcMar>
          </w:tcPr>
          <w:p>
            <w:pPr>
              <w:spacing w:after="0"/>
            </w:pPr>
            <w:r>
              <w:rPr>
                <w:color w:val="17212B"/>
                <w:sz w:val="18"/>
                <w:szCs w:val="18"/>
              </w:rPr>
              <w:t xml:space="preserve">Backend, upload, batch and engine service platform.</w:t>
            </w:r>
          </w:p>
        </w:tc>
      </w:tr>
      <w:tr>
        <w:tc>
          <w:tcPr>
            <w:tcW w:w="1700" w:type="dxa"/>
            <w:shd w:val="clear" w:fill="FFFFFF"/>
            <w:tcMar>
              <w:top w:w="100" w:type="dxa"/>
              <w:left w:w="120" w:type="dxa"/>
              <w:bottom w:w="100" w:type="dxa"/>
              <w:right w:w="120" w:type="dxa"/>
            </w:tcMar>
          </w:tcPr>
          <w:p>
            <w:pPr>
              <w:spacing w:after="0"/>
            </w:pPr>
            <w:r>
              <w:rPr>
                <w:color w:val="17212B"/>
                <w:sz w:val="18"/>
                <w:szCs w:val="18"/>
              </w:rPr>
              <w:t xml:space="preserve">API and security</w:t>
            </w:r>
          </w:p>
        </w:tc>
        <w:tc>
          <w:tcPr>
            <w:tcW w:w="3560" w:type="dxa"/>
            <w:shd w:val="clear" w:fill="FFFFFF"/>
            <w:tcMar>
              <w:top w:w="100" w:type="dxa"/>
              <w:left w:w="120" w:type="dxa"/>
              <w:bottom w:w="100" w:type="dxa"/>
              <w:right w:w="120" w:type="dxa"/>
            </w:tcMar>
          </w:tcPr>
          <w:p>
            <w:pPr>
              <w:spacing w:after="0"/>
            </w:pPr>
            <w:r>
              <w:rPr>
                <w:color w:val="17212B"/>
                <w:sz w:val="18"/>
                <w:szCs w:val="18"/>
              </w:rPr>
              <w:t xml:space="preserve">Spring Web/WebFlux, Spring Security, API Bank OpenAPI/security/rate limiter</w:t>
            </w:r>
          </w:p>
        </w:tc>
        <w:tc>
          <w:tcPr>
            <w:tcW w:w="4100" w:type="dxa"/>
            <w:shd w:val="clear" w:fill="FFFFFF"/>
            <w:tcMar>
              <w:top w:w="100" w:type="dxa"/>
              <w:left w:w="120" w:type="dxa"/>
              <w:bottom w:w="100" w:type="dxa"/>
              <w:right w:w="120" w:type="dxa"/>
            </w:tcMar>
          </w:tcPr>
          <w:p>
            <w:pPr>
              <w:spacing w:after="0"/>
            </w:pPr>
            <w:r>
              <w:rPr>
                <w:color w:val="17212B"/>
                <w:sz w:val="18"/>
                <w:szCs w:val="18"/>
              </w:rPr>
              <w:t xml:space="preserve">REST endpoints, API contracts and access control.</w:t>
            </w:r>
          </w:p>
        </w:tc>
      </w:tr>
      <w:tr>
        <w:tc>
          <w:tcPr>
            <w:tcW w:w="1700" w:type="dxa"/>
            <w:shd w:val="clear" w:fill="F4F7FA"/>
            <w:tcMar>
              <w:top w:w="100" w:type="dxa"/>
              <w:left w:w="120" w:type="dxa"/>
              <w:bottom w:w="100" w:type="dxa"/>
              <w:right w:w="120" w:type="dxa"/>
            </w:tcMar>
          </w:tcPr>
          <w:p>
            <w:pPr>
              <w:spacing w:after="0"/>
            </w:pPr>
            <w:r>
              <w:rPr>
                <w:color w:val="17212B"/>
                <w:sz w:val="18"/>
                <w:szCs w:val="18"/>
              </w:rPr>
              <w:t xml:space="preserve">Messaging</w:t>
            </w:r>
          </w:p>
        </w:tc>
        <w:tc>
          <w:tcPr>
            <w:tcW w:w="3560" w:type="dxa"/>
            <w:shd w:val="clear" w:fill="F4F7FA"/>
            <w:tcMar>
              <w:top w:w="100" w:type="dxa"/>
              <w:left w:w="120" w:type="dxa"/>
              <w:bottom w:w="100" w:type="dxa"/>
              <w:right w:w="120" w:type="dxa"/>
            </w:tcMar>
          </w:tcPr>
          <w:p>
            <w:pPr>
              <w:spacing w:after="0"/>
            </w:pPr>
            <w:r>
              <w:rPr>
                <w:color w:val="17212B"/>
                <w:sz w:val="18"/>
                <w:szCs w:val="18"/>
              </w:rPr>
              <w:t xml:space="preserve">Spring AMQP and RabbitMQ</w:t>
            </w:r>
          </w:p>
        </w:tc>
        <w:tc>
          <w:tcPr>
            <w:tcW w:w="4100" w:type="dxa"/>
            <w:shd w:val="clear" w:fill="F4F7FA"/>
            <w:tcMar>
              <w:top w:w="100" w:type="dxa"/>
              <w:left w:w="120" w:type="dxa"/>
              <w:bottom w:w="100" w:type="dxa"/>
              <w:right w:w="120" w:type="dxa"/>
            </w:tcMar>
          </w:tcPr>
          <w:p>
            <w:pPr>
              <w:spacing w:after="0"/>
            </w:pPr>
            <w:r>
              <w:rPr>
                <w:color w:val="17212B"/>
                <w:sz w:val="18"/>
                <w:szCs w:val="18"/>
              </w:rPr>
              <w:t xml:space="preserve">Asynchronous run dispatch.</w:t>
            </w:r>
          </w:p>
        </w:tc>
      </w:tr>
      <w:tr>
        <w:tc>
          <w:tcPr>
            <w:tcW w:w="1700" w:type="dxa"/>
            <w:shd w:val="clear" w:fill="FFFFFF"/>
            <w:tcMar>
              <w:top w:w="100" w:type="dxa"/>
              <w:left w:w="120" w:type="dxa"/>
              <w:bottom w:w="100" w:type="dxa"/>
              <w:right w:w="120" w:type="dxa"/>
            </w:tcMar>
          </w:tcPr>
          <w:p>
            <w:pPr>
              <w:spacing w:after="0"/>
            </w:pPr>
            <w:r>
              <w:rPr>
                <w:color w:val="17212B"/>
                <w:sz w:val="18"/>
                <w:szCs w:val="18"/>
              </w:rPr>
              <w:t xml:space="preserve">Database</w:t>
            </w:r>
          </w:p>
        </w:tc>
        <w:tc>
          <w:tcPr>
            <w:tcW w:w="3560" w:type="dxa"/>
            <w:shd w:val="clear" w:fill="FFFFFF"/>
            <w:tcMar>
              <w:top w:w="100" w:type="dxa"/>
              <w:left w:w="120" w:type="dxa"/>
              <w:bottom w:w="100" w:type="dxa"/>
              <w:right w:w="120" w:type="dxa"/>
            </w:tcMar>
          </w:tcPr>
          <w:p>
            <w:pPr>
              <w:spacing w:after="0"/>
            </w:pPr>
            <w:r>
              <w:rPr>
                <w:color w:val="17212B"/>
                <w:sz w:val="18"/>
                <w:szCs w:val="18"/>
              </w:rPr>
              <w:t xml:space="preserve">Oracle JDBC; stored packages; Spring Data JPA; Liquibase</w:t>
            </w:r>
          </w:p>
        </w:tc>
        <w:tc>
          <w:tcPr>
            <w:tcW w:w="4100" w:type="dxa"/>
            <w:shd w:val="clear" w:fill="FFFFFF"/>
            <w:tcMar>
              <w:top w:w="100" w:type="dxa"/>
              <w:left w:w="120" w:type="dxa"/>
              <w:bottom w:w="100" w:type="dxa"/>
              <w:right w:w="120" w:type="dxa"/>
            </w:tcMar>
          </w:tcPr>
          <w:p>
            <w:pPr>
              <w:spacing w:after="0"/>
            </w:pPr>
            <w:r>
              <w:rPr>
                <w:color w:val="17212B"/>
                <w:sz w:val="18"/>
                <w:szCs w:val="18"/>
              </w:rPr>
              <w:t xml:space="preserve">Run, task, configuration and status persistence.</w:t>
            </w:r>
          </w:p>
        </w:tc>
      </w:tr>
      <w:tr>
        <w:tc>
          <w:tcPr>
            <w:tcW w:w="1700" w:type="dxa"/>
            <w:shd w:val="clear" w:fill="F4F7FA"/>
            <w:tcMar>
              <w:top w:w="100" w:type="dxa"/>
              <w:left w:w="120" w:type="dxa"/>
              <w:bottom w:w="100" w:type="dxa"/>
              <w:right w:w="120" w:type="dxa"/>
            </w:tcMar>
          </w:tcPr>
          <w:p>
            <w:pPr>
              <w:spacing w:after="0"/>
            </w:pPr>
            <w:r>
              <w:rPr>
                <w:color w:val="17212B"/>
                <w:sz w:val="18"/>
                <w:szCs w:val="18"/>
              </w:rPr>
              <w:t xml:space="preserve">Storage/document</w:t>
            </w:r>
          </w:p>
        </w:tc>
        <w:tc>
          <w:tcPr>
            <w:tcW w:w="3560" w:type="dxa"/>
            <w:shd w:val="clear" w:fill="F4F7FA"/>
            <w:tcMar>
              <w:top w:w="100" w:type="dxa"/>
              <w:left w:w="120" w:type="dxa"/>
              <w:bottom w:w="100" w:type="dxa"/>
              <w:right w:w="120" w:type="dxa"/>
            </w:tcMar>
          </w:tcPr>
          <w:p>
            <w:pPr>
              <w:spacing w:after="0"/>
            </w:pPr>
            <w:r>
              <w:rPr>
                <w:color w:val="17212B"/>
                <w:sz w:val="18"/>
                <w:szCs w:val="18"/>
              </w:rPr>
              <w:t xml:space="preserve">AWS Java SDK / S3-compatible capability; Apache PDFBox</w:t>
            </w:r>
          </w:p>
        </w:tc>
        <w:tc>
          <w:tcPr>
            <w:tcW w:w="4100" w:type="dxa"/>
            <w:shd w:val="clear" w:fill="F4F7FA"/>
            <w:tcMar>
              <w:top w:w="100" w:type="dxa"/>
              <w:left w:w="120" w:type="dxa"/>
              <w:bottom w:w="100" w:type="dxa"/>
              <w:right w:w="120" w:type="dxa"/>
            </w:tcMar>
          </w:tcPr>
          <w:p>
            <w:pPr>
              <w:spacing w:after="0"/>
            </w:pPr>
            <w:r>
              <w:rPr>
                <w:color w:val="17212B"/>
                <w:sz w:val="18"/>
                <w:szCs w:val="18"/>
              </w:rPr>
              <w:t xml:space="preserve">Object storage integration and PDF handling.</w:t>
            </w:r>
          </w:p>
        </w:tc>
      </w:tr>
      <w:tr>
        <w:tc>
          <w:tcPr>
            <w:tcW w:w="1700" w:type="dxa"/>
            <w:shd w:val="clear" w:fill="FFFFFF"/>
            <w:tcMar>
              <w:top w:w="100" w:type="dxa"/>
              <w:left w:w="120" w:type="dxa"/>
              <w:bottom w:w="100" w:type="dxa"/>
              <w:right w:w="120" w:type="dxa"/>
            </w:tcMar>
          </w:tcPr>
          <w:p>
            <w:pPr>
              <w:spacing w:after="0"/>
            </w:pPr>
            <w:r>
              <w:rPr>
                <w:color w:val="17212B"/>
                <w:sz w:val="18"/>
                <w:szCs w:val="18"/>
              </w:rPr>
              <w:t xml:space="preserve">Quark integration</w:t>
            </w:r>
          </w:p>
        </w:tc>
        <w:tc>
          <w:tcPr>
            <w:tcW w:w="3560" w:type="dxa"/>
            <w:shd w:val="clear" w:fill="FFFFFF"/>
            <w:tcMar>
              <w:top w:w="100" w:type="dxa"/>
              <w:left w:w="120" w:type="dxa"/>
              <w:bottom w:w="100" w:type="dxa"/>
              <w:right w:w="120" w:type="dxa"/>
            </w:tcMar>
          </w:tcPr>
          <w:p>
            <w:pPr>
              <w:spacing w:after="0"/>
            </w:pPr>
            <w:r>
              <w:rPr>
                <w:color w:val="17212B"/>
                <w:sz w:val="18"/>
                <w:szCs w:val="18"/>
              </w:rPr>
              <w:t xml:space="preserve">HTTP client, Spring-WS/JAXB, Apache Axis/JAX-RPC</w:t>
            </w:r>
          </w:p>
        </w:tc>
        <w:tc>
          <w:tcPr>
            <w:tcW w:w="4100" w:type="dxa"/>
            <w:shd w:val="clear" w:fill="FFFFFF"/>
            <w:tcMar>
              <w:top w:w="100" w:type="dxa"/>
              <w:left w:w="120" w:type="dxa"/>
              <w:bottom w:w="100" w:type="dxa"/>
              <w:right w:w="120" w:type="dxa"/>
            </w:tcMar>
          </w:tcPr>
          <w:p>
            <w:pPr>
              <w:spacing w:after="0"/>
            </w:pPr>
            <w:r>
              <w:rPr>
                <w:color w:val="17212B"/>
                <w:sz w:val="18"/>
                <w:szCs w:val="18"/>
              </w:rPr>
              <w:t xml:space="preserve">QXPS HTTP and QXPSM SOAP.</w:t>
            </w:r>
          </w:p>
        </w:tc>
      </w:tr>
      <w:tr>
        <w:tc>
          <w:tcPr>
            <w:tcW w:w="1700" w:type="dxa"/>
            <w:shd w:val="clear" w:fill="F4F7FA"/>
            <w:tcMar>
              <w:top w:w="100" w:type="dxa"/>
              <w:left w:w="120" w:type="dxa"/>
              <w:bottom w:w="100" w:type="dxa"/>
              <w:right w:w="120" w:type="dxa"/>
            </w:tcMar>
          </w:tcPr>
          <w:p>
            <w:pPr>
              <w:spacing w:after="0"/>
            </w:pPr>
            <w:r>
              <w:rPr>
                <w:color w:val="17212B"/>
                <w:sz w:val="18"/>
                <w:szCs w:val="18"/>
              </w:rPr>
              <w:t xml:space="preserve">Mapping/utilities</w:t>
            </w:r>
          </w:p>
        </w:tc>
        <w:tc>
          <w:tcPr>
            <w:tcW w:w="3560" w:type="dxa"/>
            <w:shd w:val="clear" w:fill="F4F7FA"/>
            <w:tcMar>
              <w:top w:w="100" w:type="dxa"/>
              <w:left w:w="120" w:type="dxa"/>
              <w:bottom w:w="100" w:type="dxa"/>
              <w:right w:w="120" w:type="dxa"/>
            </w:tcMar>
          </w:tcPr>
          <w:p>
            <w:pPr>
              <w:spacing w:after="0"/>
            </w:pPr>
            <w:r>
              <w:rPr>
                <w:color w:val="17212B"/>
                <w:sz w:val="18"/>
                <w:szCs w:val="18"/>
              </w:rPr>
              <w:t xml:space="preserve">MapStruct, Lombok, Commons IO/Collections</w:t>
            </w:r>
          </w:p>
        </w:tc>
        <w:tc>
          <w:tcPr>
            <w:tcW w:w="4100" w:type="dxa"/>
            <w:shd w:val="clear" w:fill="F4F7FA"/>
            <w:tcMar>
              <w:top w:w="100" w:type="dxa"/>
              <w:left w:w="120" w:type="dxa"/>
              <w:bottom w:w="100" w:type="dxa"/>
              <w:right w:w="120" w:type="dxa"/>
            </w:tcMar>
          </w:tcPr>
          <w:p>
            <w:pPr>
              <w:spacing w:after="0"/>
            </w:pPr>
            <w:r>
              <w:rPr>
                <w:color w:val="17212B"/>
                <w:sz w:val="18"/>
                <w:szCs w:val="18"/>
              </w:rPr>
              <w:t xml:space="preserve">DTO mapping and common utilities.</w:t>
            </w:r>
          </w:p>
        </w:tc>
      </w:tr>
      <w:tr>
        <w:tc>
          <w:tcPr>
            <w:tcW w:w="1700" w:type="dxa"/>
            <w:shd w:val="clear" w:fill="FFFFFF"/>
            <w:tcMar>
              <w:top w:w="100" w:type="dxa"/>
              <w:left w:w="120" w:type="dxa"/>
              <w:bottom w:w="100" w:type="dxa"/>
              <w:right w:w="120" w:type="dxa"/>
            </w:tcMar>
          </w:tcPr>
          <w:p>
            <w:pPr>
              <w:spacing w:after="0"/>
            </w:pPr>
            <w:r>
              <w:rPr>
                <w:color w:val="17212B"/>
                <w:sz w:val="18"/>
                <w:szCs w:val="18"/>
              </w:rPr>
              <w:t xml:space="preserve">Testing</w:t>
            </w:r>
          </w:p>
        </w:tc>
        <w:tc>
          <w:tcPr>
            <w:tcW w:w="3560" w:type="dxa"/>
            <w:shd w:val="clear" w:fill="FFFFFF"/>
            <w:tcMar>
              <w:top w:w="100" w:type="dxa"/>
              <w:left w:w="120" w:type="dxa"/>
              <w:bottom w:w="100" w:type="dxa"/>
              <w:right w:w="120" w:type="dxa"/>
            </w:tcMar>
          </w:tcPr>
          <w:p>
            <w:pPr>
              <w:spacing w:after="0"/>
            </w:pPr>
            <w:r>
              <w:rPr>
                <w:color w:val="17212B"/>
                <w:sz w:val="18"/>
                <w:szCs w:val="18"/>
              </w:rPr>
              <w:t xml:space="preserve">Spring Boot Test, Security Test, JUnit, ArchUnit, Gatling tooling</w:t>
            </w:r>
          </w:p>
        </w:tc>
        <w:tc>
          <w:tcPr>
            <w:tcW w:w="4100" w:type="dxa"/>
            <w:shd w:val="clear" w:fill="FFFFFF"/>
            <w:tcMar>
              <w:top w:w="100" w:type="dxa"/>
              <w:left w:w="120" w:type="dxa"/>
              <w:bottom w:w="100" w:type="dxa"/>
              <w:right w:w="120" w:type="dxa"/>
            </w:tcMar>
          </w:tcPr>
          <w:p>
            <w:pPr>
              <w:spacing w:after="0"/>
            </w:pPr>
            <w:r>
              <w:rPr>
                <w:color w:val="17212B"/>
                <w:sz w:val="18"/>
                <w:szCs w:val="18"/>
              </w:rPr>
              <w:t xml:space="preserve">Functional, architectural, security and performance validation.</w:t>
            </w:r>
          </w:p>
        </w:tc>
      </w:tr>
      <w:tr>
        <w:tc>
          <w:tcPr>
            <w:tcW w:w="1700" w:type="dxa"/>
            <w:shd w:val="clear" w:fill="F4F7FA"/>
            <w:tcMar>
              <w:top w:w="100" w:type="dxa"/>
              <w:left w:w="120" w:type="dxa"/>
              <w:bottom w:w="100" w:type="dxa"/>
              <w:right w:w="120" w:type="dxa"/>
            </w:tcMar>
          </w:tcPr>
          <w:p>
            <w:pPr>
              <w:spacing w:after="0"/>
            </w:pPr>
            <w:r>
              <w:rPr>
                <w:color w:val="17212B"/>
                <w:sz w:val="18"/>
                <w:szCs w:val="18"/>
              </w:rPr>
              <w:t xml:space="preserve">Delivery</w:t>
            </w:r>
          </w:p>
        </w:tc>
        <w:tc>
          <w:tcPr>
            <w:tcW w:w="3560" w:type="dxa"/>
            <w:shd w:val="clear" w:fill="F4F7FA"/>
            <w:tcMar>
              <w:top w:w="100" w:type="dxa"/>
              <w:left w:w="120" w:type="dxa"/>
              <w:bottom w:w="100" w:type="dxa"/>
              <w:right w:w="120" w:type="dxa"/>
            </w:tcMar>
          </w:tcPr>
          <w:p>
            <w:pPr>
              <w:spacing w:after="0"/>
            </w:pPr>
            <w:r>
              <w:rPr>
                <w:color w:val="17212B"/>
                <w:sz w:val="18"/>
                <w:szCs w:val="18"/>
              </w:rPr>
              <w:t xml:space="preserve">Jenkins pipeline; container runtime</w:t>
            </w:r>
          </w:p>
        </w:tc>
        <w:tc>
          <w:tcPr>
            <w:tcW w:w="4100" w:type="dxa"/>
            <w:shd w:val="clear" w:fill="F4F7FA"/>
            <w:tcMar>
              <w:top w:w="100" w:type="dxa"/>
              <w:left w:w="120" w:type="dxa"/>
              <w:bottom w:w="100" w:type="dxa"/>
              <w:right w:w="120" w:type="dxa"/>
            </w:tcMar>
          </w:tcPr>
          <w:p>
            <w:pPr>
              <w:spacing w:after="0"/>
            </w:pPr>
            <w:r>
              <w:rPr>
                <w:color w:val="17212B"/>
                <w:sz w:val="18"/>
                <w:szCs w:val="18"/>
              </w:rPr>
              <w:t xml:space="preserve">Automated build, test and deployment.</w:t>
            </w:r>
          </w:p>
        </w:tc>
      </w:tr>
    </w:tbl>
    <w:p>
      <w:pPr>
        <w:pageBreakBefore/>
      </w:pPr>
    </w:p>
    <w:p>
      <w:pPr>
        <w:pStyle w:val="Heading1"/>
        <w:spacing w:before="180" w:after="100" w:line="276" w:lineRule="auto"/>
        <w:keepNext/>
      </w:pPr>
      <w:r>
        <w:rPr/>
        <w:t xml:space="preserve">11. Security architecture</w:t>
      </w:r>
    </w:p>
    <w:tbl>
      <w:tblPr>
        <w:tblW w:w="9360" w:type="dxa"/>
        <w:tblInd w:w="120" w:type="dxa"/>
        <w:tblLayout w:type="fixed"/>
        <w:tblBorders>
          <w:top w:val="single" w:sz="4" w:color="C9D5DF"/>
          <w:left w:val="single" w:sz="4" w:color="C9D5DF"/>
          <w:bottom w:val="single" w:sz="4" w:color="C9D5DF"/>
          <w:right w:val="single" w:sz="4" w:color="C9D5DF"/>
          <w:insideH w:val="single" w:sz="3" w:color="DCE3E9"/>
          <w:insideV w:val="single" w:sz="3" w:color="DCE3E9"/>
        </w:tblBorders>
      </w:tblPr>
      <w:tblGrid>
        <w:gridCol w:w="2200"/>
        <w:gridCol w:w="7160"/>
      </w:tblGrid>
      <w:tr>
        <w:trPr>
          <w:tblHeader/>
        </w:trPr>
        <w:tc>
          <w:tcPr>
            <w:tcW w:w="2200" w:type="dxa"/>
            <w:shd w:val="clear" w:fill="12345B"/>
            <w:tcMar>
              <w:top w:w="100" w:type="dxa"/>
              <w:left w:w="120" w:type="dxa"/>
              <w:bottom w:w="100" w:type="dxa"/>
              <w:right w:w="120" w:type="dxa"/>
            </w:tcMar>
          </w:tcPr>
          <w:p>
            <w:pPr>
              <w:spacing w:after="0"/>
            </w:pPr>
            <w:r>
              <w:rPr>
                <w:b/>
                <w:color w:val="FFFFFF"/>
                <w:sz w:val="18"/>
                <w:szCs w:val="18"/>
              </w:rPr>
              <w:t xml:space="preserve">Control</w:t>
            </w:r>
          </w:p>
        </w:tc>
        <w:tc>
          <w:tcPr>
            <w:tcW w:w="7160" w:type="dxa"/>
            <w:shd w:val="clear" w:fill="12345B"/>
            <w:tcMar>
              <w:top w:w="100" w:type="dxa"/>
              <w:left w:w="120" w:type="dxa"/>
              <w:bottom w:w="100" w:type="dxa"/>
              <w:right w:w="120" w:type="dxa"/>
            </w:tcMar>
          </w:tcPr>
          <w:p>
            <w:pPr>
              <w:spacing w:after="0"/>
            </w:pPr>
            <w:r>
              <w:rPr>
                <w:b/>
                <w:color w:val="FFFFFF"/>
                <w:sz w:val="18"/>
                <w:szCs w:val="18"/>
              </w:rPr>
              <w:t xml:space="preserve">Architecture requirement</w:t>
            </w:r>
          </w:p>
        </w:tc>
      </w:tr>
      <w:tr>
        <w:tc>
          <w:tcPr>
            <w:tcW w:w="2200" w:type="dxa"/>
            <w:shd w:val="clear" w:fill="FFFFFF"/>
            <w:tcMar>
              <w:top w:w="100" w:type="dxa"/>
              <w:left w:w="120" w:type="dxa"/>
              <w:bottom w:w="100" w:type="dxa"/>
              <w:right w:w="120" w:type="dxa"/>
            </w:tcMar>
          </w:tcPr>
          <w:p>
            <w:pPr>
              <w:spacing w:after="0"/>
            </w:pPr>
            <w:r>
              <w:rPr>
                <w:color w:val="17212B"/>
                <w:sz w:val="18"/>
                <w:szCs w:val="18"/>
              </w:rPr>
              <w:t xml:space="preserve">Authentication</w:t>
            </w:r>
          </w:p>
        </w:tc>
        <w:tc>
          <w:tcPr>
            <w:tcW w:w="7160" w:type="dxa"/>
            <w:shd w:val="clear" w:fill="FFFFFF"/>
            <w:tcMar>
              <w:top w:w="100" w:type="dxa"/>
              <w:left w:w="120" w:type="dxa"/>
              <w:bottom w:w="100" w:type="dxa"/>
              <w:right w:w="120" w:type="dxa"/>
            </w:tcMar>
          </w:tcPr>
          <w:p>
            <w:pPr>
              <w:spacing w:after="0"/>
            </w:pPr>
            <w:r>
              <w:rPr>
                <w:color w:val="17212B"/>
                <w:sz w:val="18"/>
                <w:szCs w:val="18"/>
              </w:rPr>
              <w:t xml:space="preserve">Enterprise OIDC/OAuth2; validated by Backend API and Upload Service.</w:t>
            </w:r>
          </w:p>
        </w:tc>
      </w:tr>
      <w:tr>
        <w:tc>
          <w:tcPr>
            <w:tcW w:w="2200" w:type="dxa"/>
            <w:shd w:val="clear" w:fill="F4F7FA"/>
            <w:tcMar>
              <w:top w:w="100" w:type="dxa"/>
              <w:left w:w="120" w:type="dxa"/>
              <w:bottom w:w="100" w:type="dxa"/>
              <w:right w:w="120" w:type="dxa"/>
            </w:tcMar>
          </w:tcPr>
          <w:p>
            <w:pPr>
              <w:spacing w:after="0"/>
            </w:pPr>
            <w:r>
              <w:rPr>
                <w:color w:val="17212B"/>
                <w:sz w:val="18"/>
                <w:szCs w:val="18"/>
              </w:rPr>
              <w:t xml:space="preserve">Authorization</w:t>
            </w:r>
          </w:p>
        </w:tc>
        <w:tc>
          <w:tcPr>
            <w:tcW w:w="7160" w:type="dxa"/>
            <w:shd w:val="clear" w:fill="F4F7FA"/>
            <w:tcMar>
              <w:top w:w="100" w:type="dxa"/>
              <w:left w:w="120" w:type="dxa"/>
              <w:bottom w:w="100" w:type="dxa"/>
              <w:right w:w="120" w:type="dxa"/>
            </w:tcMar>
          </w:tcPr>
          <w:p>
            <w:pPr>
              <w:spacing w:after="0"/>
            </w:pPr>
            <w:r>
              <w:rPr>
                <w:color w:val="17212B"/>
                <w:sz w:val="18"/>
                <w:szCs w:val="18"/>
              </w:rPr>
              <w:t xml:space="preserve">Role and business-entitlement enforcement on every command and output retrieval.</w:t>
            </w:r>
          </w:p>
        </w:tc>
      </w:tr>
      <w:tr>
        <w:tc>
          <w:tcPr>
            <w:tcW w:w="2200" w:type="dxa"/>
            <w:shd w:val="clear" w:fill="FFFFFF"/>
            <w:tcMar>
              <w:top w:w="100" w:type="dxa"/>
              <w:left w:w="120" w:type="dxa"/>
              <w:bottom w:w="100" w:type="dxa"/>
              <w:right w:w="120" w:type="dxa"/>
            </w:tcMar>
          </w:tcPr>
          <w:p>
            <w:pPr>
              <w:spacing w:after="0"/>
            </w:pPr>
            <w:r>
              <w:rPr>
                <w:color w:val="17212B"/>
                <w:sz w:val="18"/>
                <w:szCs w:val="18"/>
              </w:rPr>
              <w:t xml:space="preserve">Service identity</w:t>
            </w:r>
          </w:p>
        </w:tc>
        <w:tc>
          <w:tcPr>
            <w:tcW w:w="7160" w:type="dxa"/>
            <w:shd w:val="clear" w:fill="FFFFFF"/>
            <w:tcMar>
              <w:top w:w="100" w:type="dxa"/>
              <w:left w:w="120" w:type="dxa"/>
              <w:bottom w:w="100" w:type="dxa"/>
              <w:right w:w="120" w:type="dxa"/>
            </w:tcMar>
          </w:tcPr>
          <w:p>
            <w:pPr>
              <w:spacing w:after="0"/>
            </w:pPr>
            <w:r>
              <w:rPr>
                <w:color w:val="17212B"/>
                <w:sz w:val="18"/>
                <w:szCs w:val="18"/>
              </w:rPr>
              <w:t xml:space="preserve">Distinct workload identities for Oracle, RabbitMQ, storage and Quark integrations.</w:t>
            </w:r>
          </w:p>
        </w:tc>
      </w:tr>
      <w:tr>
        <w:tc>
          <w:tcPr>
            <w:tcW w:w="2200" w:type="dxa"/>
            <w:shd w:val="clear" w:fill="F4F7FA"/>
            <w:tcMar>
              <w:top w:w="100" w:type="dxa"/>
              <w:left w:w="120" w:type="dxa"/>
              <w:bottom w:w="100" w:type="dxa"/>
              <w:right w:w="120" w:type="dxa"/>
            </w:tcMar>
          </w:tcPr>
          <w:p>
            <w:pPr>
              <w:spacing w:after="0"/>
            </w:pPr>
            <w:r>
              <w:rPr>
                <w:color w:val="17212B"/>
                <w:sz w:val="18"/>
                <w:szCs w:val="18"/>
              </w:rPr>
              <w:t xml:space="preserve">Secrets</w:t>
            </w:r>
          </w:p>
        </w:tc>
        <w:tc>
          <w:tcPr>
            <w:tcW w:w="7160" w:type="dxa"/>
            <w:shd w:val="clear" w:fill="F4F7FA"/>
            <w:tcMar>
              <w:top w:w="100" w:type="dxa"/>
              <w:left w:w="120" w:type="dxa"/>
              <w:bottom w:w="100" w:type="dxa"/>
              <w:right w:w="120" w:type="dxa"/>
            </w:tcMar>
          </w:tcPr>
          <w:p>
            <w:pPr>
              <w:spacing w:after="0"/>
            </w:pPr>
            <w:r>
              <w:rPr>
                <w:color w:val="17212B"/>
                <w:sz w:val="18"/>
                <w:szCs w:val="18"/>
              </w:rPr>
              <w:t xml:space="preserve">External secret manager with rotation; no credentials in source or logs.</w:t>
            </w:r>
          </w:p>
        </w:tc>
      </w:tr>
      <w:tr>
        <w:tc>
          <w:tcPr>
            <w:tcW w:w="2200" w:type="dxa"/>
            <w:shd w:val="clear" w:fill="FFFFFF"/>
            <w:tcMar>
              <w:top w:w="100" w:type="dxa"/>
              <w:left w:w="120" w:type="dxa"/>
              <w:bottom w:w="100" w:type="dxa"/>
              <w:right w:w="120" w:type="dxa"/>
            </w:tcMar>
          </w:tcPr>
          <w:p>
            <w:pPr>
              <w:spacing w:after="0"/>
            </w:pPr>
            <w:r>
              <w:rPr>
                <w:color w:val="17212B"/>
                <w:sz w:val="18"/>
                <w:szCs w:val="18"/>
              </w:rPr>
              <w:t xml:space="preserve">Transport</w:t>
            </w:r>
          </w:p>
        </w:tc>
        <w:tc>
          <w:tcPr>
            <w:tcW w:w="7160" w:type="dxa"/>
            <w:shd w:val="clear" w:fill="FFFFFF"/>
            <w:tcMar>
              <w:top w:w="100" w:type="dxa"/>
              <w:left w:w="120" w:type="dxa"/>
              <w:bottom w:w="100" w:type="dxa"/>
              <w:right w:w="120" w:type="dxa"/>
            </w:tcMar>
          </w:tcPr>
          <w:p>
            <w:pPr>
              <w:spacing w:after="0"/>
            </w:pPr>
            <w:r>
              <w:rPr>
                <w:color w:val="17212B"/>
                <w:sz w:val="18"/>
                <w:szCs w:val="18"/>
              </w:rPr>
              <w:t xml:space="preserve">TLS for browser/API, messaging, database, storage and supported Quark endpoints.</w:t>
            </w:r>
          </w:p>
        </w:tc>
      </w:tr>
      <w:tr>
        <w:tc>
          <w:tcPr>
            <w:tcW w:w="2200" w:type="dxa"/>
            <w:shd w:val="clear" w:fill="F4F7FA"/>
            <w:tcMar>
              <w:top w:w="100" w:type="dxa"/>
              <w:left w:w="120" w:type="dxa"/>
              <w:bottom w:w="100" w:type="dxa"/>
              <w:right w:w="120" w:type="dxa"/>
            </w:tcMar>
          </w:tcPr>
          <w:p>
            <w:pPr>
              <w:spacing w:after="0"/>
            </w:pPr>
            <w:r>
              <w:rPr>
                <w:color w:val="17212B"/>
                <w:sz w:val="18"/>
                <w:szCs w:val="18"/>
              </w:rPr>
              <w:t xml:space="preserve">Upload security</w:t>
            </w:r>
          </w:p>
        </w:tc>
        <w:tc>
          <w:tcPr>
            <w:tcW w:w="7160" w:type="dxa"/>
            <w:shd w:val="clear" w:fill="F4F7FA"/>
            <w:tcMar>
              <w:top w:w="100" w:type="dxa"/>
              <w:left w:w="120" w:type="dxa"/>
              <w:bottom w:w="100" w:type="dxa"/>
              <w:right w:w="120" w:type="dxa"/>
            </w:tcMar>
          </w:tcPr>
          <w:p>
            <w:pPr>
              <w:spacing w:after="0"/>
            </w:pPr>
            <w:r>
              <w:rPr>
                <w:color w:val="17212B"/>
                <w:sz w:val="18"/>
                <w:szCs w:val="18"/>
              </w:rPr>
              <w:t xml:space="preserve">Allow-list, signature validation, quarantine, malware-scan hook, checksum and size limits.</w:t>
            </w:r>
          </w:p>
        </w:tc>
      </w:tr>
      <w:tr>
        <w:tc>
          <w:tcPr>
            <w:tcW w:w="2200" w:type="dxa"/>
            <w:shd w:val="clear" w:fill="FFFFFF"/>
            <w:tcMar>
              <w:top w:w="100" w:type="dxa"/>
              <w:left w:w="120" w:type="dxa"/>
              <w:bottom w:w="100" w:type="dxa"/>
              <w:right w:w="120" w:type="dxa"/>
            </w:tcMar>
          </w:tcPr>
          <w:p>
            <w:pPr>
              <w:spacing w:after="0"/>
            </w:pPr>
            <w:r>
              <w:rPr>
                <w:color w:val="17212B"/>
                <w:sz w:val="18"/>
                <w:szCs w:val="18"/>
              </w:rPr>
              <w:t xml:space="preserve">Data protection</w:t>
            </w:r>
          </w:p>
        </w:tc>
        <w:tc>
          <w:tcPr>
            <w:tcW w:w="7160" w:type="dxa"/>
            <w:shd w:val="clear" w:fill="FFFFFF"/>
            <w:tcMar>
              <w:top w:w="100" w:type="dxa"/>
              <w:left w:w="120" w:type="dxa"/>
              <w:bottom w:w="100" w:type="dxa"/>
              <w:right w:w="120" w:type="dxa"/>
            </w:tcMar>
          </w:tcPr>
          <w:p>
            <w:pPr>
              <w:spacing w:after="0"/>
            </w:pPr>
            <w:r>
              <w:rPr>
                <w:color w:val="17212B"/>
                <w:sz w:val="18"/>
                <w:szCs w:val="18"/>
              </w:rPr>
              <w:t xml:space="preserve">Encryption at rest, retention/deletion policy and non-production masking.</w:t>
            </w:r>
          </w:p>
        </w:tc>
      </w:tr>
      <w:tr>
        <w:tc>
          <w:tcPr>
            <w:tcW w:w="2200" w:type="dxa"/>
            <w:shd w:val="clear" w:fill="F4F7FA"/>
            <w:tcMar>
              <w:top w:w="100" w:type="dxa"/>
              <w:left w:w="120" w:type="dxa"/>
              <w:bottom w:w="100" w:type="dxa"/>
              <w:right w:w="120" w:type="dxa"/>
            </w:tcMar>
          </w:tcPr>
          <w:p>
            <w:pPr>
              <w:spacing w:after="0"/>
            </w:pPr>
            <w:r>
              <w:rPr>
                <w:color w:val="17212B"/>
                <w:sz w:val="18"/>
                <w:szCs w:val="18"/>
              </w:rPr>
              <w:t xml:space="preserve">Audit</w:t>
            </w:r>
          </w:p>
        </w:tc>
        <w:tc>
          <w:tcPr>
            <w:tcW w:w="7160" w:type="dxa"/>
            <w:shd w:val="clear" w:fill="F4F7FA"/>
            <w:tcMar>
              <w:top w:w="100" w:type="dxa"/>
              <w:left w:w="120" w:type="dxa"/>
              <w:bottom w:w="100" w:type="dxa"/>
              <w:right w:w="120" w:type="dxa"/>
            </w:tcMar>
          </w:tcPr>
          <w:p>
            <w:pPr>
              <w:spacing w:after="0"/>
            </w:pPr>
            <w:r>
              <w:rPr>
                <w:color w:val="17212B"/>
                <w:sz w:val="18"/>
                <w:szCs w:val="18"/>
              </w:rPr>
              <w:t xml:space="preserve">User/service identity, run state, correlation ID, document checksum and output disposition.</w:t>
            </w:r>
          </w:p>
        </w:tc>
      </w:tr>
      <w:tr>
        <w:tc>
          <w:tcPr>
            <w:tcW w:w="2200" w:type="dxa"/>
            <w:shd w:val="clear" w:fill="FFFFFF"/>
            <w:tcMar>
              <w:top w:w="100" w:type="dxa"/>
              <w:left w:w="120" w:type="dxa"/>
              <w:bottom w:w="100" w:type="dxa"/>
              <w:right w:w="120" w:type="dxa"/>
            </w:tcMar>
          </w:tcPr>
          <w:p>
            <w:pPr>
              <w:spacing w:after="0"/>
            </w:pPr>
            <w:r>
              <w:rPr>
                <w:color w:val="17212B"/>
                <w:sz w:val="18"/>
                <w:szCs w:val="18"/>
              </w:rPr>
              <w:t xml:space="preserve">Logging</w:t>
            </w:r>
          </w:p>
        </w:tc>
        <w:tc>
          <w:tcPr>
            <w:tcW w:w="7160" w:type="dxa"/>
            <w:shd w:val="clear" w:fill="FFFFFF"/>
            <w:tcMar>
              <w:top w:w="100" w:type="dxa"/>
              <w:left w:w="120" w:type="dxa"/>
              <w:bottom w:w="100" w:type="dxa"/>
              <w:right w:w="120" w:type="dxa"/>
            </w:tcMar>
          </w:tcPr>
          <w:p>
            <w:pPr>
              <w:spacing w:after="0"/>
            </w:pPr>
            <w:r>
              <w:rPr>
                <w:color w:val="17212B"/>
                <w:sz w:val="18"/>
                <w:szCs w:val="18"/>
              </w:rPr>
              <w:t xml:space="preserve">Structured redaction; no document content, tokens, credentials or sensitive bind values.</w:t>
            </w:r>
          </w:p>
        </w:tc>
      </w:tr>
    </w:tbl>
    <w:p>
      <w:pPr>
        <w:pStyle w:val="Heading2"/>
        <w:spacing w:before="180" w:after="100" w:line="276" w:lineRule="auto"/>
        <w:keepNext/>
      </w:pPr>
      <w:r>
        <w:rPr/>
        <w:t xml:space="preserve">Trust boundaries</w:t>
      </w:r>
    </w:p>
    <w:p>
      <w:pPr>
        <w:spacing w:before="0" w:after="100" w:line="276" w:lineRule="auto"/>
      </w:pPr>
      <w:r>
        <w:rPr/>
        <w:t xml:space="preserve">The browser is an untrusted presentation tier. API authorization is authoritative. Application services use separate identities and least-privilege permissions. Quark, Oracle, RabbitMQ and storage are integration-zone dependencies reachable only over approved network paths.</w:t>
      </w:r>
    </w:p>
    <w:p>
      <w:pPr>
        <w:pageBreakBefore/>
      </w:pPr>
    </w:p>
    <w:p>
      <w:pPr>
        <w:pStyle w:val="Heading1"/>
        <w:spacing w:before="180" w:after="100" w:line="276" w:lineRule="auto"/>
        <w:keepNext/>
      </w:pPr>
      <w:r>
        <w:rPr/>
        <w:t xml:space="preserve">12. Reliability and operations</w:t>
      </w:r>
    </w:p>
    <w:p>
      <w:pPr>
        <w:pStyle w:val="Heading2"/>
        <w:spacing w:before="180" w:after="100" w:line="276" w:lineRule="auto"/>
        <w:keepNext/>
      </w:pPr>
      <w:r>
        <w:rPr/>
        <w:t xml:space="preserve">Reliability controls</w:t>
      </w:r>
    </w:p>
    <w:p>
      <w:pPr>
        <w:pStyle w:val="ListBullet"/>
        <w:spacing w:before="0" w:after="55" w:line="276" w:lineRule="auto"/>
      </w:pPr>
      <w:r>
        <w:rPr/>
        <w:t xml:space="preserve">Idempotent event consumption by run ID and event ID.</w:t>
      </w:r>
    </w:p>
    <w:p>
      <w:pPr>
        <w:pStyle w:val="ListBullet"/>
        <w:spacing w:before="0" w:after="55" w:line="276" w:lineRule="auto"/>
      </w:pPr>
      <w:r>
        <w:rPr/>
        <w:t xml:space="preserve">Atomic run claim/lock to prevent concurrent execution of the same run.</w:t>
      </w:r>
    </w:p>
    <w:p>
      <w:pPr>
        <w:pStyle w:val="ListBullet"/>
        <w:spacing w:before="0" w:after="55" w:line="276" w:lineRule="auto"/>
      </w:pPr>
      <w:r>
        <w:rPr/>
        <w:t xml:space="preserve">Bounded retries with jitter for retryable dependency failures.</w:t>
      </w:r>
    </w:p>
    <w:p>
      <w:pPr>
        <w:pStyle w:val="ListBullet"/>
        <w:spacing w:before="0" w:after="55" w:line="276" w:lineRule="auto"/>
      </w:pPr>
      <w:r>
        <w:rPr/>
        <w:t xml:space="preserve">Dead-letter queue for terminal or exhausted messages, with controlled replay.</w:t>
      </w:r>
    </w:p>
    <w:p>
      <w:pPr>
        <w:pStyle w:val="ListBullet"/>
        <w:spacing w:before="0" w:after="55" w:line="276" w:lineRule="auto"/>
      </w:pPr>
      <w:r>
        <w:rPr/>
        <w:t xml:space="preserve">Manual acknowledgement only after a durable run-state transition.</w:t>
      </w:r>
    </w:p>
    <w:p>
      <w:pPr>
        <w:pStyle w:val="ListBullet"/>
        <w:spacing w:before="0" w:after="55" w:line="276" w:lineRule="auto"/>
      </w:pPr>
      <w:r>
        <w:rPr/>
        <w:t xml:space="preserve">Engine concurrency limited by memory, document size and QXPS capacity.</w:t>
      </w:r>
    </w:p>
    <w:p>
      <w:pPr>
        <w:pStyle w:val="ListBullet"/>
        <w:spacing w:before="0" w:after="55" w:line="276" w:lineRule="auto"/>
      </w:pPr>
      <w:r>
        <w:rPr/>
        <w:t xml:space="preserve">Scheduler leader lock prevents duplicate planned-run publication.</w:t>
      </w:r>
    </w:p>
    <w:p>
      <w:pPr>
        <w:pStyle w:val="Heading2"/>
        <w:spacing w:before="180" w:after="100" w:line="276" w:lineRule="auto"/>
        <w:keepNext/>
      </w:pPr>
      <w:r>
        <w:rPr/>
        <w:t xml:space="preserve">Observability</w:t>
      </w:r>
    </w:p>
    <w:tbl>
      <w:tblPr>
        <w:tblW w:w="9360" w:type="dxa"/>
        <w:tblInd w:w="120" w:type="dxa"/>
        <w:tblLayout w:type="fixed"/>
        <w:tblBorders>
          <w:top w:val="single" w:sz="4" w:color="C9D5DF"/>
          <w:left w:val="single" w:sz="4" w:color="C9D5DF"/>
          <w:bottom w:val="single" w:sz="4" w:color="C9D5DF"/>
          <w:right w:val="single" w:sz="4" w:color="C9D5DF"/>
          <w:insideH w:val="single" w:sz="3" w:color="DCE3E9"/>
          <w:insideV w:val="single" w:sz="3" w:color="DCE3E9"/>
        </w:tblBorders>
      </w:tblPr>
      <w:tblGrid>
        <w:gridCol w:w="1800"/>
        <w:gridCol w:w="7560"/>
      </w:tblGrid>
      <w:tr>
        <w:trPr>
          <w:tblHeader/>
        </w:trPr>
        <w:tc>
          <w:tcPr>
            <w:tcW w:w="1800" w:type="dxa"/>
            <w:shd w:val="clear" w:fill="12345B"/>
            <w:tcMar>
              <w:top w:w="100" w:type="dxa"/>
              <w:left w:w="120" w:type="dxa"/>
              <w:bottom w:w="100" w:type="dxa"/>
              <w:right w:w="120" w:type="dxa"/>
            </w:tcMar>
          </w:tcPr>
          <w:p>
            <w:pPr>
              <w:spacing w:after="0"/>
            </w:pPr>
            <w:r>
              <w:rPr>
                <w:b/>
                <w:color w:val="FFFFFF"/>
                <w:sz w:val="18"/>
                <w:szCs w:val="18"/>
              </w:rPr>
              <w:t xml:space="preserve">Area</w:t>
            </w:r>
          </w:p>
        </w:tc>
        <w:tc>
          <w:tcPr>
            <w:tcW w:w="7560" w:type="dxa"/>
            <w:shd w:val="clear" w:fill="12345B"/>
            <w:tcMar>
              <w:top w:w="100" w:type="dxa"/>
              <w:left w:w="120" w:type="dxa"/>
              <w:bottom w:w="100" w:type="dxa"/>
              <w:right w:w="120" w:type="dxa"/>
            </w:tcMar>
          </w:tcPr>
          <w:p>
            <w:pPr>
              <w:spacing w:after="0"/>
            </w:pPr>
            <w:r>
              <w:rPr>
                <w:b/>
                <w:color w:val="FFFFFF"/>
                <w:sz w:val="18"/>
                <w:szCs w:val="18"/>
              </w:rPr>
              <w:t xml:space="preserve">Key telemetry</w:t>
            </w:r>
          </w:p>
        </w:tc>
      </w:tr>
      <w:tr>
        <w:tc>
          <w:tcPr>
            <w:tcW w:w="1800" w:type="dxa"/>
            <w:shd w:val="clear" w:fill="FFFFFF"/>
            <w:tcMar>
              <w:top w:w="100" w:type="dxa"/>
              <w:left w:w="120" w:type="dxa"/>
              <w:bottom w:w="100" w:type="dxa"/>
              <w:right w:w="120" w:type="dxa"/>
            </w:tcMar>
          </w:tcPr>
          <w:p>
            <w:pPr>
              <w:spacing w:after="0"/>
            </w:pPr>
            <w:r>
              <w:rPr>
                <w:color w:val="17212B"/>
                <w:sz w:val="18"/>
                <w:szCs w:val="18"/>
              </w:rPr>
              <w:t xml:space="preserve">Run</w:t>
            </w:r>
          </w:p>
        </w:tc>
        <w:tc>
          <w:tcPr>
            <w:tcW w:w="7560" w:type="dxa"/>
            <w:shd w:val="clear" w:fill="FFFFFF"/>
            <w:tcMar>
              <w:top w:w="100" w:type="dxa"/>
              <w:left w:w="120" w:type="dxa"/>
              <w:bottom w:w="100" w:type="dxa"/>
              <w:right w:w="120" w:type="dxa"/>
            </w:tcMar>
          </w:tcPr>
          <w:p>
            <w:pPr>
              <w:spacing w:after="0"/>
            </w:pPr>
            <w:r>
              <w:rPr>
                <w:color w:val="17212B"/>
                <w:sz w:val="18"/>
                <w:szCs w:val="18"/>
              </w:rPr>
              <w:t xml:space="preserve">Correlation ID, stage, status, duration, warning/error code and output metadata.</w:t>
            </w:r>
          </w:p>
        </w:tc>
      </w:tr>
      <w:tr>
        <w:tc>
          <w:tcPr>
            <w:tcW w:w="1800" w:type="dxa"/>
            <w:shd w:val="clear" w:fill="F4F7FA"/>
            <w:tcMar>
              <w:top w:w="100" w:type="dxa"/>
              <w:left w:w="120" w:type="dxa"/>
              <w:bottom w:w="100" w:type="dxa"/>
              <w:right w:w="120" w:type="dxa"/>
            </w:tcMar>
          </w:tcPr>
          <w:p>
            <w:pPr>
              <w:spacing w:after="0"/>
            </w:pPr>
            <w:r>
              <w:rPr>
                <w:color w:val="17212B"/>
                <w:sz w:val="18"/>
                <w:szCs w:val="18"/>
              </w:rPr>
              <w:t xml:space="preserve">Queue</w:t>
            </w:r>
          </w:p>
        </w:tc>
        <w:tc>
          <w:tcPr>
            <w:tcW w:w="7560" w:type="dxa"/>
            <w:shd w:val="clear" w:fill="F4F7FA"/>
            <w:tcMar>
              <w:top w:w="100" w:type="dxa"/>
              <w:left w:w="120" w:type="dxa"/>
              <w:bottom w:w="100" w:type="dxa"/>
              <w:right w:w="120" w:type="dxa"/>
            </w:tcMar>
          </w:tcPr>
          <w:p>
            <w:pPr>
              <w:spacing w:after="0"/>
            </w:pPr>
            <w:r>
              <w:rPr>
                <w:color w:val="17212B"/>
                <w:sz w:val="18"/>
                <w:szCs w:val="18"/>
              </w:rPr>
              <w:t xml:space="preserve">Depth, oldest age, publish/ack/reject/redelivery and dead-letter counts.</w:t>
            </w:r>
          </w:p>
        </w:tc>
      </w:tr>
      <w:tr>
        <w:tc>
          <w:tcPr>
            <w:tcW w:w="1800" w:type="dxa"/>
            <w:shd w:val="clear" w:fill="FFFFFF"/>
            <w:tcMar>
              <w:top w:w="100" w:type="dxa"/>
              <w:left w:w="120" w:type="dxa"/>
              <w:bottom w:w="100" w:type="dxa"/>
              <w:right w:w="120" w:type="dxa"/>
            </w:tcMar>
          </w:tcPr>
          <w:p>
            <w:pPr>
              <w:spacing w:after="0"/>
            </w:pPr>
            <w:r>
              <w:rPr>
                <w:color w:val="17212B"/>
                <w:sz w:val="18"/>
                <w:szCs w:val="18"/>
              </w:rPr>
              <w:t xml:space="preserve">Batch</w:t>
            </w:r>
          </w:p>
        </w:tc>
        <w:tc>
          <w:tcPr>
            <w:tcW w:w="7560" w:type="dxa"/>
            <w:shd w:val="clear" w:fill="FFFFFF"/>
            <w:tcMar>
              <w:top w:w="100" w:type="dxa"/>
              <w:left w:w="120" w:type="dxa"/>
              <w:bottom w:w="100" w:type="dxa"/>
              <w:right w:w="120" w:type="dxa"/>
            </w:tcMar>
          </w:tcPr>
          <w:p>
            <w:pPr>
              <w:spacing w:after="0"/>
            </w:pPr>
            <w:r>
              <w:rPr>
                <w:color w:val="17212B"/>
                <w:sz w:val="18"/>
                <w:szCs w:val="18"/>
              </w:rPr>
              <w:t xml:space="preserve">Poll duration, eligible/claimed/published counts and scheduler lock status.</w:t>
            </w:r>
          </w:p>
        </w:tc>
      </w:tr>
      <w:tr>
        <w:tc>
          <w:tcPr>
            <w:tcW w:w="1800" w:type="dxa"/>
            <w:shd w:val="clear" w:fill="F4F7FA"/>
            <w:tcMar>
              <w:top w:w="100" w:type="dxa"/>
              <w:left w:w="120" w:type="dxa"/>
              <w:bottom w:w="100" w:type="dxa"/>
              <w:right w:w="120" w:type="dxa"/>
            </w:tcMar>
          </w:tcPr>
          <w:p>
            <w:pPr>
              <w:spacing w:after="0"/>
            </w:pPr>
            <w:r>
              <w:rPr>
                <w:color w:val="17212B"/>
                <w:sz w:val="18"/>
                <w:szCs w:val="18"/>
              </w:rPr>
              <w:t xml:space="preserve">Upload</w:t>
            </w:r>
          </w:p>
        </w:tc>
        <w:tc>
          <w:tcPr>
            <w:tcW w:w="7560" w:type="dxa"/>
            <w:shd w:val="clear" w:fill="F4F7FA"/>
            <w:tcMar>
              <w:top w:w="100" w:type="dxa"/>
              <w:left w:w="120" w:type="dxa"/>
              <w:bottom w:w="100" w:type="dxa"/>
              <w:right w:w="120" w:type="dxa"/>
            </w:tcMar>
          </w:tcPr>
          <w:p>
            <w:pPr>
              <w:spacing w:after="0"/>
            </w:pPr>
            <w:r>
              <w:rPr>
                <w:color w:val="17212B"/>
                <w:sz w:val="18"/>
                <w:szCs w:val="18"/>
              </w:rPr>
              <w:t xml:space="preserve">Bytes, validation/scan/storage outcome and quarantine backlog.</w:t>
            </w:r>
          </w:p>
        </w:tc>
      </w:tr>
      <w:tr>
        <w:tc>
          <w:tcPr>
            <w:tcW w:w="1800" w:type="dxa"/>
            <w:shd w:val="clear" w:fill="FFFFFF"/>
            <w:tcMar>
              <w:top w:w="100" w:type="dxa"/>
              <w:left w:w="120" w:type="dxa"/>
              <w:bottom w:w="100" w:type="dxa"/>
              <w:right w:w="120" w:type="dxa"/>
            </w:tcMar>
          </w:tcPr>
          <w:p>
            <w:pPr>
              <w:spacing w:after="0"/>
            </w:pPr>
            <w:r>
              <w:rPr>
                <w:color w:val="17212B"/>
                <w:sz w:val="18"/>
                <w:szCs w:val="18"/>
              </w:rPr>
              <w:t xml:space="preserve">Dependencies</w:t>
            </w:r>
          </w:p>
        </w:tc>
        <w:tc>
          <w:tcPr>
            <w:tcW w:w="7560" w:type="dxa"/>
            <w:shd w:val="clear" w:fill="FFFFFF"/>
            <w:tcMar>
              <w:top w:w="100" w:type="dxa"/>
              <w:left w:w="120" w:type="dxa"/>
              <w:bottom w:w="100" w:type="dxa"/>
              <w:right w:w="120" w:type="dxa"/>
            </w:tcMar>
          </w:tcPr>
          <w:p>
            <w:pPr>
              <w:spacing w:after="0"/>
            </w:pPr>
            <w:r>
              <w:rPr>
                <w:color w:val="17212B"/>
                <w:sz w:val="18"/>
                <w:szCs w:val="18"/>
              </w:rPr>
              <w:t xml:space="preserve">Oracle pool/call latency; QXPS/QXPSM latency, payload size and errors.</w:t>
            </w:r>
          </w:p>
        </w:tc>
      </w:tr>
      <w:tr>
        <w:tc>
          <w:tcPr>
            <w:tcW w:w="1800" w:type="dxa"/>
            <w:shd w:val="clear" w:fill="F4F7FA"/>
            <w:tcMar>
              <w:top w:w="100" w:type="dxa"/>
              <w:left w:w="120" w:type="dxa"/>
              <w:bottom w:w="100" w:type="dxa"/>
              <w:right w:w="120" w:type="dxa"/>
            </w:tcMar>
          </w:tcPr>
          <w:p>
            <w:pPr>
              <w:spacing w:after="0"/>
            </w:pPr>
            <w:r>
              <w:rPr>
                <w:color w:val="17212B"/>
                <w:sz w:val="18"/>
                <w:szCs w:val="18"/>
              </w:rPr>
              <w:t xml:space="preserve">Runtime</w:t>
            </w:r>
          </w:p>
        </w:tc>
        <w:tc>
          <w:tcPr>
            <w:tcW w:w="7560" w:type="dxa"/>
            <w:shd w:val="clear" w:fill="F4F7FA"/>
            <w:tcMar>
              <w:top w:w="100" w:type="dxa"/>
              <w:left w:w="120" w:type="dxa"/>
              <w:bottom w:w="100" w:type="dxa"/>
              <w:right w:w="120" w:type="dxa"/>
            </w:tcMar>
          </w:tcPr>
          <w:p>
            <w:pPr>
              <w:spacing w:after="0"/>
            </w:pPr>
            <w:r>
              <w:rPr>
                <w:color w:val="17212B"/>
                <w:sz w:val="18"/>
                <w:szCs w:val="18"/>
              </w:rPr>
              <w:t xml:space="preserve">CPU, heap, GC, threads, temporary storage and restart count.</w:t>
            </w:r>
          </w:p>
        </w:tc>
      </w:tr>
    </w:tbl>
    <w:p>
      <w:pPr>
        <w:pageBreakBefore/>
      </w:pPr>
    </w:p>
    <w:p>
      <w:pPr>
        <w:pStyle w:val="Heading1"/>
        <w:spacing w:before="180" w:after="100" w:line="276" w:lineRule="auto"/>
        <w:keepNext/>
      </w:pPr>
      <w:r>
        <w:rPr/>
        <w:t xml:space="preserve">13. API and event design</w:t>
      </w:r>
    </w:p>
    <w:tbl>
      <w:tblPr>
        <w:tblW w:w="9360" w:type="dxa"/>
        <w:tblInd w:w="120" w:type="dxa"/>
        <w:tblLayout w:type="fixed"/>
        <w:tblBorders>
          <w:top w:val="single" w:sz="4" w:color="C9D5DF"/>
          <w:left w:val="single" w:sz="4" w:color="C9D5DF"/>
          <w:bottom w:val="single" w:sz="4" w:color="C9D5DF"/>
          <w:right w:val="single" w:sz="4" w:color="C9D5DF"/>
          <w:insideH w:val="single" w:sz="3" w:color="DCE3E9"/>
          <w:insideV w:val="single" w:sz="3" w:color="DCE3E9"/>
        </w:tblBorders>
      </w:tblPr>
      <w:tblGrid>
        <w:gridCol w:w="2500"/>
        <w:gridCol w:w="6860"/>
      </w:tblGrid>
      <w:tr>
        <w:trPr>
          <w:tblHeader/>
        </w:trPr>
        <w:tc>
          <w:tcPr>
            <w:tcW w:w="2500" w:type="dxa"/>
            <w:shd w:val="clear" w:fill="12345B"/>
            <w:tcMar>
              <w:top w:w="100" w:type="dxa"/>
              <w:left w:w="120" w:type="dxa"/>
              <w:bottom w:w="100" w:type="dxa"/>
              <w:right w:w="120" w:type="dxa"/>
            </w:tcMar>
          </w:tcPr>
          <w:p>
            <w:pPr>
              <w:spacing w:after="0"/>
            </w:pPr>
            <w:r>
              <w:rPr>
                <w:b/>
                <w:color w:val="FFFFFF"/>
                <w:sz w:val="18"/>
                <w:szCs w:val="18"/>
              </w:rPr>
              <w:t xml:space="preserve">Contract</w:t>
            </w:r>
          </w:p>
        </w:tc>
        <w:tc>
          <w:tcPr>
            <w:tcW w:w="6860" w:type="dxa"/>
            <w:shd w:val="clear" w:fill="12345B"/>
            <w:tcMar>
              <w:top w:w="100" w:type="dxa"/>
              <w:left w:w="120" w:type="dxa"/>
              <w:bottom w:w="100" w:type="dxa"/>
              <w:right w:w="120" w:type="dxa"/>
            </w:tcMar>
          </w:tcPr>
          <w:p>
            <w:pPr>
              <w:spacing w:after="0"/>
            </w:pPr>
            <w:r>
              <w:rPr>
                <w:b/>
                <w:color w:val="FFFFFF"/>
                <w:sz w:val="18"/>
                <w:szCs w:val="18"/>
              </w:rPr>
              <w:t xml:space="preserve">Design</w:t>
            </w:r>
          </w:p>
        </w:tc>
      </w:tr>
      <w:tr>
        <w:tc>
          <w:tcPr>
            <w:tcW w:w="2500" w:type="dxa"/>
            <w:shd w:val="clear" w:fill="FFFFFF"/>
            <w:tcMar>
              <w:top w:w="100" w:type="dxa"/>
              <w:left w:w="120" w:type="dxa"/>
              <w:bottom w:w="100" w:type="dxa"/>
              <w:right w:w="120" w:type="dxa"/>
            </w:tcMar>
          </w:tcPr>
          <w:p>
            <w:pPr>
              <w:spacing w:after="0"/>
            </w:pPr>
            <w:r>
              <w:rPr>
                <w:color w:val="17212B"/>
                <w:sz w:val="18"/>
                <w:szCs w:val="18"/>
              </w:rPr>
              <w:t xml:space="preserve">Run submission</w:t>
            </w:r>
          </w:p>
        </w:tc>
        <w:tc>
          <w:tcPr>
            <w:tcW w:w="6860" w:type="dxa"/>
            <w:shd w:val="clear" w:fill="FFFFFF"/>
            <w:tcMar>
              <w:top w:w="100" w:type="dxa"/>
              <w:left w:w="120" w:type="dxa"/>
              <w:bottom w:w="100" w:type="dxa"/>
              <w:right w:w="120" w:type="dxa"/>
            </w:tcMar>
          </w:tcPr>
          <w:p>
            <w:pPr>
              <w:spacing w:after="0"/>
            </w:pPr>
            <w:r>
              <w:rPr>
                <w:color w:val="17212B"/>
                <w:sz w:val="18"/>
                <w:szCs w:val="18"/>
              </w:rPr>
              <w:t xml:space="preserve">Asynchronous command returning 202 Accepted, run identifier and correlation identifier.</w:t>
            </w:r>
          </w:p>
        </w:tc>
      </w:tr>
      <w:tr>
        <w:tc>
          <w:tcPr>
            <w:tcW w:w="2500" w:type="dxa"/>
            <w:shd w:val="clear" w:fill="F4F7FA"/>
            <w:tcMar>
              <w:top w:w="100" w:type="dxa"/>
              <w:left w:w="120" w:type="dxa"/>
              <w:bottom w:w="100" w:type="dxa"/>
              <w:right w:w="120" w:type="dxa"/>
            </w:tcMar>
          </w:tcPr>
          <w:p>
            <w:pPr>
              <w:spacing w:after="0"/>
            </w:pPr>
            <w:r>
              <w:rPr>
                <w:color w:val="17212B"/>
                <w:sz w:val="18"/>
                <w:szCs w:val="18"/>
              </w:rPr>
              <w:t xml:space="preserve">Run status</w:t>
            </w:r>
          </w:p>
        </w:tc>
        <w:tc>
          <w:tcPr>
            <w:tcW w:w="6860" w:type="dxa"/>
            <w:shd w:val="clear" w:fill="F4F7FA"/>
            <w:tcMar>
              <w:top w:w="100" w:type="dxa"/>
              <w:left w:w="120" w:type="dxa"/>
              <w:bottom w:w="100" w:type="dxa"/>
              <w:right w:w="120" w:type="dxa"/>
            </w:tcMar>
          </w:tcPr>
          <w:p>
            <w:pPr>
              <w:spacing w:after="0"/>
            </w:pPr>
            <w:r>
              <w:rPr>
                <w:color w:val="17212B"/>
                <w:sz w:val="18"/>
                <w:szCs w:val="18"/>
              </w:rPr>
              <w:t xml:space="preserve">Versioned resource exposing lifecycle state, processing stage, warnings/errors and output metadata.</w:t>
            </w:r>
          </w:p>
        </w:tc>
      </w:tr>
      <w:tr>
        <w:tc>
          <w:tcPr>
            <w:tcW w:w="2500" w:type="dxa"/>
            <w:shd w:val="clear" w:fill="FFFFFF"/>
            <w:tcMar>
              <w:top w:w="100" w:type="dxa"/>
              <w:left w:w="120" w:type="dxa"/>
              <w:bottom w:w="100" w:type="dxa"/>
              <w:right w:w="120" w:type="dxa"/>
            </w:tcMar>
          </w:tcPr>
          <w:p>
            <w:pPr>
              <w:spacing w:after="0"/>
            </w:pPr>
            <w:r>
              <w:rPr>
                <w:color w:val="17212B"/>
                <w:sz w:val="18"/>
                <w:szCs w:val="18"/>
              </w:rPr>
              <w:t xml:space="preserve">Upload</w:t>
            </w:r>
          </w:p>
        </w:tc>
        <w:tc>
          <w:tcPr>
            <w:tcW w:w="6860" w:type="dxa"/>
            <w:shd w:val="clear" w:fill="FFFFFF"/>
            <w:tcMar>
              <w:top w:w="100" w:type="dxa"/>
              <w:left w:w="120" w:type="dxa"/>
              <w:bottom w:w="100" w:type="dxa"/>
              <w:right w:w="120" w:type="dxa"/>
            </w:tcMar>
          </w:tcPr>
          <w:p>
            <w:pPr>
              <w:spacing w:after="0"/>
            </w:pPr>
            <w:r>
              <w:rPr>
                <w:color w:val="17212B"/>
                <w:sz w:val="18"/>
                <w:szCs w:val="18"/>
              </w:rPr>
              <w:t xml:space="preserve">Create/finalize lifecycle with idempotency key, checksum and validation status.</w:t>
            </w:r>
          </w:p>
        </w:tc>
      </w:tr>
      <w:tr>
        <w:tc>
          <w:tcPr>
            <w:tcW w:w="2500" w:type="dxa"/>
            <w:shd w:val="clear" w:fill="F4F7FA"/>
            <w:tcMar>
              <w:top w:w="100" w:type="dxa"/>
              <w:left w:w="120" w:type="dxa"/>
              <w:bottom w:w="100" w:type="dxa"/>
              <w:right w:w="120" w:type="dxa"/>
            </w:tcMar>
          </w:tcPr>
          <w:p>
            <w:pPr>
              <w:spacing w:after="0"/>
            </w:pPr>
            <w:r>
              <w:rPr>
                <w:color w:val="17212B"/>
                <w:sz w:val="18"/>
                <w:szCs w:val="18"/>
              </w:rPr>
              <w:t xml:space="preserve">Engine support trigger</w:t>
            </w:r>
          </w:p>
        </w:tc>
        <w:tc>
          <w:tcPr>
            <w:tcW w:w="6860" w:type="dxa"/>
            <w:shd w:val="clear" w:fill="F4F7FA"/>
            <w:tcMar>
              <w:top w:w="100" w:type="dxa"/>
              <w:left w:w="120" w:type="dxa"/>
              <w:bottom w:w="100" w:type="dxa"/>
              <w:right w:w="120" w:type="dxa"/>
            </w:tcMar>
          </w:tcPr>
          <w:p>
            <w:pPr>
              <w:spacing w:after="0"/>
            </w:pPr>
            <w:r>
              <w:rPr>
                <w:color w:val="17212B"/>
                <w:sz w:val="18"/>
                <w:szCs w:val="18"/>
              </w:rPr>
              <w:t xml:space="preserve">Restricted internal endpoint; audited and never exposed directly to the browser.</w:t>
            </w:r>
          </w:p>
        </w:tc>
      </w:tr>
      <w:tr>
        <w:tc>
          <w:tcPr>
            <w:tcW w:w="2500" w:type="dxa"/>
            <w:shd w:val="clear" w:fill="FFFFFF"/>
            <w:tcMar>
              <w:top w:w="100" w:type="dxa"/>
              <w:left w:w="120" w:type="dxa"/>
              <w:bottom w:w="100" w:type="dxa"/>
              <w:right w:w="120" w:type="dxa"/>
            </w:tcMar>
          </w:tcPr>
          <w:p>
            <w:pPr>
              <w:spacing w:after="0"/>
            </w:pPr>
            <w:r>
              <w:rPr>
                <w:color w:val="17212B"/>
                <w:sz w:val="18"/>
                <w:szCs w:val="18"/>
              </w:rPr>
              <w:t xml:space="preserve">RabbitMQ run event</w:t>
            </w:r>
          </w:p>
        </w:tc>
        <w:tc>
          <w:tcPr>
            <w:tcW w:w="6860" w:type="dxa"/>
            <w:shd w:val="clear" w:fill="FFFFFF"/>
            <w:tcMar>
              <w:top w:w="100" w:type="dxa"/>
              <w:left w:w="120" w:type="dxa"/>
              <w:bottom w:w="100" w:type="dxa"/>
              <w:right w:w="120" w:type="dxa"/>
            </w:tcMar>
          </w:tcPr>
          <w:p>
            <w:pPr>
              <w:spacing w:after="0"/>
            </w:pPr>
            <w:r>
              <w:rPr>
                <w:color w:val="17212B"/>
                <w:sz w:val="18"/>
                <w:szCs w:val="18"/>
              </w:rPr>
              <w:t xml:space="preserve">schemaVersion, runId, eventId, occurredAt, correlationId and attempt.</w:t>
            </w:r>
          </w:p>
        </w:tc>
      </w:tr>
      <w:tr>
        <w:tc>
          <w:tcPr>
            <w:tcW w:w="2500" w:type="dxa"/>
            <w:shd w:val="clear" w:fill="F4F7FA"/>
            <w:tcMar>
              <w:top w:w="100" w:type="dxa"/>
              <w:left w:w="120" w:type="dxa"/>
              <w:bottom w:w="100" w:type="dxa"/>
              <w:right w:w="120" w:type="dxa"/>
            </w:tcMar>
          </w:tcPr>
          <w:p>
            <w:pPr>
              <w:spacing w:after="0"/>
            </w:pPr>
            <w:r>
              <w:rPr>
                <w:color w:val="17212B"/>
                <w:sz w:val="18"/>
                <w:szCs w:val="18"/>
              </w:rPr>
              <w:t xml:space="preserve">Error response</w:t>
            </w:r>
          </w:p>
        </w:tc>
        <w:tc>
          <w:tcPr>
            <w:tcW w:w="6860" w:type="dxa"/>
            <w:shd w:val="clear" w:fill="F4F7FA"/>
            <w:tcMar>
              <w:top w:w="100" w:type="dxa"/>
              <w:left w:w="120" w:type="dxa"/>
              <w:bottom w:w="100" w:type="dxa"/>
              <w:right w:w="120" w:type="dxa"/>
            </w:tcMar>
          </w:tcPr>
          <w:p>
            <w:pPr>
              <w:spacing w:after="0"/>
            </w:pPr>
            <w:r>
              <w:rPr>
                <w:color w:val="17212B"/>
                <w:sz w:val="18"/>
                <w:szCs w:val="18"/>
              </w:rPr>
              <w:t xml:space="preserve">Stable code and safe message using a consistent problem-details structure.</w:t>
            </w:r>
          </w:p>
        </w:tc>
      </w:tr>
    </w:tbl>
    <w:p>
      <w:pPr>
        <w:pStyle w:val="Heading2"/>
        <w:spacing w:before="180" w:after="100" w:line="276" w:lineRule="auto"/>
        <w:keepNext/>
      </w:pPr>
      <w:r>
        <w:rPr/>
        <w:t xml:space="preserve">Run state model</w:t>
      </w:r>
    </w:p>
    <w:p>
      <w:pPr>
        <w:spacing w:before="0" w:after="100" w:line="276" w:lineRule="auto"/>
      </w:pPr>
      <w:r>
        <w:rPr/>
        <w:t xml:space="preserve">READY → RUNNING → COMPLETED | COMPLETED_WITH_WARNING | FAILED. Recovery transitions are explicit, audited and guarded by optimistic or database locking.</w:t>
      </w:r>
    </w:p>
    <w:p>
      <w:pPr>
        <w:pageBreakBefore/>
      </w:pPr>
    </w:p>
    <w:p>
      <w:pPr>
        <w:pStyle w:val="Heading1"/>
        <w:spacing w:before="180" w:after="100" w:line="276" w:lineRule="auto"/>
        <w:keepNext/>
      </w:pPr>
      <w:r>
        <w:rPr/>
        <w:t xml:space="preserve">14. Architecture review summary</w:t>
      </w:r>
    </w:p>
    <w:tbl>
      <w:tblPr>
        <w:tblW w:w="9360" w:type="dxa"/>
        <w:tblInd w:w="120" w:type="dxa"/>
        <w:tblLayout w:type="fixed"/>
        <w:tblBorders>
          <w:top w:val="single" w:sz="4" w:color="C9D5DF"/>
          <w:left w:val="single" w:sz="4" w:color="C9D5DF"/>
          <w:bottom w:val="single" w:sz="4" w:color="C9D5DF"/>
          <w:right w:val="single" w:sz="4" w:color="C9D5DF"/>
          <w:insideH w:val="single" w:sz="3" w:color="DCE3E9"/>
          <w:insideV w:val="single" w:sz="3" w:color="DCE3E9"/>
        </w:tblBorders>
      </w:tblPr>
      <w:tblGrid>
        <w:gridCol w:w="2200"/>
        <w:gridCol w:w="7160"/>
      </w:tblGrid>
      <w:tr>
        <w:trPr>
          <w:tblHeader/>
        </w:trPr>
        <w:tc>
          <w:tcPr>
            <w:tcW w:w="2200" w:type="dxa"/>
            <w:shd w:val="clear" w:fill="12345B"/>
            <w:tcMar>
              <w:top w:w="100" w:type="dxa"/>
              <w:left w:w="120" w:type="dxa"/>
              <w:bottom w:w="100" w:type="dxa"/>
              <w:right w:w="120" w:type="dxa"/>
            </w:tcMar>
          </w:tcPr>
          <w:p>
            <w:pPr>
              <w:spacing w:after="0"/>
            </w:pPr>
            <w:r>
              <w:rPr>
                <w:b/>
                <w:color w:val="FFFFFF"/>
                <w:sz w:val="18"/>
                <w:szCs w:val="18"/>
              </w:rPr>
              <w:t xml:space="preserve">Area</w:t>
            </w:r>
          </w:p>
        </w:tc>
        <w:tc>
          <w:tcPr>
            <w:tcW w:w="7160" w:type="dxa"/>
            <w:shd w:val="clear" w:fill="12345B"/>
            <w:tcMar>
              <w:top w:w="100" w:type="dxa"/>
              <w:left w:w="120" w:type="dxa"/>
              <w:bottom w:w="100" w:type="dxa"/>
              <w:right w:w="120" w:type="dxa"/>
            </w:tcMar>
          </w:tcPr>
          <w:p>
            <w:pPr>
              <w:spacing w:after="0"/>
            </w:pPr>
            <w:r>
              <w:rPr>
                <w:b/>
                <w:color w:val="FFFFFF"/>
                <w:sz w:val="18"/>
                <w:szCs w:val="18"/>
              </w:rPr>
              <w:t xml:space="preserve">Architecture position</w:t>
            </w:r>
          </w:p>
        </w:tc>
      </w:tr>
      <w:tr>
        <w:tc>
          <w:tcPr>
            <w:tcW w:w="2200" w:type="dxa"/>
            <w:shd w:val="clear" w:fill="FFFFFF"/>
            <w:tcMar>
              <w:top w:w="100" w:type="dxa"/>
              <w:left w:w="120" w:type="dxa"/>
              <w:bottom w:w="100" w:type="dxa"/>
              <w:right w:w="120" w:type="dxa"/>
            </w:tcMar>
          </w:tcPr>
          <w:p>
            <w:pPr>
              <w:spacing w:after="0"/>
            </w:pPr>
            <w:r>
              <w:rPr>
                <w:color w:val="17212B"/>
                <w:sz w:val="18"/>
                <w:szCs w:val="18"/>
              </w:rPr>
              <w:t xml:space="preserve">Application pattern</w:t>
            </w:r>
          </w:p>
        </w:tc>
        <w:tc>
          <w:tcPr>
            <w:tcW w:w="7160" w:type="dxa"/>
            <w:shd w:val="clear" w:fill="FFFFFF"/>
            <w:tcMar>
              <w:top w:w="100" w:type="dxa"/>
              <w:left w:w="120" w:type="dxa"/>
              <w:bottom w:w="100" w:type="dxa"/>
              <w:right w:w="120" w:type="dxa"/>
            </w:tcMar>
          </w:tcPr>
          <w:p>
            <w:pPr>
              <w:spacing w:after="0"/>
            </w:pPr>
            <w:r>
              <w:rPr>
                <w:color w:val="17212B"/>
                <w:sz w:val="18"/>
                <w:szCs w:val="18"/>
              </w:rPr>
              <w:t xml:space="preserve">Service-oriented application with five independently deployable components.</w:t>
            </w:r>
          </w:p>
        </w:tc>
      </w:tr>
      <w:tr>
        <w:tc>
          <w:tcPr>
            <w:tcW w:w="2200" w:type="dxa"/>
            <w:shd w:val="clear" w:fill="F4F7FA"/>
            <w:tcMar>
              <w:top w:w="100" w:type="dxa"/>
              <w:left w:w="120" w:type="dxa"/>
              <w:bottom w:w="100" w:type="dxa"/>
              <w:right w:w="120" w:type="dxa"/>
            </w:tcMar>
          </w:tcPr>
          <w:p>
            <w:pPr>
              <w:spacing w:after="0"/>
            </w:pPr>
            <w:r>
              <w:rPr>
                <w:color w:val="17212B"/>
                <w:sz w:val="18"/>
                <w:szCs w:val="18"/>
              </w:rPr>
              <w:t xml:space="preserve">User interaction</w:t>
            </w:r>
          </w:p>
        </w:tc>
        <w:tc>
          <w:tcPr>
            <w:tcW w:w="7160" w:type="dxa"/>
            <w:shd w:val="clear" w:fill="F4F7FA"/>
            <w:tcMar>
              <w:top w:w="100" w:type="dxa"/>
              <w:left w:w="120" w:type="dxa"/>
              <w:bottom w:w="100" w:type="dxa"/>
              <w:right w:w="120" w:type="dxa"/>
            </w:tcMar>
          </w:tcPr>
          <w:p>
            <w:pPr>
              <w:spacing w:after="0"/>
            </w:pPr>
            <w:r>
              <w:rPr>
                <w:color w:val="17212B"/>
                <w:sz w:val="18"/>
                <w:szCs w:val="18"/>
              </w:rPr>
              <w:t xml:space="preserve">Angular through secured Backend/Upload APIs only.</w:t>
            </w:r>
          </w:p>
        </w:tc>
      </w:tr>
      <w:tr>
        <w:tc>
          <w:tcPr>
            <w:tcW w:w="2200" w:type="dxa"/>
            <w:shd w:val="clear" w:fill="FFFFFF"/>
            <w:tcMar>
              <w:top w:w="100" w:type="dxa"/>
              <w:left w:w="120" w:type="dxa"/>
              <w:bottom w:w="100" w:type="dxa"/>
              <w:right w:w="120" w:type="dxa"/>
            </w:tcMar>
          </w:tcPr>
          <w:p>
            <w:pPr>
              <w:spacing w:after="0"/>
            </w:pPr>
            <w:r>
              <w:rPr>
                <w:color w:val="17212B"/>
                <w:sz w:val="18"/>
                <w:szCs w:val="18"/>
              </w:rPr>
              <w:t xml:space="preserve">Execution model</w:t>
            </w:r>
          </w:p>
        </w:tc>
        <w:tc>
          <w:tcPr>
            <w:tcW w:w="7160" w:type="dxa"/>
            <w:shd w:val="clear" w:fill="FFFFFF"/>
            <w:tcMar>
              <w:top w:w="100" w:type="dxa"/>
              <w:left w:w="120" w:type="dxa"/>
              <w:bottom w:w="100" w:type="dxa"/>
              <w:right w:w="120" w:type="dxa"/>
            </w:tcMar>
          </w:tcPr>
          <w:p>
            <w:pPr>
              <w:spacing w:after="0"/>
            </w:pPr>
            <w:r>
              <w:rPr>
                <w:color w:val="17212B"/>
                <w:sz w:val="18"/>
                <w:szCs w:val="18"/>
              </w:rPr>
              <w:t xml:space="preserve">Asynchronous run processing using RabbitMQ.</w:t>
            </w:r>
          </w:p>
        </w:tc>
      </w:tr>
      <w:tr>
        <w:tc>
          <w:tcPr>
            <w:tcW w:w="2200" w:type="dxa"/>
            <w:shd w:val="clear" w:fill="F4F7FA"/>
            <w:tcMar>
              <w:top w:w="100" w:type="dxa"/>
              <w:left w:w="120" w:type="dxa"/>
              <w:bottom w:w="100" w:type="dxa"/>
              <w:right w:w="120" w:type="dxa"/>
            </w:tcMar>
          </w:tcPr>
          <w:p>
            <w:pPr>
              <w:spacing w:after="0"/>
            </w:pPr>
            <w:r>
              <w:rPr>
                <w:color w:val="17212B"/>
                <w:sz w:val="18"/>
                <w:szCs w:val="18"/>
              </w:rPr>
              <w:t xml:space="preserve">Data platform</w:t>
            </w:r>
          </w:p>
        </w:tc>
        <w:tc>
          <w:tcPr>
            <w:tcW w:w="7160" w:type="dxa"/>
            <w:shd w:val="clear" w:fill="F4F7FA"/>
            <w:tcMar>
              <w:top w:w="100" w:type="dxa"/>
              <w:left w:w="120" w:type="dxa"/>
              <w:bottom w:w="100" w:type="dxa"/>
              <w:right w:w="120" w:type="dxa"/>
            </w:tcMar>
          </w:tcPr>
          <w:p>
            <w:pPr>
              <w:spacing w:after="0"/>
            </w:pPr>
            <w:r>
              <w:rPr>
                <w:color w:val="17212B"/>
                <w:sz w:val="18"/>
                <w:szCs w:val="18"/>
              </w:rPr>
              <w:t xml:space="preserve">Oracle packages and schema as governed business-data contracts.</w:t>
            </w:r>
          </w:p>
        </w:tc>
      </w:tr>
      <w:tr>
        <w:tc>
          <w:tcPr>
            <w:tcW w:w="2200" w:type="dxa"/>
            <w:shd w:val="clear" w:fill="FFFFFF"/>
            <w:tcMar>
              <w:top w:w="100" w:type="dxa"/>
              <w:left w:w="120" w:type="dxa"/>
              <w:bottom w:w="100" w:type="dxa"/>
              <w:right w:w="120" w:type="dxa"/>
            </w:tcMar>
          </w:tcPr>
          <w:p>
            <w:pPr>
              <w:spacing w:after="0"/>
            </w:pPr>
            <w:r>
              <w:rPr>
                <w:color w:val="17212B"/>
                <w:sz w:val="18"/>
                <w:szCs w:val="18"/>
              </w:rPr>
              <w:t xml:space="preserve">Document platform</w:t>
            </w:r>
          </w:p>
        </w:tc>
        <w:tc>
          <w:tcPr>
            <w:tcW w:w="7160" w:type="dxa"/>
            <w:shd w:val="clear" w:fill="FFFFFF"/>
            <w:tcMar>
              <w:top w:w="100" w:type="dxa"/>
              <w:left w:w="120" w:type="dxa"/>
              <w:bottom w:w="100" w:type="dxa"/>
              <w:right w:w="120" w:type="dxa"/>
            </w:tcMar>
          </w:tcPr>
          <w:p>
            <w:pPr>
              <w:spacing w:after="0"/>
            </w:pPr>
            <w:r>
              <w:rPr>
                <w:color w:val="17212B"/>
                <w:sz w:val="18"/>
                <w:szCs w:val="18"/>
              </w:rPr>
              <w:t xml:space="preserve">QXPS HTTP and QXPSM SOAP isolated behind Engine adapters.</w:t>
            </w:r>
          </w:p>
        </w:tc>
      </w:tr>
      <w:tr>
        <w:tc>
          <w:tcPr>
            <w:tcW w:w="2200" w:type="dxa"/>
            <w:shd w:val="clear" w:fill="F4F7FA"/>
            <w:tcMar>
              <w:top w:w="100" w:type="dxa"/>
              <w:left w:w="120" w:type="dxa"/>
              <w:bottom w:w="100" w:type="dxa"/>
              <w:right w:w="120" w:type="dxa"/>
            </w:tcMar>
          </w:tcPr>
          <w:p>
            <w:pPr>
              <w:spacing w:after="0"/>
            </w:pPr>
            <w:r>
              <w:rPr>
                <w:color w:val="17212B"/>
                <w:sz w:val="18"/>
                <w:szCs w:val="18"/>
              </w:rPr>
              <w:t xml:space="preserve">Scalability</w:t>
            </w:r>
          </w:p>
        </w:tc>
        <w:tc>
          <w:tcPr>
            <w:tcW w:w="7160" w:type="dxa"/>
            <w:shd w:val="clear" w:fill="F4F7FA"/>
            <w:tcMar>
              <w:top w:w="100" w:type="dxa"/>
              <w:left w:w="120" w:type="dxa"/>
              <w:bottom w:w="100" w:type="dxa"/>
              <w:right w:w="120" w:type="dxa"/>
            </w:tcMar>
          </w:tcPr>
          <w:p>
            <w:pPr>
              <w:spacing w:after="0"/>
            </w:pPr>
            <w:r>
              <w:rPr>
                <w:color w:val="17212B"/>
                <w:sz w:val="18"/>
                <w:szCs w:val="18"/>
              </w:rPr>
              <w:t xml:space="preserve">Stateless API replicas; singleton-controlled schedules; horizontally scaled engine consumers.</w:t>
            </w:r>
          </w:p>
        </w:tc>
      </w:tr>
      <w:tr>
        <w:tc>
          <w:tcPr>
            <w:tcW w:w="2200" w:type="dxa"/>
            <w:shd w:val="clear" w:fill="FFFFFF"/>
            <w:tcMar>
              <w:top w:w="100" w:type="dxa"/>
              <w:left w:w="120" w:type="dxa"/>
              <w:bottom w:w="100" w:type="dxa"/>
              <w:right w:w="120" w:type="dxa"/>
            </w:tcMar>
          </w:tcPr>
          <w:p>
            <w:pPr>
              <w:spacing w:after="0"/>
            </w:pPr>
            <w:r>
              <w:rPr>
                <w:color w:val="17212B"/>
                <w:sz w:val="18"/>
                <w:szCs w:val="18"/>
              </w:rPr>
              <w:t xml:space="preserve">Security</w:t>
            </w:r>
          </w:p>
        </w:tc>
        <w:tc>
          <w:tcPr>
            <w:tcW w:w="7160" w:type="dxa"/>
            <w:shd w:val="clear" w:fill="FFFFFF"/>
            <w:tcMar>
              <w:top w:w="100" w:type="dxa"/>
              <w:left w:w="120" w:type="dxa"/>
              <w:bottom w:w="100" w:type="dxa"/>
              <w:right w:w="120" w:type="dxa"/>
            </w:tcMar>
          </w:tcPr>
          <w:p>
            <w:pPr>
              <w:spacing w:after="0"/>
            </w:pPr>
            <w:r>
              <w:rPr>
                <w:color w:val="17212B"/>
                <w:sz w:val="18"/>
                <w:szCs w:val="18"/>
              </w:rPr>
              <w:t xml:space="preserve">Enterprise identity, least privilege, secret management, upload controls and end-to-end audit.</w:t>
            </w:r>
          </w:p>
        </w:tc>
      </w:tr>
      <w:tr>
        <w:tc>
          <w:tcPr>
            <w:tcW w:w="2200" w:type="dxa"/>
            <w:shd w:val="clear" w:fill="F4F7FA"/>
            <w:tcMar>
              <w:top w:w="100" w:type="dxa"/>
              <w:left w:w="120" w:type="dxa"/>
              <w:bottom w:w="100" w:type="dxa"/>
              <w:right w:w="120" w:type="dxa"/>
            </w:tcMar>
          </w:tcPr>
          <w:p>
            <w:pPr>
              <w:spacing w:after="0"/>
            </w:pPr>
            <w:r>
              <w:rPr>
                <w:color w:val="17212B"/>
                <w:sz w:val="18"/>
                <w:szCs w:val="18"/>
              </w:rPr>
              <w:t xml:space="preserve">Reliability</w:t>
            </w:r>
          </w:p>
        </w:tc>
        <w:tc>
          <w:tcPr>
            <w:tcW w:w="7160" w:type="dxa"/>
            <w:shd w:val="clear" w:fill="F4F7FA"/>
            <w:tcMar>
              <w:top w:w="100" w:type="dxa"/>
              <w:left w:w="120" w:type="dxa"/>
              <w:bottom w:w="100" w:type="dxa"/>
              <w:right w:w="120" w:type="dxa"/>
            </w:tcMar>
          </w:tcPr>
          <w:p>
            <w:pPr>
              <w:spacing w:after="0"/>
            </w:pPr>
            <w:r>
              <w:rPr>
                <w:color w:val="17212B"/>
                <w:sz w:val="18"/>
                <w:szCs w:val="18"/>
              </w:rPr>
              <w:t xml:space="preserve">Idempotency, atomic claims, retries, dead-letter handling and bounded concurrency.</w:t>
            </w:r>
          </w:p>
        </w:tc>
      </w:tr>
      <w:tr>
        <w:tc>
          <w:tcPr>
            <w:tcW w:w="2200" w:type="dxa"/>
            <w:shd w:val="clear" w:fill="FFFFFF"/>
            <w:tcMar>
              <w:top w:w="100" w:type="dxa"/>
              <w:left w:w="120" w:type="dxa"/>
              <w:bottom w:w="100" w:type="dxa"/>
              <w:right w:w="120" w:type="dxa"/>
            </w:tcMar>
          </w:tcPr>
          <w:p>
            <w:pPr>
              <w:spacing w:after="0"/>
            </w:pPr>
            <w:r>
              <w:rPr>
                <w:color w:val="17212B"/>
                <w:sz w:val="18"/>
                <w:szCs w:val="18"/>
              </w:rPr>
              <w:t xml:space="preserve">Operations</w:t>
            </w:r>
          </w:p>
        </w:tc>
        <w:tc>
          <w:tcPr>
            <w:tcW w:w="7160" w:type="dxa"/>
            <w:shd w:val="clear" w:fill="FFFFFF"/>
            <w:tcMar>
              <w:top w:w="100" w:type="dxa"/>
              <w:left w:w="120" w:type="dxa"/>
              <w:bottom w:w="100" w:type="dxa"/>
              <w:right w:w="120" w:type="dxa"/>
            </w:tcMar>
          </w:tcPr>
          <w:p>
            <w:pPr>
              <w:spacing w:after="0"/>
            </w:pPr>
            <w:r>
              <w:rPr>
                <w:color w:val="17212B"/>
                <w:sz w:val="18"/>
                <w:szCs w:val="18"/>
              </w:rPr>
              <w:t xml:space="preserve">Structured logs, metrics, traces, dashboards, alerts and runbooks.</w:t>
            </w:r>
          </w:p>
        </w:tc>
      </w:tr>
    </w:tbl>
    <w:p>
      <w:pPr>
        <w:pStyle w:val="Heading2"/>
        <w:spacing w:before="180" w:after="100" w:line="276" w:lineRule="auto"/>
        <w:keepNext/>
      </w:pPr>
      <w:r>
        <w:rPr/>
        <w:t xml:space="preserve">Review outcome requested</w:t>
      </w:r>
    </w:p>
    <w:p>
      <w:pPr>
        <w:spacing w:before="0" w:after="100" w:line="276" w:lineRule="auto"/>
        <w:shd w:val="clear" w:fill="DFF3E6"/>
      </w:pPr>
      <w:r>
        <w:rPr/>
        <w:t xml:space="preserve">Approval of the EOS Quark application architecture, component boundaries, integration patterns, deployment model and cross-cutting security, reliability and operational controls described in this document.</w:t>
      </w:r>
    </w:p>
    <w:sectPr>
      <w:headerReference w:type="default" r:id="rId3"/>
      <w:footerReference w:type="default" r:id="rId4"/>
      <w:pgSz w:w="12240" w:h="15840"/>
      <w:pgMar w:top="900" w:right="1080" w:bottom="900" w:left="1080" w:header="480" w:footer="480"/>
    </w:sectPr>
  </w:body>
</w:document>
</file>

<file path=word/footer1.xml><?xml version="1.0" encoding="utf-8"?>
<w:ftr xmlns:w="http://schemas.openxmlformats.org/wordprocessingml/2006/main">
  <w:p>
    <w:pPr>
      <w:jc w:val="right"/>
    </w:pPr>
    <w:r>
      <w:rPr>
        <w:color w:val="536271"/>
        <w:sz w:val="16"/>
        <w:szCs w:val="16"/>
      </w:rPr>
      <w:t xml:space="preserve">Architecture Review  |  20 August 2026  |  </w:t>
    </w:r>
    <w:r>
      <w:fldChar w:fldCharType="begin"/>
    </w:r>
    <w:r>
      <w:instrText> PAGE </w:instrText>
    </w:r>
    <w:r>
      <w:fldChar w:fldCharType="end"/>
    </w:r>
  </w:p>
</w:ftr>
</file>

<file path=word/header1.xml><?xml version="1.0" encoding="utf-8"?>
<w:hdr xmlns:w="http://schemas.openxmlformats.org/wordprocessingml/2006/main">
  <w:p>
    <w:pPr>
      <w:pBdr>
        <w:bottom w:val="single" w:sz="5" w:color="2878B8"/>
      </w:pBdr>
    </w:pPr>
    <w:r>
      <w:rPr>
        <w:b/>
        <w:color w:val="12345B"/>
        <w:sz w:val="18"/>
        <w:szCs w:val="18"/>
      </w:rPr>
      <w:t xml:space="preserve">EOS Quark | Application Architecture</w:t>
    </w:r>
  </w:p>
</w:hdr>
</file>

<file path=word/numbering.xml><?xml version="1.0" encoding="utf-8"?>
<w:numbering xmlns:w="http://schemas.openxmlformats.org/wordprocessingml/2006/main">
  <w:abstractNum w:abstractNumId="0">
    <w:lvl w:ilvl="0">
      <w:start w:val="1"/>
      <w:numFmt w:val="bullet"/>
      <w:lvlText w:val="•"/>
      <w:pPr>
        <w:tabs>
          <w:tab w:val="num" w:pos="420"/>
        </w:tabs>
        <w:ind w:left="720" w:hanging="300"/>
      </w:pPr>
    </w:lvl>
  </w:abstractNum>
  <w:num w:numId="1">
    <w:abstractNumId w:val="0"/>
  </w:num>
</w:numbering>
</file>

<file path=word/styles.xml><?xml version="1.0" encoding="utf-8"?>
<w:styles xmlns:w="http://schemas.openxmlformats.org/wordprocessingml/2006/main">
  <w:style w:type="paragraph" w:default="1" w:styleId="Normal">
    <w:name w:val="Normal"/>
    <w:rPr>
      <w:rFonts w:ascii="Aptos" w:hAnsi="Aptos"/>
      <w:sz w:val="21"/>
      <w:color w:val="17212B"/>
    </w:rPr>
    <w:pPr>
      <w:spacing w:after="100" w:line="276" w:lineRule="auto"/>
    </w:pPr>
  </w:style>
  <w:style w:type="paragraph" w:styleId="Heading1">
    <w:name w:val="heading 1"/>
    <w:basedOn w:val="Normal"/>
    <w:outlineLvl w:val="0"/>
    <w:rPr>
      <w:rFonts w:ascii="Aptos Display" w:hAnsi="Aptos Display"/>
      <w:b/>
      <w:sz w:val="34"/>
      <w:color w:val="12345B"/>
    </w:rPr>
    <w:pPr>
      <w:keepNext/>
      <w:spacing w:before="180" w:after="100"/>
    </w:pPr>
  </w:style>
  <w:style w:type="paragraph" w:styleId="Heading2">
    <w:name w:val="heading 2"/>
    <w:basedOn w:val="Normal"/>
    <w:outlineLvl w:val="1"/>
    <w:rPr>
      <w:rFonts w:ascii="Aptos Display" w:hAnsi="Aptos Display"/>
      <w:b/>
      <w:sz w:val="27"/>
      <w:color w:val="2878B8"/>
    </w:rPr>
    <w:pPr>
      <w:keepNext/>
      <w:spacing w:before="160" w:after="80"/>
    </w:pPr>
  </w:style>
  <w:style w:type="paragraph" w:styleId="ListBullet">
    <w:name w:val="List Bullet"/>
    <w:basedOn w:val="Normal"/>
    <w:pPr>
      <w:numPr>
        <w:ilvl w:val="0"/>
        <w:numId w:val="1"/>
      </w:numPr>
      <w:spacing w:after="55"/>
    </w:p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docProps/core.xml><?xml version="1.0" encoding="utf-8"?>
<cp:coreProperties xmlns:cp="http://schemas.openxmlformats.org/package/2006/metadata/core-properties" xmlns:dc="http://purl.org/dc/elements/1.1/">
  <dc:title>EOS Quark Application Architecture</dc:title>
  <dc:subject>Architecture review</dc:subject>
  <dc:creator>EOS Quark Team</dc:creator>
</cp:coreProperties>
</file>