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FF4500"/>
          <w:sz w:val="76"/>
          <w:szCs w:val="76"/>
        </w:rPr>
        <w:t xml:space="preserve">PIPELYT</w:t>
      </w:r>
    </w:p>
    <w:p>
      <w:pPr>
        <w:spacing w:after="60"/>
      </w:pPr>
      <w:r>
        <w:rPr>
          <w:b/>
          <w:bCs/>
          <w:color w:val="1A1A1A"/>
          <w:sz w:val="40"/>
          <w:szCs w:val="40"/>
        </w:rPr>
        <w:t xml:space="preserve">Technical Project Overview</w:t>
      </w:r>
    </w:p>
    <w:p>
      <w:pPr>
        <w:spacing w:after="360"/>
      </w:pPr>
      <w:r>
        <w:rPr>
          <w:i/>
          <w:iCs/>
          <w:color w:val="5A5A5A"/>
          <w:sz w:val="24"/>
          <w:szCs w:val="24"/>
        </w:rPr>
        <w:t xml:space="preserve">An agentic AI platform for social media — how it works, what the agents do, how it is built, and how the code is organized.</w:t>
      </w:r>
    </w:p>
    <w:p>
      <w:pPr>
        <w:pBdr>
          <w:top w:val="single" w:color="FF4500" w:sz="12" w:space="6"/>
        </w:pBdr>
        <w:spacing w:after="240"/>
      </w:pPr>
      <w:r>
        <w:t xml:space="preserve"/>
      </w:r>
    </w:p>
    <w:p>
      <w:pPr>
        <w:spacing w:after="60"/>
      </w:pPr>
      <w:r>
        <w:rPr>
          <w:b/>
          <w:bCs/>
          <w:color w:val="1A1A1A"/>
          <w:sz w:val="20"/>
          <w:szCs w:val="20"/>
        </w:rPr>
        <w:t xml:space="preserve">Audience:  </w:t>
      </w:r>
      <w:r>
        <w:rPr>
          <w:color w:val="5A5A5A"/>
          <w:sz w:val="20"/>
          <w:szCs w:val="20"/>
        </w:rPr>
        <w:t xml:space="preserve">Engineering &amp; technical reviewers</w:t>
      </w:r>
    </w:p>
    <w:p>
      <w:pPr>
        <w:spacing w:after="60"/>
      </w:pPr>
      <w:r>
        <w:rPr>
          <w:b/>
          <w:bCs/>
          <w:color w:val="1A1A1A"/>
          <w:sz w:val="20"/>
          <w:szCs w:val="20"/>
        </w:rPr>
        <w:t xml:space="preserve">Stack:  </w:t>
      </w:r>
      <w:r>
        <w:rPr>
          <w:color w:val="5A5A5A"/>
          <w:sz w:val="20"/>
          <w:szCs w:val="20"/>
        </w:rPr>
        <w:t xml:space="preserve">FastAPI · Google Gemini 2.5 Flash · React · PostgreSQL · AWS Lambda</w:t>
      </w:r>
    </w:p>
    <w:p>
      <w:pPr>
        <w:pageBreakBefore/>
      </w:pPr>
      <w:r>
        <w:t xml:space="preserve"/>
      </w:r>
    </w:p>
    <w:p>
      <w:pPr>
        <w:pStyle w:val="Heading1"/>
      </w:pPr>
      <w:r>
        <w:t xml:space="preserve">1.  What Pipelyt Is</w:t>
      </w:r>
    </w:p>
    <w:p>
      <w:pPr>
        <w:spacing w:after="140" w:line="300"/>
      </w:pPr>
      <w:r>
        <w:rPr>
          <w:i w:val="false"/>
          <w:iCs w:val="false"/>
          <w:color w:val="1A1A1A"/>
        </w:rPr>
        <w:t xml:space="preserve">Pipelyt is an AI-powered social media management platform. It takes a single-sentence campaign brief and turns it into platform-tailored content and AI-generated visuals across LinkedIn, X, Facebook and Instagram — then publishes, schedules, monitors and replies to engagement, with little or no human content team involved.</w:t>
      </w:r>
    </w:p>
    <w:p>
      <w:pPr>
        <w:spacing w:after="140" w:line="300"/>
      </w:pPr>
      <w:r>
        <w:rPr>
          <w:b w:val="false"/>
          <w:bCs w:val="false"/>
          <w:i w:val="false"/>
          <w:iCs w:val="false"/>
          <w:color w:val="1A1A1A"/>
        </w:rPr>
        <w:t xml:space="preserve">The defining idea of the system is that it is </w:t>
      </w:r>
      <w:r>
        <w:rPr>
          <w:b/>
          <w:bCs/>
          <w:i w:val="false"/>
          <w:iCs w:val="false"/>
          <w:color w:val="1A1A1A"/>
        </w:rPr>
        <w:t xml:space="preserve">agentic</w:t>
      </w:r>
      <w:r>
        <w:rPr>
          <w:b w:val="false"/>
          <w:bCs w:val="false"/>
          <w:i w:val="false"/>
          <w:iCs w:val="false"/>
          <w:color w:val="1A1A1A"/>
        </w:rPr>
        <w:t xml:space="preserve">. The work is not done by one large prompt that tries to do everything at once. Instead it is done by a pipeline of specialized AI agents — each with a single, narrow job — chained together so the structured output of one agent becomes the input of the next.</w:t>
      </w:r>
    </w:p>
    <w:p>
      <w:pPr>
        <w:pStyle w:val="Heading1"/>
      </w:pPr>
      <w:r>
        <w:t xml:space="preserve">2.  The Problem It Solves</w:t>
      </w:r>
    </w:p>
    <w:p>
      <w:pPr>
        <w:spacing w:after="140" w:line="300"/>
      </w:pPr>
      <w:r>
        <w:rPr>
          <w:i w:val="false"/>
          <w:iCs w:val="false"/>
          <w:color w:val="1A1A1A"/>
        </w:rPr>
        <w:t xml:space="preserve">Producing brand-consistent social content is slow, repetitive and fragmented across tools. The naive AI approach — one button that takes a brief and emits a finished post — fails in predictable ways: it invents facts that are not true, it drifts off-brand, and it produces generic copy that reads the same on every channel.</w:t>
      </w:r>
    </w:p>
    <w:p>
      <w:pPr>
        <w:spacing w:after="140" w:line="300"/>
      </w:pPr>
      <w:r>
        <w:rPr>
          <w:b w:val="false"/>
          <w:bCs w:val="false"/>
          <w:i w:val="false"/>
          <w:iCs w:val="false"/>
          <w:color w:val="1A1A1A"/>
        </w:rPr>
        <w:t xml:space="preserve">Pipelyt’s answer is to </w:t>
      </w:r>
      <w:r>
        <w:rPr>
          <w:b/>
          <w:bCs/>
          <w:i w:val="false"/>
          <w:iCs w:val="false"/>
          <w:color w:val="1A1A1A"/>
        </w:rPr>
        <w:t xml:space="preserve">decompose the work the way a real content team is structured</w:t>
      </w:r>
      <w:r>
        <w:rPr>
          <w:b w:val="false"/>
          <w:bCs w:val="false"/>
          <w:i w:val="false"/>
          <w:iCs w:val="false"/>
          <w:color w:val="1A1A1A"/>
        </w:rPr>
        <w:t xml:space="preserve"> — a strategist, a researcher, a copywriter, a designer, an editor — and give each role to a dedicated agent. A narrow job is far easier for a model to do reliably than a broad one, and each step can be inspected, tested and improved on its own.</w:t>
      </w:r>
    </w:p>
    <w:p>
      <w:pPr>
        <w:pStyle w:val="Heading1"/>
      </w:pPr>
      <w:r>
        <w:t xml:space="preserve">3.  System Architecture at a Glance</w:t>
      </w:r>
    </w:p>
    <w:p>
      <w:pPr>
        <w:spacing w:after="140" w:line="300"/>
      </w:pPr>
      <w:r>
        <w:rPr>
          <w:i w:val="false"/>
          <w:iCs w:val="false"/>
          <w:color w:val="1A1A1A"/>
        </w:rPr>
        <w:t xml:space="preserve">Pipelyt is a single monorepo containing three applications. The agentic engine lives entirely in the backend; the two frontends consume it over a normal HTTP API.</w:t>
      </w:r>
    </w:p>
    <w:p>
      <w:pPr>
        <w:pStyle w:val="ListParagraph"/>
        <w:numPr>
          <w:ilvl w:val="0"/>
          <w:numId w:val="2"/>
        </w:numPr>
        <w:spacing w:after="80" w:line="290"/>
      </w:pPr>
      <w:r>
        <w:rPr>
          <w:b/>
          <w:bCs/>
          <w:color w:val="1A1A1A"/>
        </w:rPr>
        <w:t xml:space="preserve">Backend</w:t>
      </w:r>
      <w:r>
        <w:rPr>
          <w:color w:val="1A1A1A"/>
        </w:rPr>
        <w:t xml:space="preserve"> — FastAPI service in Python. Hosts the agents, the database layer and every integration. Runs locally with uvicorn and in production on AWS Lambda.</w:t>
      </w:r>
    </w:p>
    <w:p>
      <w:pPr>
        <w:pStyle w:val="ListParagraph"/>
        <w:numPr>
          <w:ilvl w:val="0"/>
          <w:numId w:val="2"/>
        </w:numPr>
        <w:spacing w:after="80" w:line="290"/>
      </w:pPr>
      <w:r>
        <w:rPr>
          <w:b/>
          <w:bCs/>
          <w:color w:val="1A1A1A"/>
        </w:rPr>
        <w:t xml:space="preserve">Product dashboard</w:t>
      </w:r>
      <w:r>
        <w:rPr>
          <w:color w:val="1A1A1A"/>
        </w:rPr>
        <w:t xml:space="preserve"> — the authenticated React dashboard where users write briefs, review generated content, schedule posts and read analytics.</w:t>
      </w:r>
    </w:p>
    <w:p>
      <w:pPr>
        <w:pStyle w:val="ListParagraph"/>
        <w:numPr>
          <w:ilvl w:val="0"/>
          <w:numId w:val="2"/>
        </w:numPr>
        <w:spacing w:after="80" w:line="290"/>
      </w:pPr>
      <w:r>
        <w:rPr>
          <w:b/>
          <w:bCs/>
          <w:color w:val="1A1A1A"/>
        </w:rPr>
        <w:t xml:space="preserve">Landing page</w:t>
      </w:r>
      <w:r>
        <w:rPr>
          <w:color w:val="1A1A1A"/>
        </w:rPr>
        <w:t xml:space="preserve"> — the marketing and sign-up site.</w:t>
      </w:r>
    </w:p>
    <w:p>
      <w:pPr>
        <w:spacing w:after="140" w:line="300"/>
      </w:pPr>
      <w:r>
        <w:rPr>
          <w:i w:val="false"/>
          <w:iCs w:val="false"/>
          <w:color w:val="1A1A1A"/>
        </w:rPr>
        <w:t xml:space="preserve">A firm rule keeps the codebase clean: routers stay thin and only handle HTTP; every third-party integration and all real logic sits behind a service module. The whole multi-agent engine is one such service — services/ai_service.py.</w:t>
      </w:r>
    </w:p>
    <w:p>
      <w:pPr>
        <w:pStyle w:val="Heading1"/>
      </w:pPr>
      <w:r>
        <w:t xml:space="preserve">4.  The Multi-Agent Engine</w:t>
      </w:r>
    </w:p>
    <w:p>
      <w:pPr>
        <w:spacing w:after="140" w:line="300"/>
      </w:pPr>
      <w:r>
        <w:rPr>
          <w:i w:val="false"/>
          <w:iCs w:val="false"/>
          <w:color w:val="1A1A1A"/>
        </w:rPr>
        <w:t xml:space="preserve">This is the heart of Pipelyt. It is worth understanding three things in order: how a single agent is built, how the agents are wired together, and what each agent actually does.</w:t>
      </w:r>
    </w:p>
    <w:p>
      <w:pPr>
        <w:pStyle w:val="Heading2"/>
      </w:pPr>
      <w:r>
        <w:t xml:space="preserve">4.1  How a single agent is built</w:t>
      </w:r>
    </w:p>
    <w:p>
      <w:pPr>
        <w:spacing w:after="140" w:line="300"/>
      </w:pPr>
      <w:r>
        <w:rPr>
          <w:b w:val="false"/>
          <w:bCs w:val="false"/>
          <w:i w:val="false"/>
          <w:iCs w:val="false"/>
          <w:color w:val="1A1A1A"/>
        </w:rPr>
        <w:t xml:space="preserve">Every agent is, concretely, a Python function. It assembles a carefully written prompt — a role definition plus a strict input and output contract — and hands it to one shared helper, </w:t>
      </w:r>
      <w:r>
        <w:rPr>
          <w:b/>
          <w:bCs/>
          <w:i w:val="false"/>
          <w:iCs w:val="false"/>
          <w:color w:val="1A1A1A"/>
        </w:rPr>
        <w:t xml:space="preserve">_call_agent()</w:t>
      </w:r>
      <w:r>
        <w:rPr>
          <w:b w:val="false"/>
          <w:bCs w:val="false"/>
          <w:i w:val="false"/>
          <w:iCs w:val="false"/>
          <w:color w:val="1A1A1A"/>
        </w:rPr>
        <w:t xml:space="preserve">. That helper sends the prompt to Google Gemini 2.5 Flash, parses the model’s JSON reply and returns a clean Python dictionary.</w:t>
      </w:r>
    </w:p>
    <w:p>
      <w:pPr>
        <w:spacing w:after="140" w:line="300"/>
      </w:pPr>
      <w:r>
        <w:rPr>
          <w:b w:val="false"/>
          <w:bCs w:val="false"/>
          <w:i w:val="false"/>
          <w:iCs w:val="false"/>
          <w:color w:val="1A1A1A"/>
        </w:rPr>
        <w:t xml:space="preserve">So an “agent” is simply: </w:t>
      </w:r>
      <w:r>
        <w:rPr>
          <w:b/>
          <w:bCs/>
          <w:i w:val="false"/>
          <w:iCs w:val="false"/>
          <w:color w:val="1A1A1A"/>
        </w:rPr>
        <w:t xml:space="preserve">a role + a structured input/output contract + one model call</w:t>
      </w:r>
      <w:r>
        <w:rPr>
          <w:b w:val="false"/>
          <w:bCs w:val="false"/>
          <w:i w:val="false"/>
          <w:iCs w:val="false"/>
          <w:color w:val="1A1A1A"/>
        </w:rPr>
        <w:t xml:space="preserve">. The agents share no global state. Each one receives exactly the structured output of the stage before it. That isolation is deliberate — it makes the pipeline easy to debug and lets every agent be tested on its own.</w:t>
      </w:r>
    </w:p>
    <w:p>
      <w:pPr>
        <w:pStyle w:val="Heading2"/>
      </w:pPr>
      <w:r>
        <w:t xml:space="preserve">4.2  How the agents are wired together</w:t>
      </w:r>
    </w:p>
    <w:p>
      <w:pPr>
        <w:spacing w:after="140" w:line="300"/>
      </w:pPr>
      <w:r>
        <w:rPr>
          <w:b w:val="false"/>
          <w:bCs w:val="false"/>
          <w:i w:val="false"/>
          <w:iCs w:val="false"/>
          <w:color w:val="1A1A1A"/>
        </w:rPr>
        <w:t xml:space="preserve">A single orchestrator function, </w:t>
      </w:r>
      <w:r>
        <w:rPr>
          <w:b/>
          <w:bCs/>
          <w:i w:val="false"/>
          <w:iCs w:val="false"/>
          <w:color w:val="1A1A1A"/>
        </w:rPr>
        <w:t xml:space="preserve">generate_strategic_content()</w:t>
      </w:r>
      <w:r>
        <w:rPr>
          <w:b w:val="false"/>
          <w:bCs w:val="false"/>
          <w:i w:val="false"/>
          <w:iCs w:val="false"/>
          <w:color w:val="1A1A1A"/>
        </w:rPr>
        <w:t xml:space="preserve">, runs the agents in a fixed sequence and passes each result forward:</w:t>
      </w:r>
    </w:p>
    <w:p>
      <w:pPr>
        <w:pStyle w:val="ListParagraph"/>
        <w:numPr>
          <w:ilvl w:val="0"/>
          <w:numId w:val="3"/>
        </w:numPr>
        <w:spacing w:after="80" w:line="290"/>
      </w:pPr>
      <w:r>
        <w:rPr>
          <w:b/>
          <w:bCs/>
          <w:color w:val="1A1A1A"/>
        </w:rPr>
        <w:t xml:space="preserve">Refine</w:t>
      </w:r>
      <w:r>
        <w:rPr>
          <w:color w:val="1A1A1A"/>
        </w:rPr>
        <w:t xml:space="preserve">  — the raw brief becomes a structured strategic brief.</w:t>
      </w:r>
    </w:p>
    <w:p>
      <w:pPr>
        <w:pStyle w:val="ListParagraph"/>
        <w:numPr>
          <w:ilvl w:val="0"/>
          <w:numId w:val="3"/>
        </w:numPr>
        <w:spacing w:after="80" w:line="290"/>
      </w:pPr>
      <w:r>
        <w:rPr>
          <w:b/>
          <w:bCs/>
          <w:color w:val="1A1A1A"/>
        </w:rPr>
        <w:t xml:space="preserve">Research</w:t>
      </w:r>
      <w:r>
        <w:rPr>
          <w:color w:val="1A1A1A"/>
        </w:rPr>
        <w:t xml:space="preserve">  — the strategy is sharpened and fact-guarded.</w:t>
      </w:r>
    </w:p>
    <w:p>
      <w:pPr>
        <w:pStyle w:val="ListParagraph"/>
        <w:numPr>
          <w:ilvl w:val="0"/>
          <w:numId w:val="3"/>
        </w:numPr>
        <w:spacing w:after="80" w:line="290"/>
      </w:pPr>
      <w:r>
        <w:rPr>
          <w:b/>
          <w:bCs/>
          <w:color w:val="1A1A1A"/>
        </w:rPr>
        <w:t xml:space="preserve">Content</w:t>
      </w:r>
      <w:r>
        <w:rPr>
          <w:color w:val="1A1A1A"/>
        </w:rPr>
        <w:t xml:space="preserve">  — platform-specific copy variants are written.</w:t>
      </w:r>
    </w:p>
    <w:p>
      <w:pPr>
        <w:pStyle w:val="ListParagraph"/>
        <w:numPr>
          <w:ilvl w:val="0"/>
          <w:numId w:val="3"/>
        </w:numPr>
        <w:spacing w:after="80" w:line="290"/>
      </w:pPr>
      <w:r>
        <w:rPr>
          <w:b/>
          <w:bCs/>
          <w:color w:val="1A1A1A"/>
        </w:rPr>
        <w:t xml:space="preserve">Visuals</w:t>
      </w:r>
      <w:r>
        <w:rPr>
          <w:color w:val="1A1A1A"/>
        </w:rPr>
        <w:t xml:space="preserve">  — image prompts are written, images generated, and each one quality-checked.</w:t>
      </w:r>
    </w:p>
    <w:p>
      <w:pPr>
        <w:spacing w:after="140" w:line="300"/>
      </w:pPr>
      <w:r>
        <w:rPr>
          <w:i w:val="false"/>
          <w:iCs w:val="false"/>
          <w:color w:val="1A1A1A"/>
        </w:rPr>
        <w:t xml:space="preserve">Every stage is individually timed so the team can see exactly where generation time is spent. The orchestrator is also context-aware: for text, video or document posts it skips the visual stages entirely, saving roughly a minute of image-generation time.</w:t>
      </w:r>
    </w:p>
    <w:p>
      <w:pPr>
        <w:pStyle w:val="Heading2"/>
      </w:pPr>
      <w:r>
        <w:t xml:space="preserve">4.3  The seven agents</w:t>
      </w:r>
    </w:p>
    <w:p>
      <w:pPr>
        <w:spacing w:after="140" w:line="300"/>
      </w:pPr>
      <w:r>
        <w:rPr>
          <w:i w:val="false"/>
          <w:iCs w:val="false"/>
          <w:color w:val="1A1A1A"/>
        </w:rPr>
        <w:t xml:space="preserve">Each agent maps to a role you would find on a human content team. The table below lists them in pipeline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5710"/>
      </w:tblGrid>
      <w:tr>
        <w:trPr>
          <w:tblHeader/>
        </w:trPr>
        <w:tc>
          <w:tcPr>
            <w:tcW w:type="dxa" w:w="1500"/>
            <w:tcBorders>
              <w:top w:val="single" w:color="D9D9D9" w:sz="2"/>
              <w:left w:val="single" w:color="D9D9D9" w:sz="2"/>
              <w:bottom w:val="single" w:color="D9D9D9" w:sz="2"/>
              <w:right w:val="single" w:color="D9D9D9" w:sz="2"/>
            </w:tcBorders>
            <w:shd w:fill="FF4500" w:val="clear"/>
            <w:tcMar>
              <w:top w:type="dxa" w:w="90"/>
              <w:left w:type="dxa" w:w="130"/>
              <w:bottom w:type="dxa" w:w="90"/>
              <w:right w:type="dxa" w:w="130"/>
            </w:tcMar>
            <w:vAlign w:val="center"/>
          </w:tcPr>
          <w:p>
            <w:pPr>
              <w:spacing w:line="270"/>
            </w:pPr>
            <w:r>
              <w:rPr>
                <w:b/>
                <w:bCs/>
                <w:color w:val="FFFFFF"/>
                <w:sz w:val="20"/>
                <w:szCs w:val="20"/>
              </w:rPr>
              <w:t xml:space="preserve">Stage</w:t>
            </w:r>
          </w:p>
        </w:tc>
        <w:tc>
          <w:tcPr>
            <w:tcW w:type="dxa" w:w="2150"/>
            <w:tcBorders>
              <w:top w:val="single" w:color="D9D9D9" w:sz="2"/>
              <w:left w:val="single" w:color="D9D9D9" w:sz="2"/>
              <w:bottom w:val="single" w:color="D9D9D9" w:sz="2"/>
              <w:right w:val="single" w:color="D9D9D9" w:sz="2"/>
            </w:tcBorders>
            <w:shd w:fill="FF4500" w:val="clear"/>
            <w:tcMar>
              <w:top w:type="dxa" w:w="90"/>
              <w:left w:type="dxa" w:w="130"/>
              <w:bottom w:type="dxa" w:w="90"/>
              <w:right w:type="dxa" w:w="130"/>
            </w:tcMar>
            <w:vAlign w:val="center"/>
          </w:tcPr>
          <w:p>
            <w:pPr>
              <w:spacing w:line="270"/>
            </w:pPr>
            <w:r>
              <w:rPr>
                <w:b/>
                <w:bCs/>
                <w:color w:val="FFFFFF"/>
                <w:sz w:val="20"/>
                <w:szCs w:val="20"/>
              </w:rPr>
              <w:t xml:space="preserve">Agent</w:t>
            </w:r>
          </w:p>
        </w:tc>
        <w:tc>
          <w:tcPr>
            <w:tcW w:type="dxa" w:w="5710"/>
            <w:tcBorders>
              <w:top w:val="single" w:color="D9D9D9" w:sz="2"/>
              <w:left w:val="single" w:color="D9D9D9" w:sz="2"/>
              <w:bottom w:val="single" w:color="D9D9D9" w:sz="2"/>
              <w:right w:val="single" w:color="D9D9D9" w:sz="2"/>
            </w:tcBorders>
            <w:shd w:fill="FF4500" w:val="clear"/>
            <w:tcMar>
              <w:top w:type="dxa" w:w="90"/>
              <w:left w:type="dxa" w:w="130"/>
              <w:bottom w:type="dxa" w:w="90"/>
              <w:right w:type="dxa" w:w="130"/>
            </w:tcMar>
            <w:vAlign w:val="center"/>
          </w:tcPr>
          <w:p>
            <w:pPr>
              <w:spacing w:line="270"/>
            </w:pPr>
            <w:r>
              <w:rPr>
                <w:b/>
                <w:bCs/>
                <w:color w:val="FFFFFF"/>
                <w:sz w:val="20"/>
                <w:szCs w:val="20"/>
              </w:rPr>
              <w:t xml:space="preserve">What it does and why it helps</w:t>
            </w:r>
          </w:p>
        </w:tc>
      </w:tr>
      <w:tr>
        <w:tc>
          <w:tcPr>
            <w:tcW w:type="dxa" w:w="1500"/>
            <w:tcBorders>
              <w:top w:val="single" w:color="D9D9D9" w:sz="2"/>
              <w:left w:val="single" w:color="D9D9D9" w:sz="2"/>
              <w:bottom w:val="single" w:color="D9D9D9" w:sz="2"/>
              <w:right w:val="single" w:color="D9D9D9" w:sz="2"/>
            </w:tcBorders>
            <w:shd w:fill="FFF3EE" w:val="clear"/>
            <w:tcMar>
              <w:top w:type="dxa" w:w="90"/>
              <w:left w:type="dxa" w:w="130"/>
              <w:bottom w:type="dxa" w:w="90"/>
              <w:right w:type="dxa" w:w="130"/>
            </w:tcMar>
            <w:vAlign w:val="center"/>
          </w:tcPr>
          <w:p>
            <w:pPr>
              <w:spacing w:line="270"/>
            </w:pPr>
            <w:r>
              <w:rPr>
                <w:b/>
                <w:bCs/>
                <w:color w:val="FF4500"/>
                <w:sz w:val="20"/>
                <w:szCs w:val="20"/>
              </w:rPr>
              <w:t xml:space="preserve">1</w:t>
            </w:r>
          </w:p>
        </w:tc>
        <w:tc>
          <w:tcPr>
            <w:tcW w:type="dxa" w:w="215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bCs/>
                <w:color w:val="1A1A1A"/>
                <w:sz w:val="20"/>
                <w:szCs w:val="20"/>
              </w:rPr>
              <w:t xml:space="preserve">Brief Refiner</w:t>
            </w:r>
          </w:p>
        </w:tc>
        <w:tc>
          <w:tcPr>
            <w:tcW w:type="dxa" w:w="571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Rewrites the user’s raw one-line brief into a structured strategic brief — audience, goal, tone and angle made explicit. Removes ambiguity so no downstream agent has to guess.</w:t>
            </w:r>
          </w:p>
        </w:tc>
      </w:tr>
      <w:tr>
        <w:tc>
          <w:tcPr>
            <w:tcW w:type="dxa" w:w="1500"/>
            <w:tcBorders>
              <w:top w:val="single" w:color="D9D9D9" w:sz="2"/>
              <w:left w:val="single" w:color="D9D9D9" w:sz="2"/>
              <w:bottom w:val="single" w:color="D9D9D9" w:sz="2"/>
              <w:right w:val="single" w:color="D9D9D9" w:sz="2"/>
            </w:tcBorders>
            <w:shd w:fill="FFF3EE" w:val="clear"/>
            <w:tcMar>
              <w:top w:type="dxa" w:w="90"/>
              <w:left w:type="dxa" w:w="130"/>
              <w:bottom w:type="dxa" w:w="90"/>
              <w:right w:type="dxa" w:w="130"/>
            </w:tcMar>
            <w:vAlign w:val="center"/>
          </w:tcPr>
          <w:p>
            <w:pPr>
              <w:spacing w:line="270"/>
            </w:pPr>
            <w:r>
              <w:rPr>
                <w:b/>
                <w:bCs/>
                <w:color w:val="FF4500"/>
                <w:sz w:val="20"/>
                <w:szCs w:val="20"/>
              </w:rPr>
              <w:t xml:space="preserve">2</w:t>
            </w:r>
          </w:p>
        </w:tc>
        <w:tc>
          <w:tcPr>
            <w:tcW w:type="dxa" w:w="215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bCs/>
                <w:color w:val="1A1A1A"/>
                <w:sz w:val="20"/>
                <w:szCs w:val="20"/>
              </w:rPr>
              <w:t xml:space="preserve">Research Analyst</w:t>
            </w:r>
          </w:p>
        </w:tc>
        <w:tc>
          <w:tcPr>
            <w:tcW w:type="dxa" w:w="571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Sharpens the strategy into exactly three testable angles and produces a “do-not-claim” list of facts the writer must never invent. This is the pipeline’s anti-hallucination guardrail.</w:t>
            </w:r>
          </w:p>
        </w:tc>
      </w:tr>
      <w:tr>
        <w:tc>
          <w:tcPr>
            <w:tcW w:type="dxa" w:w="1500"/>
            <w:tcBorders>
              <w:top w:val="single" w:color="D9D9D9" w:sz="2"/>
              <w:left w:val="single" w:color="D9D9D9" w:sz="2"/>
              <w:bottom w:val="single" w:color="D9D9D9" w:sz="2"/>
              <w:right w:val="single" w:color="D9D9D9" w:sz="2"/>
            </w:tcBorders>
            <w:shd w:fill="FFF3EE" w:val="clear"/>
            <w:tcMar>
              <w:top w:type="dxa" w:w="90"/>
              <w:left w:type="dxa" w:w="130"/>
              <w:bottom w:type="dxa" w:w="90"/>
              <w:right w:type="dxa" w:w="130"/>
            </w:tcMar>
            <w:vAlign w:val="center"/>
          </w:tcPr>
          <w:p>
            <w:pPr>
              <w:spacing w:line="270"/>
            </w:pPr>
            <w:r>
              <w:rPr>
                <w:b/>
                <w:bCs/>
                <w:color w:val="FF4500"/>
                <w:sz w:val="20"/>
                <w:szCs w:val="20"/>
              </w:rPr>
              <w:t xml:space="preserve">3</w:t>
            </w:r>
          </w:p>
        </w:tc>
        <w:tc>
          <w:tcPr>
            <w:tcW w:type="dxa" w:w="215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bCs/>
                <w:color w:val="1A1A1A"/>
                <w:sz w:val="20"/>
                <w:szCs w:val="20"/>
              </w:rPr>
              <w:t xml:space="preserve">Content Copywriter</w:t>
            </w:r>
          </w:p>
        </w:tc>
        <w:tc>
          <w:tcPr>
            <w:tcW w:type="dxa" w:w="571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Classifies the company, then writes three mode-aware copy variants for each platform — long-form for LinkedIn, punchy for X, conversational for Facebook, hashtag-led for Instagram.</w:t>
            </w:r>
          </w:p>
        </w:tc>
      </w:tr>
      <w:tr>
        <w:tc>
          <w:tcPr>
            <w:tcW w:type="dxa" w:w="1500"/>
            <w:tcBorders>
              <w:top w:val="single" w:color="D9D9D9" w:sz="2"/>
              <w:left w:val="single" w:color="D9D9D9" w:sz="2"/>
              <w:bottom w:val="single" w:color="D9D9D9" w:sz="2"/>
              <w:right w:val="single" w:color="D9D9D9" w:sz="2"/>
            </w:tcBorders>
            <w:shd w:fill="FFF3EE" w:val="clear"/>
            <w:tcMar>
              <w:top w:type="dxa" w:w="90"/>
              <w:left w:type="dxa" w:w="130"/>
              <w:bottom w:type="dxa" w:w="90"/>
              <w:right w:type="dxa" w:w="130"/>
            </w:tcMar>
            <w:vAlign w:val="center"/>
          </w:tcPr>
          <w:p>
            <w:pPr>
              <w:spacing w:line="270"/>
            </w:pPr>
            <w:r>
              <w:rPr>
                <w:b/>
                <w:bCs/>
                <w:color w:val="FF4500"/>
                <w:sz w:val="20"/>
                <w:szCs w:val="20"/>
              </w:rPr>
              <w:t xml:space="preserve">4</w:t>
            </w:r>
          </w:p>
        </w:tc>
        <w:tc>
          <w:tcPr>
            <w:tcW w:type="dxa" w:w="215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bCs/>
                <w:color w:val="1A1A1A"/>
                <w:sz w:val="20"/>
                <w:szCs w:val="20"/>
              </w:rPr>
              <w:t xml:space="preserve">Visualist</w:t>
            </w:r>
          </w:p>
        </w:tc>
        <w:tc>
          <w:tcPr>
            <w:tcW w:type="dxa" w:w="571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Designs the post’s image: it writes the AI image-generation prompt plus the on-image overlay copy, anchored to the brand’s colours and logo.</w:t>
            </w:r>
          </w:p>
        </w:tc>
      </w:tr>
      <w:tr>
        <w:tc>
          <w:tcPr>
            <w:tcW w:type="dxa" w:w="1500"/>
            <w:tcBorders>
              <w:top w:val="single" w:color="D9D9D9" w:sz="2"/>
              <w:left w:val="single" w:color="D9D9D9" w:sz="2"/>
              <w:bottom w:val="single" w:color="D9D9D9" w:sz="2"/>
              <w:right w:val="single" w:color="D9D9D9" w:sz="2"/>
            </w:tcBorders>
            <w:shd w:fill="FFF3EE" w:val="clear"/>
            <w:tcMar>
              <w:top w:type="dxa" w:w="90"/>
              <w:left w:type="dxa" w:w="130"/>
              <w:bottom w:type="dxa" w:w="90"/>
              <w:right w:type="dxa" w:w="130"/>
            </w:tcMar>
            <w:vAlign w:val="center"/>
          </w:tcPr>
          <w:p>
            <w:pPr>
              <w:spacing w:line="270"/>
            </w:pPr>
            <w:r>
              <w:rPr>
                <w:b/>
                <w:bCs/>
                <w:color w:val="FF4500"/>
                <w:sz w:val="20"/>
                <w:szCs w:val="20"/>
              </w:rPr>
              <w:t xml:space="preserve">5</w:t>
            </w:r>
          </w:p>
        </w:tc>
        <w:tc>
          <w:tcPr>
            <w:tcW w:type="dxa" w:w="215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bCs/>
                <w:color w:val="1A1A1A"/>
                <w:sz w:val="20"/>
                <w:szCs w:val="20"/>
              </w:rPr>
              <w:t xml:space="preserve">Visual Critic</w:t>
            </w:r>
          </w:p>
        </w:tc>
        <w:tc>
          <w:tcPr>
            <w:tcW w:type="dxa" w:w="571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Audits every raw AI-generated background for quality before any text overlay. A failed audit triggers automatic regeneration — a quality gate so broken images never reach the user.</w:t>
            </w:r>
          </w:p>
        </w:tc>
      </w:tr>
      <w:tr>
        <w:tc>
          <w:tcPr>
            <w:tcW w:type="dxa" w:w="1500"/>
            <w:tcBorders>
              <w:top w:val="single" w:color="D9D9D9" w:sz="2"/>
              <w:left w:val="single" w:color="D9D9D9" w:sz="2"/>
              <w:bottom w:val="single" w:color="D9D9D9" w:sz="2"/>
              <w:right w:val="single" w:color="D9D9D9" w:sz="2"/>
            </w:tcBorders>
            <w:shd w:fill="FFF3EE" w:val="clear"/>
            <w:tcMar>
              <w:top w:type="dxa" w:w="90"/>
              <w:left w:type="dxa" w:w="130"/>
              <w:bottom w:type="dxa" w:w="90"/>
              <w:right w:type="dxa" w:w="130"/>
            </w:tcMar>
            <w:vAlign w:val="center"/>
          </w:tcPr>
          <w:p>
            <w:pPr>
              <w:spacing w:line="270"/>
            </w:pPr>
            <w:r>
              <w:rPr>
                <w:b/>
                <w:bCs/>
                <w:color w:val="FF4500"/>
                <w:sz w:val="20"/>
                <w:szCs w:val="20"/>
              </w:rPr>
              <w:t xml:space="preserve">6</w:t>
            </w:r>
          </w:p>
        </w:tc>
        <w:tc>
          <w:tcPr>
            <w:tcW w:type="dxa" w:w="215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bCs/>
                <w:color w:val="1A1A1A"/>
                <w:sz w:val="20"/>
                <w:szCs w:val="20"/>
              </w:rPr>
              <w:t xml:space="preserve">Strategic Critic</w:t>
            </w:r>
          </w:p>
        </w:tc>
        <w:tc>
          <w:tcPr>
            <w:tcW w:type="dxa" w:w="571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Reviews the finished payload — copy and visuals together — for “growth fitness”. A final editorial pass before anything is shown.</w:t>
            </w:r>
          </w:p>
        </w:tc>
      </w:tr>
      <w:tr>
        <w:tc>
          <w:tcPr>
            <w:tcW w:type="dxa" w:w="1500"/>
            <w:tcBorders>
              <w:top w:val="single" w:color="D9D9D9" w:sz="2"/>
              <w:left w:val="single" w:color="D9D9D9" w:sz="2"/>
              <w:bottom w:val="single" w:color="D9D9D9" w:sz="2"/>
              <w:right w:val="single" w:color="D9D9D9" w:sz="2"/>
            </w:tcBorders>
            <w:shd w:fill="FFF3EE" w:val="clear"/>
            <w:tcMar>
              <w:top w:type="dxa" w:w="90"/>
              <w:left w:type="dxa" w:w="130"/>
              <w:bottom w:type="dxa" w:w="90"/>
              <w:right w:type="dxa" w:w="130"/>
            </w:tcMar>
            <w:vAlign w:val="center"/>
          </w:tcPr>
          <w:p>
            <w:pPr>
              <w:spacing w:line="270"/>
            </w:pPr>
            <w:r>
              <w:rPr>
                <w:b/>
                <w:bCs/>
                <w:color w:val="FF4500"/>
                <w:sz w:val="20"/>
                <w:szCs w:val="20"/>
              </w:rPr>
              <w:t xml:space="preserve">7</w:t>
            </w:r>
          </w:p>
        </w:tc>
        <w:tc>
          <w:tcPr>
            <w:tcW w:type="dxa" w:w="215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bCs/>
                <w:color w:val="1A1A1A"/>
                <w:sz w:val="20"/>
                <w:szCs w:val="20"/>
              </w:rPr>
              <w:t xml:space="preserve">Campaign Planner</w:t>
            </w:r>
          </w:p>
        </w:tc>
        <w:tc>
          <w:tcPr>
            <w:tcW w:type="dxa" w:w="571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Expands a single brief into a multi-day, multi-platform content calendar — turning one idea into a whole week of scheduled posts.</w:t>
            </w:r>
          </w:p>
        </w:tc>
      </w:tr>
    </w:tbl>
    <w:p>
      <w:pPr>
        <w:spacing w:after="60"/>
      </w:pPr>
      <w:r>
        <w:t xml:space="preserve"/>
      </w:r>
    </w:p>
    <w:p>
      <w:pPr>
        <w:pStyle w:val="Heading2"/>
      </w:pPr>
      <w:r>
        <w:t xml:space="preserve">4.4  Self-correcting loops</w:t>
      </w:r>
    </w:p>
    <w:p>
      <w:pPr>
        <w:spacing w:after="140" w:line="300"/>
      </w:pPr>
      <w:r>
        <w:rPr>
          <w:i w:val="false"/>
          <w:iCs w:val="false"/>
          <w:color w:val="1A1A1A"/>
        </w:rPr>
        <w:t xml:space="preserve">The agents are not just a straight line. The Visual Critic forms a feedback loop with the image generator: when it judges a generated background to be poor, that image is regenerated rather than shipped. This is what lets the system run with little human supervision — quality is enforced by an agent, not by a person reviewing every output.</w:t>
      </w:r>
    </w:p>
    <w:p>
      <w:pPr>
        <w:pStyle w:val="Heading1"/>
      </w:pPr>
      <w:r>
        <w:t xml:space="preserve">5.  Business DNA — the Context Every Agent Shares</w:t>
      </w:r>
    </w:p>
    <w:p>
      <w:pPr>
        <w:spacing w:after="140" w:line="300"/>
      </w:pPr>
      <w:r>
        <w:rPr>
          <w:i w:val="false"/>
          <w:iCs w:val="false"/>
          <w:color w:val="1A1A1A"/>
        </w:rPr>
        <w:t xml:space="preserve">On its own, a pipeline of agents would still produce generic work. What makes Pipelyt’s output stay on-brand is a shared context layer called Business DNA.</w:t>
      </w:r>
    </w:p>
    <w:p>
      <w:pPr>
        <w:spacing w:after="140" w:line="300"/>
      </w:pPr>
      <w:r>
        <w:rPr>
          <w:b w:val="false"/>
          <w:bCs w:val="false"/>
          <w:i w:val="false"/>
          <w:iCs w:val="false"/>
          <w:color w:val="1A1A1A"/>
        </w:rPr>
        <w:t xml:space="preserve">When a user joins, the </w:t>
      </w:r>
      <w:r>
        <w:rPr>
          <w:b/>
          <w:bCs/>
          <w:i w:val="false"/>
          <w:iCs w:val="false"/>
          <w:color w:val="1A1A1A"/>
        </w:rPr>
        <w:t xml:space="preserve">business_dna_service</w:t>
      </w:r>
      <w:r>
        <w:rPr>
          <w:b w:val="false"/>
          <w:bCs w:val="false"/>
          <w:i w:val="false"/>
          <w:iCs w:val="false"/>
          <w:color w:val="1A1A1A"/>
        </w:rPr>
        <w:t xml:space="preserve"> scrapes their website — using Jina AI Reader and Microlink — and derives a structured brand profile: logo, brand colours, keywords, tone of voice, mission and target audience. A helper, </w:t>
      </w:r>
      <w:r>
        <w:rPr>
          <w:b/>
          <w:bCs/>
          <w:i w:val="false"/>
          <w:iCs w:val="false"/>
          <w:color w:val="1A1A1A"/>
        </w:rPr>
        <w:t xml:space="preserve">_build_user_context()</w:t>
      </w:r>
      <w:r>
        <w:rPr>
          <w:b w:val="false"/>
          <w:bCs w:val="false"/>
          <w:i w:val="false"/>
          <w:iCs w:val="false"/>
          <w:color w:val="1A1A1A"/>
        </w:rPr>
        <w:t xml:space="preserve">, compresses that profile into a short context string.</w:t>
      </w:r>
    </w:p>
    <w:p>
      <w:pPr>
        <w:spacing w:after="140" w:line="300"/>
      </w:pPr>
      <w:r>
        <w:rPr>
          <w:i w:val="false"/>
          <w:iCs w:val="false"/>
          <w:color w:val="1A1A1A"/>
        </w:rPr>
        <w:t xml:space="preserve">That same context string is handed to every agent in the pipeline — the Refiner, the Researcher, the Copywriter and the Visualist all reason against the identical brand grounding. This is the reason generated posts sound like the brand and generated images use the brand’s real colours and logo, without the user having to specify any of it each time.</w:t>
      </w:r>
    </w:p>
    <w:p>
      <w:pPr>
        <w:pStyle w:val="Heading1"/>
      </w:pPr>
      <w:r>
        <w:t xml:space="preserve">6.  Beyond Generation — the Rest of the Platform</w:t>
      </w:r>
    </w:p>
    <w:p>
      <w:pPr>
        <w:spacing w:after="140" w:line="300"/>
      </w:pPr>
      <w:r>
        <w:rPr>
          <w:i w:val="false"/>
          <w:iCs w:val="false"/>
          <w:color w:val="1A1A1A"/>
        </w:rPr>
        <w:t xml:space="preserve">The agents create content; the surrounding services make it a complete product.</w:t>
      </w:r>
    </w:p>
    <w:p>
      <w:pPr>
        <w:pStyle w:val="ListParagraph"/>
        <w:numPr>
          <w:ilvl w:val="0"/>
          <w:numId w:val="2"/>
        </w:numPr>
        <w:spacing w:after="80" w:line="290"/>
      </w:pPr>
      <w:r>
        <w:rPr>
          <w:b/>
          <w:bCs/>
          <w:color w:val="1A1A1A"/>
        </w:rPr>
        <w:t xml:space="preserve">Publishing &amp; scheduling</w:t>
      </w:r>
      <w:r>
        <w:rPr>
          <w:color w:val="1A1A1A"/>
        </w:rPr>
        <w:t xml:space="preserve"> — OAuth connections to each network and a publishing layer that posts text, images, video and PDF carousels. An AWS EventBridge heartbeat fires every minute and auto-publishes scheduled posts at the exact time, in the user’s timezone.</w:t>
      </w:r>
    </w:p>
    <w:p>
      <w:pPr>
        <w:pStyle w:val="ListParagraph"/>
        <w:numPr>
          <w:ilvl w:val="0"/>
          <w:numId w:val="2"/>
        </w:numPr>
        <w:spacing w:after="80" w:line="290"/>
      </w:pPr>
      <w:r>
        <w:rPr>
          <w:b/>
          <w:bCs/>
          <w:color w:val="1A1A1A"/>
        </w:rPr>
        <w:t xml:space="preserve">Analytics</w:t>
      </w:r>
      <w:r>
        <w:rPr>
          <w:color w:val="1A1A1A"/>
        </w:rPr>
        <w:t xml:space="preserve"> — periodic metric syncs from each platform feed dashboards for followers, engagement, reach and per-platform performance.</w:t>
      </w:r>
    </w:p>
    <w:p>
      <w:pPr>
        <w:pStyle w:val="ListParagraph"/>
        <w:numPr>
          <w:ilvl w:val="0"/>
          <w:numId w:val="2"/>
        </w:numPr>
        <w:spacing w:after="80" w:line="290"/>
      </w:pPr>
      <w:r>
        <w:rPr>
          <w:b/>
          <w:bCs/>
          <w:color w:val="1A1A1A"/>
        </w:rPr>
        <w:t xml:space="preserve">Reputation intelligence</w:t>
      </w:r>
      <w:r>
        <w:rPr>
          <w:color w:val="1A1A1A"/>
        </w:rPr>
        <w:t xml:space="preserve"> — the platform reads post comments, classifies sentiment with a Semantic Score, and drafts on-brand replies that can be sent in bulk or one at a time.</w:t>
      </w:r>
    </w:p>
    <w:p>
      <w:pPr>
        <w:pStyle w:val="ListParagraph"/>
        <w:numPr>
          <w:ilvl w:val="0"/>
          <w:numId w:val="2"/>
        </w:numPr>
        <w:spacing w:after="80" w:line="290"/>
      </w:pPr>
      <w:r>
        <w:rPr>
          <w:b/>
          <w:bCs/>
          <w:color w:val="1A1A1A"/>
        </w:rPr>
        <w:t xml:space="preserve">Team workspace</w:t>
      </w:r>
      <w:r>
        <w:rPr>
          <w:color w:val="1A1A1A"/>
        </w:rPr>
        <w:t xml:space="preserve"> — a multi-tenant team workspace with a separate Business DNA per brand, role-based permissions and per-member content scoping for agencies.</w:t>
      </w:r>
    </w:p>
    <w:p>
      <w:pPr>
        <w:pStyle w:val="Heading1"/>
      </w:pPr>
      <w:r>
        <w:t xml:space="preserve">7.  How the Project Is Organized</w:t>
      </w:r>
    </w:p>
    <w:p>
      <w:pPr>
        <w:spacing w:after="140" w:line="300"/>
      </w:pPr>
      <w:r>
        <w:rPr>
          <w:i w:val="false"/>
          <w:iCs w:val="false"/>
          <w:color w:val="1A1A1A"/>
        </w:rPr>
        <w:t xml:space="preserve">The repository is structured so that responsibilities are obvious and isolated. The main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9D9" w:sz="2"/>
              <w:left w:val="single" w:color="D9D9D9" w:sz="2"/>
              <w:bottom w:val="single" w:color="D9D9D9" w:sz="2"/>
              <w:right w:val="single" w:color="D9D9D9" w:sz="2"/>
            </w:tcBorders>
            <w:shd w:fill="FF4500" w:val="clear"/>
            <w:tcMar>
              <w:top w:type="dxa" w:w="90"/>
              <w:left w:type="dxa" w:w="130"/>
              <w:bottom w:type="dxa" w:w="90"/>
              <w:right w:type="dxa" w:w="130"/>
            </w:tcMar>
            <w:vAlign w:val="center"/>
          </w:tcPr>
          <w:p>
            <w:pPr>
              <w:spacing w:line="270"/>
            </w:pPr>
            <w:r>
              <w:rPr>
                <w:b/>
                <w:bCs/>
                <w:color w:val="FFFFFF"/>
                <w:sz w:val="20"/>
                <w:szCs w:val="20"/>
              </w:rPr>
              <w:t xml:space="preserve">Location</w:t>
            </w:r>
          </w:p>
        </w:tc>
        <w:tc>
          <w:tcPr>
            <w:tcW w:type="dxa" w:w="6760"/>
            <w:tcBorders>
              <w:top w:val="single" w:color="D9D9D9" w:sz="2"/>
              <w:left w:val="single" w:color="D9D9D9" w:sz="2"/>
              <w:bottom w:val="single" w:color="D9D9D9" w:sz="2"/>
              <w:right w:val="single" w:color="D9D9D9" w:sz="2"/>
            </w:tcBorders>
            <w:shd w:fill="FF4500" w:val="clear"/>
            <w:tcMar>
              <w:top w:type="dxa" w:w="90"/>
              <w:left w:type="dxa" w:w="130"/>
              <w:bottom w:type="dxa" w:w="90"/>
              <w:right w:type="dxa" w:w="130"/>
            </w:tcMar>
            <w:vAlign w:val="center"/>
          </w:tcPr>
          <w:p>
            <w:pPr>
              <w:spacing w:line="270"/>
            </w:pPr>
            <w:r>
              <w:rPr>
                <w:b/>
                <w:bCs/>
                <w:color w:val="FFFFFF"/>
                <w:sz w:val="20"/>
                <w:szCs w:val="20"/>
              </w:rPr>
              <w:t xml:space="preserve">Responsibility</w:t>
            </w:r>
          </w:p>
        </w:tc>
      </w:tr>
      <w:tr>
        <w:tc>
          <w:tcPr>
            <w:tcW w:type="dxa" w:w="2600"/>
            <w:tcBorders>
              <w:top w:val="single" w:color="D9D9D9" w:sz="2"/>
              <w:left w:val="single" w:color="D9D9D9" w:sz="2"/>
              <w:bottom w:val="single" w:color="D9D9D9" w:sz="2"/>
              <w:right w:val="single" w:color="D9D9D9" w:sz="2"/>
            </w:tcBorders>
            <w:shd w:fill="F4F4F4" w:val="clear"/>
            <w:tcMar>
              <w:top w:type="dxa" w:w="90"/>
              <w:left w:type="dxa" w:w="130"/>
              <w:bottom w:type="dxa" w:w="90"/>
              <w:right w:type="dxa" w:w="130"/>
            </w:tcMar>
            <w:vAlign w:val="center"/>
          </w:tcPr>
          <w:p>
            <w:pPr>
              <w:spacing w:line="270"/>
            </w:pPr>
            <w:r>
              <w:rPr>
                <w:rFonts w:ascii="Consolas" w:cs="Consolas" w:eastAsia="Consolas" w:hAnsi="Consolas"/>
                <w:b/>
                <w:bCs/>
                <w:color w:val="1A1A1A"/>
                <w:sz w:val="19"/>
                <w:szCs w:val="19"/>
              </w:rPr>
              <w:t xml:space="preserve">apps/backend</w:t>
            </w:r>
          </w:p>
        </w:tc>
        <w:tc>
          <w:tcPr>
            <w:tcW w:type="dxa" w:w="676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FastAPI service (Python + SQLAlchemy + PostgreSQL). Hosts the entire agentic engine. Deploys to AWS Lambda via the Mangum adapter.</w:t>
            </w:r>
          </w:p>
        </w:tc>
      </w:tr>
      <w:tr>
        <w:tc>
          <w:tcPr>
            <w:tcW w:type="dxa" w:w="2600"/>
            <w:tcBorders>
              <w:top w:val="single" w:color="D9D9D9" w:sz="2"/>
              <w:left w:val="single" w:color="D9D9D9" w:sz="2"/>
              <w:bottom w:val="single" w:color="D9D9D9" w:sz="2"/>
              <w:right w:val="single" w:color="D9D9D9" w:sz="2"/>
            </w:tcBorders>
            <w:shd w:fill="F4F4F4" w:val="clear"/>
            <w:tcMar>
              <w:top w:type="dxa" w:w="90"/>
              <w:left w:type="dxa" w:w="130"/>
              <w:bottom w:type="dxa" w:w="90"/>
              <w:right w:type="dxa" w:w="130"/>
            </w:tcMar>
            <w:vAlign w:val="center"/>
          </w:tcPr>
          <w:p>
            <w:pPr>
              <w:spacing w:line="270"/>
            </w:pPr>
            <w:r>
              <w:rPr>
                <w:rFonts w:ascii="Consolas" w:cs="Consolas" w:eastAsia="Consolas" w:hAnsi="Consolas"/>
                <w:b/>
                <w:bCs/>
                <w:color w:val="1A1A1A"/>
                <w:sz w:val="19"/>
                <w:szCs w:val="19"/>
              </w:rPr>
              <w:t xml:space="preserve">apps/product-page</w:t>
            </w:r>
          </w:p>
        </w:tc>
        <w:tc>
          <w:tcPr>
            <w:tcW w:type="dxa" w:w="676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The authenticated dashboard (React 18) — Dashboard, Calendar, Drafts, Published, Scheduled, Analytics, Reputation, Connections, Profile.</w:t>
            </w:r>
          </w:p>
        </w:tc>
      </w:tr>
      <w:tr>
        <w:tc>
          <w:tcPr>
            <w:tcW w:type="dxa" w:w="2600"/>
            <w:tcBorders>
              <w:top w:val="single" w:color="D9D9D9" w:sz="2"/>
              <w:left w:val="single" w:color="D9D9D9" w:sz="2"/>
              <w:bottom w:val="single" w:color="D9D9D9" w:sz="2"/>
              <w:right w:val="single" w:color="D9D9D9" w:sz="2"/>
            </w:tcBorders>
            <w:shd w:fill="F4F4F4" w:val="clear"/>
            <w:tcMar>
              <w:top w:type="dxa" w:w="90"/>
              <w:left w:type="dxa" w:w="130"/>
              <w:bottom w:type="dxa" w:w="90"/>
              <w:right w:type="dxa" w:w="130"/>
            </w:tcMar>
            <w:vAlign w:val="center"/>
          </w:tcPr>
          <w:p>
            <w:pPr>
              <w:spacing w:line="270"/>
            </w:pPr>
            <w:r>
              <w:rPr>
                <w:rFonts w:ascii="Consolas" w:cs="Consolas" w:eastAsia="Consolas" w:hAnsi="Consolas"/>
                <w:b/>
                <w:bCs/>
                <w:color w:val="1A1A1A"/>
                <w:sz w:val="19"/>
                <w:szCs w:val="19"/>
              </w:rPr>
              <w:t xml:space="preserve">apps/landing-page</w:t>
            </w:r>
          </w:p>
        </w:tc>
        <w:tc>
          <w:tcPr>
            <w:tcW w:type="dxa" w:w="676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Marketing site and sign-up / authentication screens (React 19).</w:t>
            </w:r>
          </w:p>
        </w:tc>
      </w:tr>
      <w:tr>
        <w:tc>
          <w:tcPr>
            <w:tcW w:type="dxa" w:w="2600"/>
            <w:tcBorders>
              <w:top w:val="single" w:color="D9D9D9" w:sz="2"/>
              <w:left w:val="single" w:color="D9D9D9" w:sz="2"/>
              <w:bottom w:val="single" w:color="D9D9D9" w:sz="2"/>
              <w:right w:val="single" w:color="D9D9D9" w:sz="2"/>
            </w:tcBorders>
            <w:shd w:fill="F4F4F4" w:val="clear"/>
            <w:tcMar>
              <w:top w:type="dxa" w:w="90"/>
              <w:left w:type="dxa" w:w="130"/>
              <w:bottom w:type="dxa" w:w="90"/>
              <w:right w:type="dxa" w:w="130"/>
            </w:tcMar>
            <w:vAlign w:val="center"/>
          </w:tcPr>
          <w:p>
            <w:pPr>
              <w:spacing w:line="270"/>
            </w:pPr>
            <w:r>
              <w:rPr>
                <w:rFonts w:ascii="Consolas" w:cs="Consolas" w:eastAsia="Consolas" w:hAnsi="Consolas"/>
                <w:b/>
                <w:bCs/>
                <w:color w:val="1A1A1A"/>
                <w:sz w:val="19"/>
                <w:szCs w:val="19"/>
              </w:rPr>
              <w:t xml:space="preserve">backend/services/</w:t>
            </w:r>
          </w:p>
        </w:tc>
        <w:tc>
          <w:tcPr>
            <w:tcW w:type="dxa" w:w="676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One module per concern — ai_service.py (the agents), business_dna_service.py, social_service.py, email_service.py, s3_service.py. Routers stay thin; logic lives here.</w:t>
            </w:r>
          </w:p>
        </w:tc>
      </w:tr>
      <w:tr>
        <w:tc>
          <w:tcPr>
            <w:tcW w:type="dxa" w:w="2600"/>
            <w:tcBorders>
              <w:top w:val="single" w:color="D9D9D9" w:sz="2"/>
              <w:left w:val="single" w:color="D9D9D9" w:sz="2"/>
              <w:bottom w:val="single" w:color="D9D9D9" w:sz="2"/>
              <w:right w:val="single" w:color="D9D9D9" w:sz="2"/>
            </w:tcBorders>
            <w:shd w:fill="F4F4F4" w:val="clear"/>
            <w:tcMar>
              <w:top w:type="dxa" w:w="90"/>
              <w:left w:type="dxa" w:w="130"/>
              <w:bottom w:type="dxa" w:w="90"/>
              <w:right w:type="dxa" w:w="130"/>
            </w:tcMar>
            <w:vAlign w:val="center"/>
          </w:tcPr>
          <w:p>
            <w:pPr>
              <w:spacing w:line="270"/>
            </w:pPr>
            <w:r>
              <w:rPr>
                <w:rFonts w:ascii="Consolas" w:cs="Consolas" w:eastAsia="Consolas" w:hAnsi="Consolas"/>
                <w:b/>
                <w:bCs/>
                <w:color w:val="1A1A1A"/>
                <w:sz w:val="19"/>
                <w:szCs w:val="19"/>
              </w:rPr>
              <w:t xml:space="preserve">backend/routers/</w:t>
            </w:r>
          </w:p>
        </w:tc>
        <w:tc>
          <w:tcPr>
            <w:tcW w:type="dxa" w:w="676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HTTP endpoints grouped by area — auth, social, content, drafts, analytics, payment, profile.</w:t>
            </w:r>
          </w:p>
        </w:tc>
      </w:tr>
      <w:tr>
        <w:tc>
          <w:tcPr>
            <w:tcW w:type="dxa" w:w="2600"/>
            <w:tcBorders>
              <w:top w:val="single" w:color="D9D9D9" w:sz="2"/>
              <w:left w:val="single" w:color="D9D9D9" w:sz="2"/>
              <w:bottom w:val="single" w:color="D9D9D9" w:sz="2"/>
              <w:right w:val="single" w:color="D9D9D9" w:sz="2"/>
            </w:tcBorders>
            <w:shd w:fill="F4F4F4" w:val="clear"/>
            <w:tcMar>
              <w:top w:type="dxa" w:w="90"/>
              <w:left w:type="dxa" w:w="130"/>
              <w:bottom w:type="dxa" w:w="90"/>
              <w:right w:type="dxa" w:w="130"/>
            </w:tcMar>
            <w:vAlign w:val="center"/>
          </w:tcPr>
          <w:p>
            <w:pPr>
              <w:spacing w:line="270"/>
            </w:pPr>
            <w:r>
              <w:rPr>
                <w:rFonts w:ascii="Consolas" w:cs="Consolas" w:eastAsia="Consolas" w:hAnsi="Consolas"/>
                <w:b/>
                <w:bCs/>
                <w:color w:val="1A1A1A"/>
                <w:sz w:val="19"/>
                <w:szCs w:val="19"/>
              </w:rPr>
              <w:t xml:space="preserve">backend/models.py</w:t>
            </w:r>
          </w:p>
        </w:tc>
        <w:tc>
          <w:tcPr>
            <w:tcW w:type="dxa" w:w="6760"/>
            <w:tcBorders>
              <w:top w:val="single" w:color="D9D9D9" w:sz="2"/>
              <w:left w:val="single" w:color="D9D9D9" w:sz="2"/>
              <w:bottom w:val="single" w:color="D9D9D9" w:sz="2"/>
              <w:right w:val="single" w:color="D9D9D9" w:sz="2"/>
            </w:tcBorders>
            <w:shd w:fill="FFFFFF" w:val="clear"/>
            <w:tcMar>
              <w:top w:type="dxa" w:w="90"/>
              <w:left w:type="dxa" w:w="130"/>
              <w:bottom w:type="dxa" w:w="90"/>
              <w:right w:type="dxa" w:w="130"/>
            </w:tcMar>
            <w:vAlign w:val="center"/>
          </w:tcPr>
          <w:p>
            <w:pPr>
              <w:spacing w:line="270"/>
            </w:pPr>
            <w:r>
              <w:rPr>
                <w:b w:val="false"/>
                <w:bCs w:val="false"/>
                <w:color w:val="1A1A1A"/>
                <w:sz w:val="20"/>
                <w:szCs w:val="20"/>
              </w:rPr>
              <w:t xml:space="preserve">The database schema — User, SocialAccount, PublishedPost, Draft, ScheduledPost, analytics snapshots and more.</w:t>
            </w:r>
          </w:p>
        </w:tc>
      </w:tr>
    </w:tbl>
    <w:p>
      <w:pPr>
        <w:spacing w:after="60"/>
      </w:pPr>
      <w:r>
        <w:t xml:space="preserve"/>
      </w:r>
    </w:p>
    <w:p>
      <w:pPr>
        <w:spacing w:after="140" w:line="300"/>
      </w:pPr>
      <w:r>
        <w:rPr>
          <w:i w:val="false"/>
          <w:iCs w:val="false"/>
          <w:color w:val="1A1A1A"/>
        </w:rPr>
        <w:t xml:space="preserve">Two conventions keep the code healthy as it grows. First, any new integration goes behind a new module in services/ — routers never call third-party APIs directly. Second, when the database schema changes, a defensive migration is added so a fresh server start repairs its own schema automatically.</w:t>
      </w:r>
    </w:p>
    <w:p>
      <w:pPr>
        <w:pStyle w:val="Heading1"/>
      </w:pPr>
      <w:r>
        <w:t xml:space="preserve">8.  How It Is Deployed</w:t>
      </w:r>
    </w:p>
    <w:p>
      <w:pPr>
        <w:pStyle w:val="ListParagraph"/>
        <w:numPr>
          <w:ilvl w:val="0"/>
          <w:numId w:val="2"/>
        </w:numPr>
        <w:spacing w:after="80" w:line="290"/>
      </w:pPr>
      <w:r>
        <w:rPr>
          <w:b/>
          <w:bCs/>
          <w:color w:val="1A1A1A"/>
        </w:rPr>
        <w:t xml:space="preserve">Backend</w:t>
      </w:r>
      <w:r>
        <w:rPr>
          <w:color w:val="1A1A1A"/>
        </w:rPr>
        <w:t xml:space="preserve"> — packaged as a container image and run on AWS Lambda through the Mangum adapter. A second, separate Lambda is triggered by AWS EventBridge every minute and pokes the scheduler endpoint so due posts go out on time.</w:t>
      </w:r>
    </w:p>
    <w:p>
      <w:pPr>
        <w:pStyle w:val="ListParagraph"/>
        <w:numPr>
          <w:ilvl w:val="0"/>
          <w:numId w:val="2"/>
        </w:numPr>
        <w:spacing w:after="80" w:line="290"/>
      </w:pPr>
      <w:r>
        <w:rPr>
          <w:b/>
          <w:bCs/>
          <w:color w:val="1A1A1A"/>
        </w:rPr>
        <w:t xml:space="preserve">Frontends</w:t>
      </w:r>
      <w:r>
        <w:rPr>
          <w:color w:val="1A1A1A"/>
        </w:rPr>
        <w:t xml:space="preserve"> — both React apps build with Vite and deploy through AWS Amplify.</w:t>
      </w:r>
    </w:p>
    <w:p>
      <w:pPr>
        <w:pStyle w:val="ListParagraph"/>
        <w:numPr>
          <w:ilvl w:val="0"/>
          <w:numId w:val="2"/>
        </w:numPr>
        <w:spacing w:after="80" w:line="290"/>
      </w:pPr>
      <w:r>
        <w:rPr>
          <w:b/>
          <w:bCs/>
          <w:color w:val="1A1A1A"/>
        </w:rPr>
        <w:t xml:space="preserve">External services</w:t>
      </w:r>
      <w:r>
        <w:rPr>
          <w:color w:val="1A1A1A"/>
        </w:rPr>
        <w:t xml:space="preserve"> — Gemini for content and images, AWS S3 for storage, Stripe for payments, Microsoft Graph for email, and the social networks’ own OAuth and publishing APIs.</w:t>
      </w:r>
    </w:p>
    <w:p>
      <w:pPr>
        <w:pStyle w:val="Heading1"/>
      </w:pPr>
      <w:r>
        <w:t xml:space="preserve">9.  Why the Agentic Design Pays Off</w:t>
      </w:r>
    </w:p>
    <w:p>
      <w:pPr>
        <w:spacing w:after="140" w:line="300"/>
      </w:pPr>
      <w:r>
        <w:rPr>
          <w:i w:val="false"/>
          <w:iCs w:val="false"/>
          <w:color w:val="1A1A1A"/>
        </w:rPr>
        <w:t xml:space="preserve">Splitting the work across specialized agents is not complexity for its own sake — it produces concrete, measurable benefits:</w:t>
      </w:r>
    </w:p>
    <w:p>
      <w:pPr>
        <w:pStyle w:val="ListParagraph"/>
        <w:numPr>
          <w:ilvl w:val="0"/>
          <w:numId w:val="2"/>
        </w:numPr>
        <w:spacing w:after="80" w:line="290"/>
      </w:pPr>
      <w:r>
        <w:rPr>
          <w:b/>
          <w:bCs/>
          <w:color w:val="1A1A1A"/>
        </w:rPr>
        <w:t xml:space="preserve">Reliability</w:t>
      </w:r>
      <w:r>
        <w:rPr>
          <w:color w:val="1A1A1A"/>
        </w:rPr>
        <w:t xml:space="preserve"> — the Research agent’s do-not-claim list and the two Critic agents catch invented facts and weak output before a user ever sees them.</w:t>
      </w:r>
    </w:p>
    <w:p>
      <w:pPr>
        <w:pStyle w:val="ListParagraph"/>
        <w:numPr>
          <w:ilvl w:val="0"/>
          <w:numId w:val="2"/>
        </w:numPr>
        <w:spacing w:after="80" w:line="290"/>
      </w:pPr>
      <w:r>
        <w:rPr>
          <w:b/>
          <w:bCs/>
          <w:color w:val="1A1A1A"/>
        </w:rPr>
        <w:t xml:space="preserve">Consistency</w:t>
      </w:r>
      <w:r>
        <w:rPr>
          <w:color w:val="1A1A1A"/>
        </w:rPr>
        <w:t xml:space="preserve"> — because Business DNA is injected into every agent, staying on-brand is the default, not a manual correction.</w:t>
      </w:r>
    </w:p>
    <w:p>
      <w:pPr>
        <w:pStyle w:val="ListParagraph"/>
        <w:numPr>
          <w:ilvl w:val="0"/>
          <w:numId w:val="2"/>
        </w:numPr>
        <w:spacing w:after="80" w:line="290"/>
      </w:pPr>
      <w:r>
        <w:rPr>
          <w:b/>
          <w:bCs/>
          <w:color w:val="1A1A1A"/>
        </w:rPr>
        <w:t xml:space="preserve">Maintainability</w:t>
      </w:r>
      <w:r>
        <w:rPr>
          <w:color w:val="1A1A1A"/>
        </w:rPr>
        <w:t xml:space="preserve"> — each agent is a small, single-purpose function with a clear contract, so it can be improved or replaced without touching the rest of the pipeline.</w:t>
      </w:r>
    </w:p>
    <w:p>
      <w:pPr>
        <w:pStyle w:val="ListParagraph"/>
        <w:numPr>
          <w:ilvl w:val="0"/>
          <w:numId w:val="2"/>
        </w:numPr>
        <w:spacing w:after="80" w:line="290"/>
      </w:pPr>
      <w:r>
        <w:rPr>
          <w:b/>
          <w:bCs/>
          <w:color w:val="1A1A1A"/>
        </w:rPr>
        <w:t xml:space="preserve">Performance</w:t>
      </w:r>
      <w:r>
        <w:rPr>
          <w:color w:val="1A1A1A"/>
        </w:rPr>
        <w:t xml:space="preserve"> — per-stage timing and stage-skipping for non-image posts keep generation fast where it can be.</w:t>
      </w:r>
    </w:p>
    <w:p>
      <w:pPr>
        <w:pStyle w:val="ListParagraph"/>
        <w:numPr>
          <w:ilvl w:val="0"/>
          <w:numId w:val="2"/>
        </w:numPr>
        <w:spacing w:after="80" w:line="290"/>
      </w:pPr>
      <w:r>
        <w:rPr>
          <w:b/>
          <w:bCs/>
          <w:color w:val="1A1A1A"/>
        </w:rPr>
        <w:t xml:space="preserve">Extensibility</w:t>
      </w:r>
      <w:r>
        <w:rPr>
          <w:color w:val="1A1A1A"/>
        </w:rPr>
        <w:t xml:space="preserve"> — new roles can be added to the pipeline as new agents without rewriting what already works.</w:t>
      </w:r>
    </w:p>
    <w:p>
      <w:pPr>
        <w:spacing w:after="60"/>
      </w:pPr>
      <w:r>
        <w:t xml:space="preserve"/>
      </w:r>
    </w:p>
    <w:p>
      <w:pPr>
        <w:spacing w:after="140" w:line="300"/>
      </w:pPr>
      <w:r>
        <w:rPr>
          <w:b/>
          <w:bCs/>
          <w:i w:val="false"/>
          <w:iCs w:val="false"/>
          <w:color w:val="1A1A1A"/>
        </w:rPr>
        <w:t xml:space="preserve">In short: </w:t>
      </w:r>
      <w:r>
        <w:rPr>
          <w:b w:val="false"/>
          <w:bCs w:val="false"/>
          <w:i w:val="false"/>
          <w:iCs w:val="false"/>
          <w:color w:val="1A1A1A"/>
        </w:rPr>
        <w:t xml:space="preserve">Pipelyt turns one sentence into a finished, on-brand, multi-platform campaign by running it through a team of AI specialists — each doing one job well, each checking the work that came before.</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5A5A"/>
        <w:sz w:val="16"/>
        <w:szCs w:val="16"/>
      </w:rPr>
      <w:t xml:space="preserve">Pipelyt — Technical Project Overview</w:t>
    </w:r>
    <w:r>
      <w:rPr>
        <w:sz w:val="16"/>
        <w:szCs w:val="16"/>
      </w:rPr>
      <w:t xml:space="preserve">	</w:t>
    </w: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FF4500"/>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FF4500"/>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Pipelyt</dc:creator>
  <cp:lastModifiedBy>Un-named</cp:lastModifiedBy>
  <cp:revision>1</cp:revision>
  <dcterms:created xsi:type="dcterms:W3CDTF">2026-05-20T14:20:30.589Z</dcterms:created>
  <dcterms:modified xsi:type="dcterms:W3CDTF">2026-05-20T14:20:30.590Z</dcterms:modified>
</cp:coreProperties>
</file>

<file path=docProps/custom.xml><?xml version="1.0" encoding="utf-8"?>
<Properties xmlns="http://schemas.openxmlformats.org/officeDocument/2006/custom-properties" xmlns:vt="http://schemas.openxmlformats.org/officeDocument/2006/docPropsVTypes"/>
</file>