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5600"/>
          <w:sz w:val="60"/>
        </w:rPr>
        <w:t>Performance Agent</w:t>
      </w:r>
    </w:p>
    <w:p>
      <w:pPr>
        <w:jc w:val="center"/>
      </w:pPr>
      <w:r>
        <w:rPr>
          <w:color w:val="2B2926"/>
          <w:sz w:val="32"/>
        </w:rPr>
        <w:t>Technical Documentation</w:t>
      </w:r>
    </w:p>
    <w:p>
      <w:pPr>
        <w:jc w:val="center"/>
      </w:pPr>
      <w:r>
        <w:rPr>
          <w:color w:val="6B6B6B"/>
          <w:sz w:val="20"/>
        </w:rPr>
        <w:t>NEXUS — Pipelyt Platform  |  apps/backend/nexus/services/performance_agent/</w:t>
      </w:r>
    </w:p>
    <w:p/>
    <w:p>
      <w:pPr>
        <w:jc w:val="center"/>
      </w:pPr>
      <w:r>
        <w:rPr>
          <w:color w:val="6B6B6B"/>
          <w:sz w:val="20"/>
        </w:rPr>
        <w:t>Status: Built and verified against a live database</w:t>
        <w:br/>
      </w:r>
      <w:r>
        <w:rPr>
          <w:color w:val="6B6B6B"/>
          <w:sz w:val="20"/>
        </w:rPr>
        <w:t>Branch: dev</w:t>
        <w:br/>
      </w:r>
    </w:p>
    <w:p>
      <w:r>
        <w:br w:type="page"/>
      </w:r>
    </w:p>
    <w:p>
      <w:pPr>
        <w:pStyle w:val="Heading1"/>
      </w:pPr>
      <w:r>
        <w:t>1. Executive Summary</w:t>
      </w:r>
    </w:p>
    <w:p>
      <w:r>
        <w:t>The Performance Agent is a ranking and recommendation system that answers a single question for a GTM (go-to-market) operator: “which channel, message, audience segment, and send-time combination is actually working — and what should I do about it?” It replaces manual eyeballing of campaign spreadsheets with an automated, statistically sound ranking, paired with an LLM-generated, plain-English set of recommendations.</w:t>
      </w:r>
    </w:p>
    <w:p>
      <w:r>
        <w:t>It is built as a self-contained service package inside the existing NEXUS backend (no new microservice, no new infrastructure), reads from tables that already exist in production, and writes its output through REST endpoints consumed by a new dashboard page in the NEXUS product UI.</w:t>
      </w:r>
    </w:p>
    <w:p>
      <w:r>
        <w:rPr>
          <w:b/>
        </w:rPr>
        <w:t>Core design goals:</w:t>
      </w:r>
    </w:p>
    <w:p>
      <w:pPr>
        <w:pStyle w:val="ListBullet"/>
        <w:spacing w:after="60"/>
      </w:pPr>
      <w:r>
        <w:t>Rank outreach performance across 9 independent dimensions (channel, persona, timing, segment, etc.), not just a single overall number.</w:t>
      </w:r>
    </w:p>
    <w:p>
      <w:pPr>
        <w:pStyle w:val="ListBullet"/>
        <w:spacing w:after="60"/>
      </w:pPr>
      <w:r>
        <w:t>Never show an empty or broken dashboard — a workspace with no real send history yet sees clearly-labeled simulated data instead of a blank page.</w:t>
      </w:r>
    </w:p>
    <w:p>
      <w:pPr>
        <w:pStyle w:val="ListBullet"/>
        <w:spacing w:after="60"/>
      </w:pPr>
      <w:r>
        <w:t>Never let fabricated (simulated) data influence real outreach content — a hard rule enforced in code, not just policy.</w:t>
      </w:r>
    </w:p>
    <w:p>
      <w:pPr>
        <w:pStyle w:val="ListBullet"/>
        <w:spacing w:after="60"/>
      </w:pPr>
      <w:r>
        <w:t>Every ranking is statistically shrunk toward a conservative baseline (Bayesian, not raw percentages), so a lucky 2-for-3 sample can't masquerade as a proven winner.</w:t>
      </w:r>
    </w:p>
    <w:p>
      <w:pPr>
        <w:pStyle w:val="ListBullet"/>
        <w:spacing w:after="60"/>
      </w:pPr>
      <w:r>
        <w:t>Zero new database migrations for the core feature — built entirely on previously unused columns in the existing schema.</w:t>
      </w:r>
    </w:p>
    <w:p>
      <w:pPr>
        <w:pStyle w:val="Heading1"/>
      </w:pPr>
      <w:r>
        <w:t>2. Architecture</w:t>
      </w:r>
    </w:p>
    <w:p>
      <w:r>
        <w:t>The feature is implemented as five small, single-purpose Python modules, plus one router and one schema file edit on the backend, and one new React page on the frontend.</w:t>
      </w:r>
    </w:p>
    <w:p>
      <w:pPr>
        <w:pStyle w:val="Heading2"/>
      </w:pPr>
      <w:r>
        <w:t>2.1 Backend module layout</w:t>
      </w:r>
    </w:p>
    <w:p>
      <w:pPr>
        <w:spacing w:after="200"/>
        <w:ind w:left="432"/>
        <w:shd w:val="clear" w:fill="F5F5F3"/>
      </w:pPr>
      <w:r>
        <w:rPr>
          <w:rFonts w:ascii="Consolas" w:hAnsi="Consolas"/>
          <w:color w:val="333333"/>
          <w:sz w:val="18"/>
        </w:rPr>
        <w:t>apps/backend/nexus/services/performance_agent/</w:t>
        <w:br/>
      </w:r>
      <w:r>
        <w:rPr>
          <w:rFonts w:ascii="Consolas" w:hAnsi="Consolas"/>
          <w:color w:val="333333"/>
          <w:sz w:val="18"/>
        </w:rPr>
        <w:t>├─ __init__.py</w:t>
        <w:br/>
      </w:r>
      <w:r>
        <w:rPr>
          <w:rFonts w:ascii="Consolas" w:hAnsi="Consolas"/>
          <w:color w:val="333333"/>
          <w:sz w:val="18"/>
        </w:rPr>
        <w:t>├─ dimensions.py     # OutreachRow shape + the 9 ranking dimensions</w:t>
        <w:br/>
      </w:r>
      <w:r>
        <w:rPr>
          <w:rFonts w:ascii="Consolas" w:hAnsi="Consolas"/>
          <w:color w:val="333333"/>
          <w:sz w:val="18"/>
        </w:rPr>
        <w:t>├─ scorer.py         # pure Bayesian ranking math — no DB, no LLM</w:t>
        <w:br/>
      </w:r>
      <w:r>
        <w:rPr>
          <w:rFonts w:ascii="Consolas" w:hAnsi="Consolas"/>
          <w:color w:val="333333"/>
          <w:sz w:val="18"/>
        </w:rPr>
        <w:t>├─ aggregator.py     # pulls REAL data from live tables into OutreachRow</w:t>
        <w:br/>
      </w:r>
      <w:r>
        <w:rPr>
          <w:rFonts w:ascii="Consolas" w:hAnsi="Consolas"/>
          <w:color w:val="333333"/>
          <w:sz w:val="18"/>
        </w:rPr>
        <w:t>├─ simulator.py      # generates SYNTHETIC data (Gemini + deterministic fallback)</w:t>
        <w:br/>
      </w:r>
      <w:r>
        <w:rPr>
          <w:rFonts w:ascii="Consolas" w:hAnsi="Consolas"/>
          <w:color w:val="333333"/>
          <w:sz w:val="18"/>
        </w:rPr>
        <w:t>└─ generator.py      # orchestrates: choose source → score → summarize → persist</w:t>
        <w:br/>
      </w:r>
      <w:r>
        <w:rPr>
          <w:rFonts w:ascii="Consolas" w:hAnsi="Consolas"/>
          <w:color w:val="333333"/>
          <w:sz w:val="18"/>
        </w:rPr>
        <w:br/>
      </w:r>
      <w:r>
        <w:rPr>
          <w:rFonts w:ascii="Consolas" w:hAnsi="Consolas"/>
          <w:color w:val="333333"/>
          <w:sz w:val="18"/>
        </w:rPr>
        <w:t>apps/backend/nexus/routers/performance.py    # REST endpoints (edited)</w:t>
        <w:br/>
      </w:r>
      <w:r>
        <w:rPr>
          <w:rFonts w:ascii="Consolas" w:hAnsi="Consolas"/>
          <w:color w:val="333333"/>
          <w:sz w:val="18"/>
        </w:rPr>
        <w:t>apps/backend/nexus/schemas_phase6.py         # Pydantic response models (edited)</w:t>
        <w:br/>
      </w:r>
      <w:r>
        <w:rPr>
          <w:rFonts w:ascii="Consolas" w:hAnsi="Consolas"/>
          <w:color w:val="333333"/>
          <w:sz w:val="18"/>
        </w:rPr>
        <w:t>apps/backend/nexus/migrations/phase12.py     # one unique index (new)</w:t>
        <w:br/>
      </w:r>
      <w:r>
        <w:rPr>
          <w:rFonts w:ascii="Consolas" w:hAnsi="Consolas"/>
          <w:color w:val="333333"/>
          <w:sz w:val="18"/>
        </w:rPr>
        <w:t>apps/backend/scripts/test_performance_agent_scorer.py   # offline validation script</w:t>
        <w:br/>
      </w:r>
      <w:r>
        <w:rPr>
          <w:rFonts w:ascii="Consolas" w:hAnsi="Consolas"/>
          <w:color w:val="333333"/>
          <w:sz w:val="18"/>
        </w:rPr>
        <w:br/>
      </w:r>
      <w:r>
        <w:rPr>
          <w:rFonts w:ascii="Consolas" w:hAnsi="Consolas"/>
          <w:color w:val="333333"/>
          <w:sz w:val="18"/>
        </w:rPr>
        <w:t>apps/product-page/src/pages/nexus/NexusPerformanceAgent.jsx   # dashboard UI (new)</w:t>
        <w:br/>
      </w:r>
      <w:r>
        <w:rPr>
          <w:rFonts w:ascii="Consolas" w:hAnsi="Consolas"/>
          <w:color w:val="333333"/>
          <w:sz w:val="18"/>
        </w:rPr>
        <w:t>apps/product-page/src/pages/nexus/NexusLayout.jsx             # nav registration (edited)</w:t>
      </w:r>
    </w:p>
    <w:p>
      <w:pPr>
        <w:pStyle w:val="Heading2"/>
      </w:pPr>
      <w:r>
        <w:t>2.2 Data flow</w:t>
      </w:r>
    </w:p>
    <w:p>
      <w:r>
        <w:t>OutreachRow is the shared data contract: both the real-data path (aggregator.py) and the synthetic-data path (simulator.py) produce the identical shape, so the scoring engine cannot tell — and does not need to know — which source it is ranking.</w:t>
      </w:r>
    </w:p>
    <w:p>
      <w:pPr>
        <w:spacing w:after="200"/>
        <w:ind w:left="432"/>
        <w:shd w:val="clear" w:fill="F5F5F3"/>
      </w:pPr>
      <w:r>
        <w:rPr>
          <w:rFonts w:ascii="Consolas" w:hAnsi="Consolas"/>
          <w:color w:val="333333"/>
          <w:sz w:val="18"/>
        </w:rPr>
        <w:t>generate_insight(workspace_id)</w:t>
        <w:br/>
      </w:r>
      <w:r>
        <w:rPr>
          <w:rFonts w:ascii="Consolas" w:hAnsi="Consolas"/>
          <w:color w:val="333333"/>
          <w:sz w:val="18"/>
        </w:rPr>
        <w:t xml:space="preserve">  │</w:t>
        <w:br/>
      </w:r>
      <w:r>
        <w:rPr>
          <w:rFonts w:ascii="Consolas" w:hAnsi="Consolas"/>
          <w:color w:val="333333"/>
          <w:sz w:val="18"/>
        </w:rPr>
        <w:t xml:space="preserve">  ├─ 1. Resolve data source (real vs. simulated) — see §5</w:t>
        <w:br/>
      </w:r>
      <w:r>
        <w:rPr>
          <w:rFonts w:ascii="Consolas" w:hAnsi="Consolas"/>
          <w:color w:val="333333"/>
          <w:sz w:val="18"/>
        </w:rPr>
        <w:t xml:space="preserve">  ├─ 2. rows = aggregator.collect_outreach_rows(...)   [real]</w:t>
        <w:br/>
      </w:r>
      <w:r>
        <w:rPr>
          <w:rFonts w:ascii="Consolas" w:hAnsi="Consolas"/>
          <w:color w:val="333333"/>
          <w:sz w:val="18"/>
        </w:rPr>
        <w:t xml:space="preserve">  │     OR simulator.generate_synthetic_campaign_data(...)  [simulated]</w:t>
        <w:br/>
      </w:r>
      <w:r>
        <w:rPr>
          <w:rFonts w:ascii="Consolas" w:hAnsi="Consolas"/>
          <w:color w:val="333333"/>
          <w:sz w:val="18"/>
        </w:rPr>
        <w:t xml:space="preserve">  ├─ 3. For each of 3 metrics: scorer.rank_slices(rows, metric)</w:t>
        <w:br/>
      </w:r>
      <w:r>
        <w:rPr>
          <w:rFonts w:ascii="Consolas" w:hAnsi="Consolas"/>
          <w:color w:val="333333"/>
          <w:sz w:val="18"/>
        </w:rPr>
        <w:t xml:space="preserve">  ├─ 4. Gemini call → structured recommendations (headline / summary /</w:t>
        <w:br/>
      </w:r>
      <w:r>
        <w:rPr>
          <w:rFonts w:ascii="Consolas" w:hAnsi="Consolas"/>
          <w:color w:val="333333"/>
          <w:sz w:val="18"/>
        </w:rPr>
        <w:t xml:space="preserve">  │    quick_wins / 5 actions / caveat), with a deterministic fallback</w:t>
        <w:br/>
      </w:r>
      <w:r>
        <w:rPr>
          <w:rFonts w:ascii="Consolas" w:hAnsi="Consolas"/>
          <w:color w:val="333333"/>
          <w:sz w:val="18"/>
        </w:rPr>
        <w:t xml:space="preserve">  ├─ 5. Persist to nexus_performance_insights (status: running → ready)</w:t>
        <w:br/>
      </w:r>
      <w:r>
        <w:rPr>
          <w:rFonts w:ascii="Consolas" w:hAnsi="Consolas"/>
          <w:color w:val="333333"/>
          <w:sz w:val="18"/>
        </w:rPr>
        <w:t xml:space="preserve">  └─ 6. Upsert top personas into nexus_winning_examples (feedback loop)</w:t>
      </w:r>
    </w:p>
    <w:p>
      <w:pPr>
        <w:pStyle w:val="Heading1"/>
      </w:pPr>
      <w:r>
        <w:t>3. Ranking Dimensions</w:t>
      </w:r>
    </w:p>
    <w:p>
      <w:r>
        <w:t>Every outreach attempt (one touchpoint) is sliced along 9 independent dimensions. Each dimension is ranked separately — there is no single flattened “best of everything” list, because “best channel” and “best persona” are different questions with different answers.</w:t>
      </w:r>
    </w:p>
    <w:tbl>
      <w:tblPr>
        <w:tblStyle w:val="LightGrid-Accent2"/>
        <w:tblW w:type="auto" w:w="0"/>
        <w:jc w:val="left"/>
        <w:tblLook w:firstColumn="1" w:firstRow="1" w:lastColumn="0" w:lastRow="0" w:noHBand="0" w:noVBand="1" w:val="04A0"/>
      </w:tblPr>
      <w:tblGrid>
        <w:gridCol w:w="2160"/>
        <w:gridCol w:w="2160"/>
        <w:gridCol w:w="2160"/>
        <w:gridCol w:w="2160"/>
      </w:tblGrid>
      <w:tr>
        <w:tc>
          <w:tcPr>
            <w:tcW w:type="dxa" w:w="1728"/>
            <w:shd w:val="clear" w:fill="2B2926"/>
          </w:tcPr>
          <w:p>
            <w:r/>
            <w:r>
              <w:rPr>
                <w:b/>
                <w:color w:val="FFFFFF"/>
                <w:sz w:val="19"/>
              </w:rPr>
              <w:t>Dashboard label</w:t>
            </w:r>
          </w:p>
        </w:tc>
        <w:tc>
          <w:tcPr>
            <w:tcW w:type="dxa" w:w="1584"/>
            <w:shd w:val="clear" w:fill="2B2926"/>
          </w:tcPr>
          <w:p>
            <w:r/>
            <w:r>
              <w:rPr>
                <w:b/>
                <w:color w:val="FFFFFF"/>
                <w:sz w:val="19"/>
              </w:rPr>
              <w:t>Internal key</w:t>
            </w:r>
          </w:p>
        </w:tc>
        <w:tc>
          <w:tcPr>
            <w:tcW w:type="dxa" w:w="2304"/>
            <w:shd w:val="clear" w:fill="2B2926"/>
          </w:tcPr>
          <w:p>
            <w:r/>
            <w:r>
              <w:rPr>
                <w:b/>
                <w:color w:val="FFFFFF"/>
                <w:sz w:val="19"/>
              </w:rPr>
              <w:t>Example values</w:t>
            </w:r>
          </w:p>
        </w:tc>
        <w:tc>
          <w:tcPr>
            <w:tcW w:type="dxa" w:w="3744"/>
            <w:shd w:val="clear" w:fill="2B2926"/>
          </w:tcPr>
          <w:p>
            <w:r/>
            <w:r>
              <w:rPr>
                <w:b/>
                <w:color w:val="FFFFFF"/>
                <w:sz w:val="19"/>
              </w:rPr>
              <w:t>Data source</w:t>
            </w:r>
          </w:p>
        </w:tc>
      </w:tr>
      <w:tr>
        <w:tc>
          <w:tcPr>
            <w:tcW w:type="dxa" w:w="1728"/>
          </w:tcPr>
          <w:p>
            <w:r/>
            <w:r>
              <w:rPr>
                <w:sz w:val="19"/>
              </w:rPr>
              <w:t>Channel</w:t>
            </w:r>
          </w:p>
        </w:tc>
        <w:tc>
          <w:tcPr>
            <w:tcW w:type="dxa" w:w="1584"/>
          </w:tcPr>
          <w:p>
            <w:r/>
            <w:r>
              <w:rPr>
                <w:sz w:val="19"/>
              </w:rPr>
              <w:t>channel</w:t>
            </w:r>
          </w:p>
        </w:tc>
        <w:tc>
          <w:tcPr>
            <w:tcW w:type="dxa" w:w="2304"/>
          </w:tcPr>
          <w:p>
            <w:r/>
            <w:r>
              <w:rPr>
                <w:sz w:val="19"/>
              </w:rPr>
              <w:t>email, linkedin</w:t>
            </w:r>
          </w:p>
        </w:tc>
        <w:tc>
          <w:tcPr>
            <w:tcW w:type="dxa" w:w="3744"/>
          </w:tcPr>
          <w:p>
            <w:r/>
            <w:r>
              <w:rPr>
                <w:sz w:val="19"/>
              </w:rPr>
              <w:t>nexus_touchpoints.channel</w:t>
            </w:r>
          </w:p>
        </w:tc>
      </w:tr>
      <w:tr>
        <w:tc>
          <w:tcPr>
            <w:tcW w:type="dxa" w:w="1728"/>
          </w:tcPr>
          <w:p>
            <w:r/>
            <w:r>
              <w:rPr>
                <w:sz w:val="19"/>
              </w:rPr>
              <w:t>Email Persona</w:t>
            </w:r>
          </w:p>
        </w:tc>
        <w:tc>
          <w:tcPr>
            <w:tcW w:type="dxa" w:w="1584"/>
          </w:tcPr>
          <w:p>
            <w:r/>
            <w:r>
              <w:rPr>
                <w:sz w:val="19"/>
              </w:rPr>
              <w:t>variant</w:t>
            </w:r>
          </w:p>
        </w:tc>
        <w:tc>
          <w:tcPr>
            <w:tcW w:type="dxa" w:w="2304"/>
          </w:tcPr>
          <w:p>
            <w:r/>
            <w:r>
              <w:rPr>
                <w:sz w:val="19"/>
              </w:rPr>
              <w:t>CMO, Finance, Data / IT, General</w:t>
            </w:r>
          </w:p>
        </w:tc>
        <w:tc>
          <w:tcPr>
            <w:tcW w:type="dxa" w:w="3744"/>
          </w:tcPr>
          <w:p>
            <w:r/>
            <w:r>
              <w:rPr>
                <w:sz w:val="19"/>
              </w:rPr>
              <w:t>nexus_lead_emails.variant_key — see §3.1 for a full explanation</w:t>
            </w:r>
          </w:p>
        </w:tc>
      </w:tr>
      <w:tr>
        <w:tc>
          <w:tcPr>
            <w:tcW w:type="dxa" w:w="1728"/>
          </w:tcPr>
          <w:p>
            <w:r/>
            <w:r>
              <w:rPr>
                <w:sz w:val="19"/>
              </w:rPr>
              <w:t>Email Stage</w:t>
            </w:r>
          </w:p>
        </w:tc>
        <w:tc>
          <w:tcPr>
            <w:tcW w:type="dxa" w:w="1584"/>
          </w:tcPr>
          <w:p>
            <w:r/>
            <w:r>
              <w:rPr>
                <w:sz w:val="19"/>
              </w:rPr>
              <w:t>cadence_step</w:t>
            </w:r>
          </w:p>
        </w:tc>
        <w:tc>
          <w:tcPr>
            <w:tcW w:type="dxa" w:w="2304"/>
          </w:tcPr>
          <w:p>
            <w:r/>
            <w:r>
              <w:rPr>
                <w:sz w:val="19"/>
              </w:rPr>
              <w:t>Initial Email, Follow-up 1/2, Closing</w:t>
            </w:r>
          </w:p>
        </w:tc>
        <w:tc>
          <w:tcPr>
            <w:tcW w:type="dxa" w:w="3744"/>
          </w:tcPr>
          <w:p>
            <w:r/>
            <w:r>
              <w:rPr>
                <w:sz w:val="19"/>
              </w:rPr>
              <w:t>nexus_lead_emails.kind (falls back to nexus_touchpoints.step)</w:t>
            </w:r>
          </w:p>
        </w:tc>
      </w:tr>
      <w:tr>
        <w:tc>
          <w:tcPr>
            <w:tcW w:type="dxa" w:w="1728"/>
          </w:tcPr>
          <w:p>
            <w:r/>
            <w:r>
              <w:rPr>
                <w:sz w:val="19"/>
              </w:rPr>
              <w:t>Industry</w:t>
            </w:r>
          </w:p>
        </w:tc>
        <w:tc>
          <w:tcPr>
            <w:tcW w:type="dxa" w:w="1584"/>
          </w:tcPr>
          <w:p>
            <w:r/>
            <w:r>
              <w:rPr>
                <w:sz w:val="19"/>
              </w:rPr>
              <w:t>segment:industry</w:t>
            </w:r>
          </w:p>
        </w:tc>
        <w:tc>
          <w:tcPr>
            <w:tcW w:type="dxa" w:w="2304"/>
          </w:tcPr>
          <w:p>
            <w:r/>
            <w:r>
              <w:rPr>
                <w:sz w:val="19"/>
              </w:rPr>
              <w:t>Retail, Financial Services</w:t>
            </w:r>
          </w:p>
        </w:tc>
        <w:tc>
          <w:tcPr>
            <w:tcW w:type="dxa" w:w="3744"/>
          </w:tcPr>
          <w:p>
            <w:r/>
            <w:r>
              <w:rPr>
                <w:sz w:val="19"/>
              </w:rPr>
              <w:t>campaign ICP + lead's actual organization_industry</w:t>
            </w:r>
          </w:p>
        </w:tc>
      </w:tr>
      <w:tr>
        <w:tc>
          <w:tcPr>
            <w:tcW w:type="dxa" w:w="1728"/>
          </w:tcPr>
          <w:p>
            <w:r/>
            <w:r>
              <w:rPr>
                <w:sz w:val="19"/>
              </w:rPr>
              <w:t>Company Size</w:t>
            </w:r>
          </w:p>
        </w:tc>
        <w:tc>
          <w:tcPr>
            <w:tcW w:type="dxa" w:w="1584"/>
          </w:tcPr>
          <w:p>
            <w:r/>
            <w:r>
              <w:rPr>
                <w:sz w:val="19"/>
              </w:rPr>
              <w:t>segment:revenue_band</w:t>
            </w:r>
          </w:p>
        </w:tc>
        <w:tc>
          <w:tcPr>
            <w:tcW w:type="dxa" w:w="2304"/>
          </w:tcPr>
          <w:p>
            <w:r/>
            <w:r>
              <w:rPr>
                <w:sz w:val="19"/>
              </w:rPr>
              <w:t>1M-10M, 50M-250M</w:t>
            </w:r>
          </w:p>
        </w:tc>
        <w:tc>
          <w:tcPr>
            <w:tcW w:type="dxa" w:w="3744"/>
          </w:tcPr>
          <w:p>
            <w:r/>
            <w:r>
              <w:rPr>
                <w:sz w:val="19"/>
              </w:rPr>
              <w:t>campaign ICP revenue_range, bucketed</w:t>
            </w:r>
          </w:p>
        </w:tc>
      </w:tr>
      <w:tr>
        <w:tc>
          <w:tcPr>
            <w:tcW w:type="dxa" w:w="1728"/>
          </w:tcPr>
          <w:p>
            <w:r/>
            <w:r>
              <w:rPr>
                <w:sz w:val="19"/>
              </w:rPr>
              <w:t>Job Title</w:t>
            </w:r>
          </w:p>
        </w:tc>
        <w:tc>
          <w:tcPr>
            <w:tcW w:type="dxa" w:w="1584"/>
          </w:tcPr>
          <w:p>
            <w:r/>
            <w:r>
              <w:rPr>
                <w:sz w:val="19"/>
              </w:rPr>
              <w:t>segment:role</w:t>
            </w:r>
          </w:p>
        </w:tc>
        <w:tc>
          <w:tcPr>
            <w:tcW w:type="dxa" w:w="2304"/>
          </w:tcPr>
          <w:p>
            <w:r/>
            <w:r>
              <w:rPr>
                <w:sz w:val="19"/>
              </w:rPr>
              <w:t>CMO, VP Marketing</w:t>
            </w:r>
          </w:p>
        </w:tc>
        <w:tc>
          <w:tcPr>
            <w:tcW w:type="dxa" w:w="3744"/>
          </w:tcPr>
          <w:p>
            <w:r/>
            <w:r>
              <w:rPr>
                <w:sz w:val="19"/>
              </w:rPr>
              <w:t>campaign ICP person_titles + lead's actual job_title</w:t>
            </w:r>
          </w:p>
        </w:tc>
      </w:tr>
      <w:tr>
        <w:tc>
          <w:tcPr>
            <w:tcW w:type="dxa" w:w="1728"/>
          </w:tcPr>
          <w:p>
            <w:r/>
            <w:r>
              <w:rPr>
                <w:sz w:val="19"/>
              </w:rPr>
              <w:t>Tech Stack</w:t>
            </w:r>
          </w:p>
        </w:tc>
        <w:tc>
          <w:tcPr>
            <w:tcW w:type="dxa" w:w="1584"/>
          </w:tcPr>
          <w:p>
            <w:r/>
            <w:r>
              <w:rPr>
                <w:sz w:val="19"/>
              </w:rPr>
              <w:t>segment:technology</w:t>
            </w:r>
          </w:p>
        </w:tc>
        <w:tc>
          <w:tcPr>
            <w:tcW w:type="dxa" w:w="2304"/>
          </w:tcPr>
          <w:p>
            <w:r/>
            <w:r>
              <w:rPr>
                <w:sz w:val="19"/>
              </w:rPr>
              <w:t>Snowflake, Google Ads</w:t>
            </w:r>
          </w:p>
        </w:tc>
        <w:tc>
          <w:tcPr>
            <w:tcW w:type="dxa" w:w="3744"/>
          </w:tcPr>
          <w:p>
            <w:r/>
            <w:r>
              <w:rPr>
                <w:sz w:val="19"/>
              </w:rPr>
              <w:t>campaign ICP buyer_technologies</w:t>
            </w:r>
          </w:p>
        </w:tc>
      </w:tr>
      <w:tr>
        <w:tc>
          <w:tcPr>
            <w:tcW w:type="dxa" w:w="1728"/>
          </w:tcPr>
          <w:p>
            <w:r/>
            <w:r>
              <w:rPr>
                <w:sz w:val="19"/>
              </w:rPr>
              <w:t>Location</w:t>
            </w:r>
          </w:p>
        </w:tc>
        <w:tc>
          <w:tcPr>
            <w:tcW w:type="dxa" w:w="1584"/>
          </w:tcPr>
          <w:p>
            <w:r/>
            <w:r>
              <w:rPr>
                <w:sz w:val="19"/>
              </w:rPr>
              <w:t>segment:location</w:t>
            </w:r>
          </w:p>
        </w:tc>
        <w:tc>
          <w:tcPr>
            <w:tcW w:type="dxa" w:w="2304"/>
          </w:tcPr>
          <w:p>
            <w:r/>
            <w:r>
              <w:rPr>
                <w:sz w:val="19"/>
              </w:rPr>
              <w:t>United States, India</w:t>
            </w:r>
          </w:p>
        </w:tc>
        <w:tc>
          <w:tcPr>
            <w:tcW w:type="dxa" w:w="3744"/>
          </w:tcPr>
          <w:p>
            <w:r/>
            <w:r>
              <w:rPr>
                <w:sz w:val="19"/>
              </w:rPr>
              <w:t>campaign ICP person_locations + lead's actual country</w:t>
            </w:r>
          </w:p>
        </w:tc>
      </w:tr>
      <w:tr>
        <w:tc>
          <w:tcPr>
            <w:tcW w:type="dxa" w:w="1728"/>
          </w:tcPr>
          <w:p>
            <w:r/>
            <w:r>
              <w:rPr>
                <w:sz w:val="19"/>
              </w:rPr>
              <w:t>Best Send Time</w:t>
            </w:r>
          </w:p>
        </w:tc>
        <w:tc>
          <w:tcPr>
            <w:tcW w:type="dxa" w:w="1584"/>
          </w:tcPr>
          <w:p>
            <w:r/>
            <w:r>
              <w:rPr>
                <w:sz w:val="19"/>
              </w:rPr>
              <w:t>timing_bucket</w:t>
            </w:r>
          </w:p>
        </w:tc>
        <w:tc>
          <w:tcPr>
            <w:tcW w:type="dxa" w:w="2304"/>
          </w:tcPr>
          <w:p>
            <w:r/>
            <w:r>
              <w:rPr>
                <w:sz w:val="19"/>
              </w:rPr>
              <w:t>Tuesdays, 9-12 IST</w:t>
            </w:r>
          </w:p>
        </w:tc>
        <w:tc>
          <w:tcPr>
            <w:tcW w:type="dxa" w:w="3744"/>
          </w:tcPr>
          <w:p>
            <w:r/>
            <w:r>
              <w:rPr>
                <w:sz w:val="19"/>
              </w:rPr>
              <w:t>touchpoint sent_at, bucketed into 3-hour windows, IST-adjusted — see §3.2</w:t>
            </w:r>
          </w:p>
        </w:tc>
      </w:tr>
    </w:tbl>
    <w:p>
      <w:pPr>
        <w:spacing w:after="80"/>
      </w:pPr>
    </w:p>
    <w:p>
      <w:pPr>
        <w:pStyle w:val="Heading2"/>
      </w:pPr>
      <w:r>
        <w:t>3.1 Deep Dive: What “Email Persona” Actually Is</w:t>
      </w:r>
    </w:p>
    <w:p>
      <w:r>
        <w:t>“Email Persona” is the dashboard label for the internal variant dimension — arguably the single most directly actionable ranking in the whole agent, so it earns a full explanation rather than one line in a table.</w:t>
      </w:r>
    </w:p>
    <w:p>
      <w:r>
        <w:rPr>
          <w:b/>
        </w:rPr>
        <w:t xml:space="preserve">What it represents. </w:t>
      </w:r>
      <w:r>
        <w:t>It is not a freeform tag — it identifies which of 13 pre-written, role-targeted email pitches was sent to a given lead. Each pitch is a distinct angle on the same product: the Finance-bucket pitch leads with budget and ROI framing; the Engineering-Leadership pitch leads with technical architecture framing; and so on. Ranking by Email Persona answers “which pitch angle is actually landing,” which is the most direct lever a marketer can pull — it maps straight onto “which email copy should I keep using.”</w:t>
      </w:r>
    </w:p>
    <w:p>
      <w:r>
        <w:rPr>
          <w:b/>
        </w:rPr>
        <w:t xml:space="preserve">Where the buckets come from. </w:t>
      </w:r>
      <w:r>
        <w:t>Defined once, in apps/backend/nexus/services/email_kit_generator.py, as PERSONA_BUCKETS — a fixed, ordered list of (label, matching keywords) pairs:</w:t>
      </w:r>
    </w:p>
    <w:tbl>
      <w:tblPr>
        <w:tblStyle w:val="LightGrid-Accent2"/>
        <w:tblW w:type="auto" w:w="0"/>
        <w:jc w:val="left"/>
        <w:tblLook w:firstColumn="1" w:firstRow="1" w:lastColumn="0" w:lastRow="0" w:noHBand="0" w:noVBand="1" w:val="04A0"/>
      </w:tblPr>
      <w:tblGrid>
        <w:gridCol w:w="4320"/>
        <w:gridCol w:w="4320"/>
      </w:tblGrid>
      <w:tr>
        <w:tc>
          <w:tcPr>
            <w:tcW w:type="dxa" w:w="2304"/>
            <w:shd w:val="clear" w:fill="2B2926"/>
          </w:tcPr>
          <w:p>
            <w:r/>
            <w:r>
              <w:rPr>
                <w:b/>
                <w:color w:val="FFFFFF"/>
                <w:sz w:val="19"/>
              </w:rPr>
              <w:t>Persona bucket</w:t>
            </w:r>
          </w:p>
        </w:tc>
        <w:tc>
          <w:tcPr>
            <w:tcW w:type="dxa" w:w="6624"/>
            <w:shd w:val="clear" w:fill="2B2926"/>
          </w:tcPr>
          <w:p>
            <w:r/>
            <w:r>
              <w:rPr>
                <w:b/>
                <w:color w:val="FFFFFF"/>
                <w:sz w:val="19"/>
              </w:rPr>
              <w:t>Matched from job-title keywords (examples)</w:t>
            </w:r>
          </w:p>
        </w:tc>
      </w:tr>
      <w:tr>
        <w:tc>
          <w:tcPr>
            <w:tcW w:type="dxa" w:w="2304"/>
          </w:tcPr>
          <w:p>
            <w:r/>
            <w:r>
              <w:rPr>
                <w:sz w:val="19"/>
              </w:rPr>
              <w:t>Engineering Leadership</w:t>
            </w:r>
          </w:p>
        </w:tc>
        <w:tc>
          <w:tcPr>
            <w:tcW w:type="dxa" w:w="6624"/>
          </w:tcPr>
          <w:p>
            <w:r/>
            <w:r>
              <w:rPr>
                <w:sz w:val="19"/>
              </w:rPr>
              <w:t>cto, chief technology, vp technology, engineering, devops, architect</w:t>
            </w:r>
          </w:p>
        </w:tc>
      </w:tr>
      <w:tr>
        <w:tc>
          <w:tcPr>
            <w:tcW w:type="dxa" w:w="2304"/>
          </w:tcPr>
          <w:p>
            <w:r/>
            <w:r>
              <w:rPr>
                <w:sz w:val="19"/>
              </w:rPr>
              <w:t>Product</w:t>
            </w:r>
          </w:p>
        </w:tc>
        <w:tc>
          <w:tcPr>
            <w:tcW w:type="dxa" w:w="6624"/>
          </w:tcPr>
          <w:p>
            <w:r/>
            <w:r>
              <w:rPr>
                <w:sz w:val="19"/>
              </w:rPr>
              <w:t>chief product, cpo, head of product, product manager</w:t>
            </w:r>
          </w:p>
        </w:tc>
      </w:tr>
      <w:tr>
        <w:tc>
          <w:tcPr>
            <w:tcW w:type="dxa" w:w="2304"/>
          </w:tcPr>
          <w:p>
            <w:r/>
            <w:r>
              <w:rPr>
                <w:sz w:val="19"/>
              </w:rPr>
              <w:t>Data / IT</w:t>
            </w:r>
          </w:p>
        </w:tc>
        <w:tc>
          <w:tcPr>
            <w:tcW w:type="dxa" w:w="6624"/>
          </w:tcPr>
          <w:p>
            <w:r/>
            <w:r>
              <w:rPr>
                <w:sz w:val="19"/>
              </w:rPr>
              <w:t>cio, chief information, chief data, head of data, it director</w:t>
            </w:r>
          </w:p>
        </w:tc>
      </w:tr>
      <w:tr>
        <w:tc>
          <w:tcPr>
            <w:tcW w:type="dxa" w:w="2304"/>
          </w:tcPr>
          <w:p>
            <w:r/>
            <w:r>
              <w:rPr>
                <w:sz w:val="19"/>
              </w:rPr>
              <w:t>CMO</w:t>
            </w:r>
          </w:p>
        </w:tc>
        <w:tc>
          <w:tcPr>
            <w:tcW w:type="dxa" w:w="6624"/>
          </w:tcPr>
          <w:p>
            <w:r/>
            <w:r>
              <w:rPr>
                <w:sz w:val="19"/>
              </w:rPr>
              <w:t>cmo, chief marketing, chief growth</w:t>
            </w:r>
          </w:p>
        </w:tc>
      </w:tr>
      <w:tr>
        <w:tc>
          <w:tcPr>
            <w:tcW w:type="dxa" w:w="2304"/>
          </w:tcPr>
          <w:p>
            <w:r/>
            <w:r>
              <w:rPr>
                <w:sz w:val="19"/>
              </w:rPr>
              <w:t>Marketing Leadership</w:t>
            </w:r>
          </w:p>
        </w:tc>
        <w:tc>
          <w:tcPr>
            <w:tcW w:type="dxa" w:w="6624"/>
          </w:tcPr>
          <w:p>
            <w:r/>
            <w:r>
              <w:rPr>
                <w:sz w:val="19"/>
              </w:rPr>
              <w:t>vp marketing, head of marketing, marketing director</w:t>
            </w:r>
          </w:p>
        </w:tc>
      </w:tr>
      <w:tr>
        <w:tc>
          <w:tcPr>
            <w:tcW w:type="dxa" w:w="2304"/>
          </w:tcPr>
          <w:p>
            <w:r/>
            <w:r>
              <w:rPr>
                <w:sz w:val="19"/>
              </w:rPr>
              <w:t>Performance Marketing</w:t>
            </w:r>
          </w:p>
        </w:tc>
        <w:tc>
          <w:tcPr>
            <w:tcW w:type="dxa" w:w="6624"/>
          </w:tcPr>
          <w:p>
            <w:r/>
            <w:r>
              <w:rPr>
                <w:sz w:val="19"/>
              </w:rPr>
              <w:t>performance, paid, ppc, sem, media buyer</w:t>
            </w:r>
          </w:p>
        </w:tc>
      </w:tr>
      <w:tr>
        <w:tc>
          <w:tcPr>
            <w:tcW w:type="dxa" w:w="2304"/>
          </w:tcPr>
          <w:p>
            <w:r/>
            <w:r>
              <w:rPr>
                <w:sz w:val="19"/>
              </w:rPr>
              <w:t>Growth</w:t>
            </w:r>
          </w:p>
        </w:tc>
        <w:tc>
          <w:tcPr>
            <w:tcW w:type="dxa" w:w="6624"/>
          </w:tcPr>
          <w:p>
            <w:r/>
            <w:r>
              <w:rPr>
                <w:sz w:val="19"/>
              </w:rPr>
              <w:t>growth</w:t>
            </w:r>
          </w:p>
        </w:tc>
      </w:tr>
      <w:tr>
        <w:tc>
          <w:tcPr>
            <w:tcW w:type="dxa" w:w="2304"/>
          </w:tcPr>
          <w:p>
            <w:r/>
            <w:r>
              <w:rPr>
                <w:sz w:val="19"/>
              </w:rPr>
              <w:t>Demand Generation</w:t>
            </w:r>
          </w:p>
        </w:tc>
        <w:tc>
          <w:tcPr>
            <w:tcW w:type="dxa" w:w="6624"/>
          </w:tcPr>
          <w:p>
            <w:r/>
            <w:r>
              <w:rPr>
                <w:sz w:val="19"/>
              </w:rPr>
              <w:t>demand, demand gen, lifecycle</w:t>
            </w:r>
          </w:p>
        </w:tc>
      </w:tr>
      <w:tr>
        <w:tc>
          <w:tcPr>
            <w:tcW w:type="dxa" w:w="2304"/>
          </w:tcPr>
          <w:p>
            <w:r/>
            <w:r>
              <w:rPr>
                <w:sz w:val="19"/>
              </w:rPr>
              <w:t>Sales Leadership</w:t>
            </w:r>
          </w:p>
        </w:tc>
        <w:tc>
          <w:tcPr>
            <w:tcW w:type="dxa" w:w="6624"/>
          </w:tcPr>
          <w:p>
            <w:r/>
            <w:r>
              <w:rPr>
                <w:sz w:val="19"/>
              </w:rPr>
              <w:t>cro, chief revenue, vp sales, sales director</w:t>
            </w:r>
          </w:p>
        </w:tc>
      </w:tr>
      <w:tr>
        <w:tc>
          <w:tcPr>
            <w:tcW w:type="dxa" w:w="2304"/>
          </w:tcPr>
          <w:p>
            <w:r/>
            <w:r>
              <w:rPr>
                <w:sz w:val="19"/>
              </w:rPr>
              <w:t>Marketing</w:t>
            </w:r>
          </w:p>
        </w:tc>
        <w:tc>
          <w:tcPr>
            <w:tcW w:type="dxa" w:w="6624"/>
          </w:tcPr>
          <w:p>
            <w:r/>
            <w:r>
              <w:rPr>
                <w:sz w:val="19"/>
              </w:rPr>
              <w:t>marketing, brand, content, seo</w:t>
            </w:r>
          </w:p>
        </w:tc>
      </w:tr>
      <w:tr>
        <w:tc>
          <w:tcPr>
            <w:tcW w:type="dxa" w:w="2304"/>
          </w:tcPr>
          <w:p>
            <w:r/>
            <w:r>
              <w:rPr>
                <w:sz w:val="19"/>
              </w:rPr>
              <w:t>Founder / Owner</w:t>
            </w:r>
          </w:p>
        </w:tc>
        <w:tc>
          <w:tcPr>
            <w:tcW w:type="dxa" w:w="6624"/>
          </w:tcPr>
          <w:p>
            <w:r/>
            <w:r>
              <w:rPr>
                <w:sz w:val="19"/>
              </w:rPr>
              <w:t>founder, co-founder, ceo, owner</w:t>
            </w:r>
          </w:p>
        </w:tc>
      </w:tr>
      <w:tr>
        <w:tc>
          <w:tcPr>
            <w:tcW w:type="dxa" w:w="2304"/>
          </w:tcPr>
          <w:p>
            <w:r/>
            <w:r>
              <w:rPr>
                <w:sz w:val="19"/>
              </w:rPr>
              <w:t>Operations</w:t>
            </w:r>
          </w:p>
        </w:tc>
        <w:tc>
          <w:tcPr>
            <w:tcW w:type="dxa" w:w="6624"/>
          </w:tcPr>
          <w:p>
            <w:r/>
            <w:r>
              <w:rPr>
                <w:sz w:val="19"/>
              </w:rPr>
              <w:t>operations, coo, head of ops</w:t>
            </w:r>
          </w:p>
        </w:tc>
      </w:tr>
      <w:tr>
        <w:tc>
          <w:tcPr>
            <w:tcW w:type="dxa" w:w="2304"/>
          </w:tcPr>
          <w:p>
            <w:r/>
            <w:r>
              <w:rPr>
                <w:sz w:val="19"/>
              </w:rPr>
              <w:t>Finance</w:t>
            </w:r>
          </w:p>
        </w:tc>
        <w:tc>
          <w:tcPr>
            <w:tcW w:type="dxa" w:w="6624"/>
          </w:tcPr>
          <w:p>
            <w:r/>
            <w:r>
              <w:rPr>
                <w:sz w:val="19"/>
              </w:rPr>
              <w:t>cfo, finance, controller</w:t>
            </w:r>
          </w:p>
        </w:tc>
      </w:tr>
      <w:tr>
        <w:tc>
          <w:tcPr>
            <w:tcW w:type="dxa" w:w="2304"/>
          </w:tcPr>
          <w:p>
            <w:r/>
            <w:r>
              <w:rPr>
                <w:sz w:val="19"/>
              </w:rPr>
              <w:t>General (fallback)</w:t>
            </w:r>
          </w:p>
        </w:tc>
        <w:tc>
          <w:tcPr>
            <w:tcW w:type="dxa" w:w="6624"/>
          </w:tcPr>
          <w:p>
            <w:r/>
            <w:r>
              <w:rPr>
                <w:sz w:val="19"/>
              </w:rPr>
              <w:t>used when no keyword above matches the lead's title</w:t>
            </w:r>
          </w:p>
        </w:tc>
      </w:tr>
    </w:tbl>
    <w:p>
      <w:pPr>
        <w:spacing w:after="80"/>
      </w:pPr>
    </w:p>
    <w:p>
      <w:r>
        <w:rPr>
          <w:b/>
        </w:rPr>
        <w:t xml:space="preserve">Bucket order is a deliberate design detail: </w:t>
      </w:r>
      <w:r>
        <w:t>technical/engineering buckets are checked first specifically so a title like “VP of Engineering” cannot fall through to a marketing or founder bucket by an accidental keyword overlap. The matcher (persona_for_title()) walks the list top to bottom and returns the first bucket whose keyword appears in the lead's title; if none match, the lead falls back to the General pitch.</w:t>
      </w:r>
    </w:p>
    <w:p>
      <w:r>
        <w:rPr>
          <w:b/>
        </w:rPr>
        <w:t xml:space="preserve">How the value reaches the Performance Agent (input path). </w:t>
      </w:r>
    </w:p>
    <w:p>
      <w:pPr>
        <w:pStyle w:val="ListBullet"/>
        <w:spacing w:after="60"/>
      </w:pPr>
      <w:r>
        <w:t xml:space="preserve">When an email is first generated for a lead, </w:t>
      </w:r>
      <w:r>
        <w:rPr>
          <w:rFonts w:ascii="Consolas" w:hAnsi="Consolas"/>
          <w:color w:val="8A3B00"/>
          <w:sz w:val="19"/>
        </w:rPr>
        <w:t>ensure_variant_for_lead()</w:t>
      </w:r>
      <w:r>
        <w:t xml:space="preserve"> resolves the lead's title to a bucket and stores that bucket name in </w:t>
      </w:r>
      <w:r>
        <w:rPr>
          <w:rFonts w:ascii="Consolas" w:hAnsi="Consolas"/>
          <w:color w:val="8A3B00"/>
          <w:sz w:val="19"/>
        </w:rPr>
        <w:t>nexus_lead_emails.variant_key</w:t>
      </w:r>
      <w:r>
        <w:t>.</w:t>
      </w:r>
    </w:p>
    <w:p>
      <w:pPr>
        <w:pStyle w:val="ListBullet"/>
        <w:spacing w:after="60"/>
      </w:pPr>
      <w:r>
        <w:rPr>
          <w:rFonts w:ascii="Consolas" w:hAnsi="Consolas"/>
          <w:color w:val="8A3B00"/>
          <w:sz w:val="19"/>
        </w:rPr>
        <w:t>aggregator.py</w:t>
      </w:r>
      <w:r>
        <w:t xml:space="preserve"> joins nexus_touchpoints (one row per actual send) to nexus_lead_emails on (lead_sequence_id, step), pulling variant_key onto every OutreachRow it builds.</w:t>
      </w:r>
    </w:p>
    <w:p>
      <w:pPr>
        <w:pStyle w:val="ListBullet"/>
        <w:spacing w:after="60"/>
      </w:pPr>
      <w:r>
        <w:rPr>
          <w:rFonts w:ascii="Consolas" w:hAnsi="Consolas"/>
          <w:color w:val="8A3B00"/>
          <w:sz w:val="19"/>
        </w:rPr>
        <w:t>dimensions.py</w:t>
      </w:r>
      <w:r>
        <w:t xml:space="preserve"> turns that into a (“variant”, bucket_name) slice for scoring — identical treatment to every other dimension.</w:t>
      </w:r>
    </w:p>
    <w:p>
      <w:r>
        <w:rPr>
          <w:b/>
        </w:rPr>
        <w:t xml:space="preserve">What is calculated (output). </w:t>
      </w:r>
      <w:r>
        <w:t>scorer.py groups every outreach row by persona bucket and computes, per bucket: sends (how many attempts used that pitch), successes (how many produced the outcome for the selected metric tab), raw_rate = successes ÷ sends (the plain percentage shown on the dashboard), and posterior_mean (the Bayesian-shrunk score that actually decides rank order — see §4.2). The ranked list surfaces in three places: the Email Persona panel, the at-a-glance ring row, and the 5-point recommendation list (e.g. “Focus on CMOs in your outreach sequences”).</w:t>
      </w:r>
    </w:p>
    <w:p>
      <w:r>
        <w:rPr>
          <w:b/>
        </w:rPr>
        <w:t xml:space="preserve">Simulated data uses the same real vocabulary. </w:t>
      </w:r>
      <w:r>
        <w:t>Early in development the synthetic-data path used placeholder codes (cfo_v1, cmo_v1, generic_v1) that looked obviously fake next to real persona names. This was corrected: the simulator's persona list, and the prompt sent to Gemini for synthetic generation, both now draw from the exact same 13 real PERSONA_BUCKETS names — simulated and real data are visually indistinguishable in the UI, as intended.</w:t>
      </w:r>
    </w:p>
    <w:p>
      <w:r>
        <w:rPr>
          <w:b/>
        </w:rPr>
        <w:t xml:space="preserve">Known limitation — email channel only. </w:t>
      </w:r>
      <w:r>
        <w:t>This dimension is populated only for email sends. LinkedIn outreach is generated by a completely separate module (gtm/linkedin/content_generator.py) with its own “note / message / follow-up / close” variant system, unrelated to PERSONA_BUCKETS, and it never writes to nexus_lead_emails. A LinkedIn touchpoint therefore has no match on the aggregator's join and is labeled “unknown.” Practical consequence: the Email Persona ranking should be read as email-specific, not channel-agnostic, until (if ever) LinkedIn content adopts an equivalent persona-bucket system.</w:t>
      </w:r>
    </w:p>
    <w:p>
      <w:r>
        <w:rPr>
          <w:b/>
        </w:rPr>
        <w:t xml:space="preserve">How this differs from “Job Title.” </w:t>
      </w:r>
      <w:r>
        <w:t>Job Title (segment:role) is the lead's literal, unmodified title string — many distinct values (“VP of Marketing,” “Head of Growth Marketing,” “Director of Demand Gen” all stay separate). Email Persona is the coarser bucket those titles collapse into (all three of the examples above map to just 2–3 persona buckets). The two rankings are related but answer different questions: Job Title tells you the exact title that converts best; Email Persona tells you which pitch angle to keep writing — the latter is what you can directly act on.</w:t>
      </w:r>
    </w:p>
    <w:p>
      <w:pPr>
        <w:pStyle w:val="Heading2"/>
      </w:pPr>
      <w:r>
        <w:t>3.2 Send-Time Timezone Handling</w:t>
      </w:r>
    </w:p>
    <w:p>
      <w:r>
        <w:t xml:space="preserve">Best Send Time: </w:t>
      </w:r>
      <w:r>
        <w:t>nexus_touchpoints.sent_at is stored as naive UTC. Send-time buckets are shifted to IST (UTC+5:30) before computing the weekday/hour window, matching the same convention already used elsewhere in this codebase (sequencer.py's daily-send-cap reset) — not an arbitrary choice. The dashboard labels the unit explicitly (e.g. “Tuesdays, 9-12 IST”) so it is never ambiguous which timezone the hours refer to.</w:t>
      </w:r>
    </w:p>
    <w:p>
      <w:pPr>
        <w:pStyle w:val="Heading1"/>
      </w:pPr>
      <w:r>
        <w:t>4. Scoring Methodology</w:t>
      </w:r>
    </w:p>
    <w:p>
      <w:pPr>
        <w:pStyle w:val="Heading2"/>
      </w:pPr>
      <w:r>
        <w:t>4.1 Three ranking metrics</w:t>
      </w:r>
    </w:p>
    <w:tbl>
      <w:tblPr>
        <w:tblStyle w:val="LightGrid-Accent2"/>
        <w:tblW w:type="auto" w:w="0"/>
        <w:jc w:val="left"/>
        <w:tblLook w:firstColumn="1" w:firstRow="1" w:lastColumn="0" w:lastRow="0" w:noHBand="0" w:noVBand="1" w:val="04A0"/>
      </w:tblPr>
      <w:tblGrid>
        <w:gridCol w:w="4320"/>
        <w:gridCol w:w="4320"/>
      </w:tblGrid>
      <w:tr>
        <w:tc>
          <w:tcPr>
            <w:tcW w:type="dxa" w:w="2304"/>
            <w:shd w:val="clear" w:fill="2B2926"/>
          </w:tcPr>
          <w:p>
            <w:r/>
            <w:r>
              <w:rPr>
                <w:b/>
                <w:color w:val="FFFFFF"/>
                <w:sz w:val="19"/>
              </w:rPr>
              <w:t>Metric</w:t>
            </w:r>
          </w:p>
        </w:tc>
        <w:tc>
          <w:tcPr>
            <w:tcW w:type="dxa" w:w="7200"/>
            <w:shd w:val="clear" w:fill="2B2926"/>
          </w:tcPr>
          <w:p>
            <w:r/>
            <w:r>
              <w:rPr>
                <w:b/>
                <w:color w:val="FFFFFF"/>
                <w:sz w:val="19"/>
              </w:rPr>
              <w:t>What it measures</w:t>
            </w:r>
          </w:p>
        </w:tc>
      </w:tr>
      <w:tr>
        <w:tc>
          <w:tcPr>
            <w:tcW w:type="dxa" w:w="2304"/>
          </w:tcPr>
          <w:p>
            <w:r/>
            <w:r>
              <w:rPr>
                <w:sz w:val="19"/>
              </w:rPr>
              <w:t>positive_reply</w:t>
            </w:r>
          </w:p>
        </w:tc>
        <w:tc>
          <w:tcPr>
            <w:tcW w:type="dxa" w:w="7200"/>
          </w:tcPr>
          <w:p>
            <w:r/>
            <w:r>
              <w:rPr>
                <w:sz w:val="19"/>
              </w:rPr>
              <w:t>Share of sends where the lead replied with intent ∈ {INTERESTED, DEMO_SCHEDULED}</w:t>
            </w:r>
          </w:p>
        </w:tc>
      </w:tr>
      <w:tr>
        <w:tc>
          <w:tcPr>
            <w:tcW w:type="dxa" w:w="2304"/>
          </w:tcPr>
          <w:p>
            <w:r/>
            <w:r>
              <w:rPr>
                <w:sz w:val="19"/>
              </w:rPr>
              <w:t>meeting_booked</w:t>
            </w:r>
          </w:p>
        </w:tc>
        <w:tc>
          <w:tcPr>
            <w:tcW w:type="dxa" w:w="7200"/>
          </w:tcPr>
          <w:p>
            <w:r/>
            <w:r>
              <w:rPr>
                <w:sz w:val="19"/>
              </w:rPr>
              <w:t>Share of sends that resulted in a real meeting booking (nexus_demo_bookings)</w:t>
            </w:r>
          </w:p>
        </w:tc>
      </w:tr>
      <w:tr>
        <w:tc>
          <w:tcPr>
            <w:tcW w:type="dxa" w:w="2304"/>
          </w:tcPr>
          <w:p>
            <w:r/>
            <w:r>
              <w:rPr>
                <w:sz w:val="19"/>
              </w:rPr>
              <w:t>combined</w:t>
            </w:r>
          </w:p>
        </w:tc>
        <w:tc>
          <w:tcPr>
            <w:tcW w:type="dxa" w:w="7200"/>
          </w:tcPr>
          <w:p>
            <w:r/>
            <w:r>
              <w:rPr>
                <w:sz w:val="19"/>
              </w:rPr>
              <w:t>A weighted blend: 0.4 × positive_reply + 0.6 × meeting_booked (meeting booked weighted higher as the stronger buying signal)</w:t>
            </w:r>
          </w:p>
        </w:tc>
      </w:tr>
    </w:tbl>
    <w:p>
      <w:pPr>
        <w:spacing w:after="80"/>
      </w:pPr>
    </w:p>
    <w:p>
      <w:r>
        <w:t>Plain “reply” (any inbound message, including rejections and out-of-office replies) is deliberately excluded as a standalone ranking metric — it is not an actionable signal on its own.</w:t>
      </w:r>
    </w:p>
    <w:p>
      <w:pPr>
        <w:pStyle w:val="Heading2"/>
      </w:pPr>
      <w:r>
        <w:t>4.2 Bayesian ranking, not raw percentages</w:t>
      </w:r>
    </w:p>
    <w:p>
      <w:r>
        <w:t>Every (dimension, value) slice is scored with a Beta-Binomial posterior rather than a naive successes ÷ sends percentage. This prevents a slice with 3 sends and 2 replies (67%) from outranking a slice with 200 sends and 40 replies (20%).</w:t>
      </w:r>
    </w:p>
    <w:p>
      <w:pPr>
        <w:pStyle w:val="ListBullet"/>
        <w:spacing w:after="60"/>
      </w:pPr>
      <w:r>
        <w:t>Prior: Beta(α=1, β=19) — centered at ~5%, a conservative cold-outreach baseline.</w:t>
      </w:r>
    </w:p>
    <w:p>
      <w:pPr>
        <w:pStyle w:val="ListBullet"/>
        <w:spacing w:after="60"/>
      </w:pPr>
      <w:r>
        <w:t xml:space="preserve">Recency weighting: each event is exponentially decayed with a 60-day half-life, anchored to the freshest timestamp </w:t>
      </w:r>
      <w:r>
        <w:rPr>
          <w:rFonts w:ascii="Consolas" w:hAnsi="Consolas"/>
          <w:color w:val="8A3B00"/>
          <w:sz w:val="19"/>
        </w:rPr>
        <w:t>in the dataset itself</w:t>
      </w:r>
      <w:r>
        <w:t xml:space="preserve"> (not wall-clock “now”) — see §7 for why this matters.</w:t>
      </w:r>
    </w:p>
    <w:p>
      <w:pPr>
        <w:pStyle w:val="ListBullet"/>
        <w:spacing w:after="60"/>
      </w:pPr>
      <w:r>
        <w:t>posterior_mean drives sort order; raw_rate (the true empirical rate) is what's displayed to the user — these are intentionally different numbers for different purposes.</w:t>
      </w:r>
    </w:p>
    <w:p>
      <w:pPr>
        <w:pStyle w:val="ListBullet"/>
        <w:spacing w:after="60"/>
      </w:pPr>
      <w:r>
        <w:t>Any slice with fewer than 10 sends (min_sample_size) is flagged low-confidence — shown, never hidden, since an early signal is still worth seeing.</w:t>
      </w:r>
    </w:p>
    <w:p>
      <w:pPr>
        <w:pStyle w:val="Heading2"/>
      </w:pPr>
      <w:r>
        <w:t>4.3 The Combined score is not a literal rate</w:t>
      </w:r>
    </w:p>
    <w:p>
      <w:r>
        <w:t>The Combined metric blends the raw rates of the other two metrics using the same 0.4 / 0.6 weights as its posterior blend. It is displayed as a percentage for consistency of presentation, but it is a composite index, not an observed frequency — the UI labels it “Overall Score” with an explanatory caption rather than implying it is a literal reply rate.</w:t>
      </w:r>
    </w:p>
    <w:p>
      <w:pPr>
        <w:pStyle w:val="Heading1"/>
      </w:pPr>
      <w:r>
        <w:t>5. Cold-Start Handling: Real vs. Simulated Data</w:t>
      </w:r>
    </w:p>
    <w:p>
      <w:r>
        <w:t>A brand-new workspace has no send history, so ranking real data would produce an empty or meaningless report. The agent instead falls back to clearly-labeled simulated data until there is enough real signal to trust.</w:t>
      </w:r>
    </w:p>
    <w:p>
      <w:pPr>
        <w:pStyle w:val="Heading2"/>
      </w:pPr>
      <w:r>
        <w:t>5.1 The two-gate switch</w:t>
      </w:r>
    </w:p>
    <w:p>
      <w:r>
        <w:t>Both conditions must be true before the agent will show real data — volume alone is not sufficient:</w:t>
      </w:r>
    </w:p>
    <w:tbl>
      <w:tblPr>
        <w:tblStyle w:val="LightGrid-Accent2"/>
        <w:tblW w:type="auto" w:w="0"/>
        <w:jc w:val="left"/>
        <w:tblLook w:firstColumn="1" w:firstRow="1" w:lastColumn="0" w:lastRow="0" w:noHBand="0" w:noVBand="1" w:val="04A0"/>
      </w:tblPr>
      <w:tblGrid>
        <w:gridCol w:w="2880"/>
        <w:gridCol w:w="2880"/>
        <w:gridCol w:w="2880"/>
      </w:tblGrid>
      <w:tr>
        <w:tc>
          <w:tcPr>
            <w:tcW w:type="dxa" w:w="1728"/>
            <w:shd w:val="clear" w:fill="2B2926"/>
          </w:tcPr>
          <w:p>
            <w:r/>
            <w:r>
              <w:rPr>
                <w:b/>
                <w:color w:val="FFFFFF"/>
                <w:sz w:val="19"/>
              </w:rPr>
              <w:t>Gate</w:t>
            </w:r>
          </w:p>
        </w:tc>
        <w:tc>
          <w:tcPr>
            <w:tcW w:type="dxa" w:w="4032"/>
            <w:shd w:val="clear" w:fill="2B2926"/>
          </w:tcPr>
          <w:p>
            <w:r/>
            <w:r>
              <w:rPr>
                <w:b/>
                <w:color w:val="FFFFFF"/>
                <w:sz w:val="19"/>
              </w:rPr>
              <w:t>Threshold</w:t>
            </w:r>
          </w:p>
        </w:tc>
        <w:tc>
          <w:tcPr>
            <w:tcW w:type="dxa" w:w="3744"/>
            <w:shd w:val="clear" w:fill="2B2926"/>
          </w:tcPr>
          <w:p>
            <w:r/>
            <w:r>
              <w:rPr>
                <w:b/>
                <w:color w:val="FFFFFF"/>
                <w:sz w:val="19"/>
              </w:rPr>
              <w:t>Why</w:t>
            </w:r>
          </w:p>
        </w:tc>
      </w:tr>
      <w:tr>
        <w:tc>
          <w:tcPr>
            <w:tcW w:type="dxa" w:w="1728"/>
          </w:tcPr>
          <w:p>
            <w:r/>
            <w:r>
              <w:rPr>
                <w:sz w:val="19"/>
              </w:rPr>
              <w:t>Sends</w:t>
            </w:r>
          </w:p>
        </w:tc>
        <w:tc>
          <w:tcPr>
            <w:tcW w:type="dxa" w:w="4032"/>
          </w:tcPr>
          <w:p>
            <w:r/>
            <w:r>
              <w:rPr>
                <w:sz w:val="19"/>
              </w:rPr>
              <w:t>≥ 50 real touchpoints (PERFORMANCE_MIN_REAL_TOUCHPOINTS)</w:t>
            </w:r>
          </w:p>
        </w:tc>
        <w:tc>
          <w:tcPr>
            <w:tcW w:type="dxa" w:w="3744"/>
          </w:tcPr>
          <w:p>
            <w:r/>
            <w:r>
              <w:rPr>
                <w:sz w:val="19"/>
              </w:rPr>
              <w:t>Enough trials for several slices to individually clear the 10-send confidence floor</w:t>
            </w:r>
          </w:p>
        </w:tc>
      </w:tr>
      <w:tr>
        <w:tc>
          <w:tcPr>
            <w:tcW w:type="dxa" w:w="1728"/>
          </w:tcPr>
          <w:p>
            <w:r/>
            <w:r>
              <w:rPr>
                <w:sz w:val="19"/>
              </w:rPr>
              <w:t>Outcomes</w:t>
            </w:r>
          </w:p>
        </w:tc>
        <w:tc>
          <w:tcPr>
            <w:tcW w:type="dxa" w:w="4032"/>
          </w:tcPr>
          <w:p>
            <w:r/>
            <w:r>
              <w:rPr>
                <w:sz w:val="19"/>
              </w:rPr>
              <w:t>≥ 10 real positive replies + meetings (PERFORMANCE_MIN_REAL_OUTCOMES)</w:t>
            </w:r>
          </w:p>
        </w:tc>
        <w:tc>
          <w:tcPr>
            <w:tcW w:type="dxa" w:w="3744"/>
          </w:tcPr>
          <w:p>
            <w:r/>
            <w:r>
              <w:rPr>
                <w:sz w:val="19"/>
              </w:rPr>
              <w:t>Volume alone does not prove the data is informative — 500 sends with 0 replies would still produce a flat, uninformative ranking</w:t>
            </w:r>
          </w:p>
        </w:tc>
      </w:tr>
    </w:tbl>
    <w:p>
      <w:pPr>
        <w:spacing w:after="80"/>
      </w:pPr>
    </w:p>
    <w:p>
      <w:r>
        <w:t>Both thresholds are environment-tunable without a redeploy, following the same pattern as AGENT10_ACCEPT_THRESHOLD elsewhere in this codebase.</w:t>
      </w:r>
    </w:p>
    <w:p>
      <w:pPr>
        <w:pStyle w:val="Heading2"/>
      </w:pPr>
      <w:r>
        <w:t>5.2 Guardrails</w:t>
      </w:r>
    </w:p>
    <w:p>
      <w:pPr>
        <w:pStyle w:val="ListBullet"/>
        <w:spacing w:after="60"/>
      </w:pPr>
      <w:r>
        <w:t>Never blended: one generate() call uses exactly one data source, end to end — no run averages a simulated slice with a real one.</w:t>
      </w:r>
    </w:p>
    <w:p>
      <w:pPr>
        <w:pStyle w:val="ListBullet"/>
        <w:spacing w:after="60"/>
      </w:pPr>
      <w:r>
        <w:t>Simulated insights are visibly tagged (an amber “Demo Data” badge) — never shown as if they were real.</w:t>
      </w:r>
    </w:p>
    <w:p>
      <w:pPr>
        <w:pStyle w:val="ListBullet"/>
        <w:spacing w:after="60"/>
      </w:pPr>
      <w:r>
        <w:t>The feedback loop (§6) only ever reads real-tagged winning-pattern rows — fabricated patterns can never bias real outreach copy.</w:t>
      </w:r>
    </w:p>
    <w:p>
      <w:pPr>
        <w:pStyle w:val="ListBullet"/>
        <w:spacing w:after="60"/>
      </w:pPr>
      <w:r>
        <w:t>No purge at the crossover: once a workspace crosses both gates, the next insight is simply tagged 'real'; older simulated insights remain as labeled history.</w:t>
      </w:r>
    </w:p>
    <w:p>
      <w:pPr>
        <w:pStyle w:val="Heading1"/>
      </w:pPr>
      <w:r>
        <w:t>6. AI / LLM Integration</w:t>
      </w:r>
    </w:p>
    <w:p>
      <w:r>
        <w:t>All LLM calls use the existing Gemini client (nexus/services/gemini.py) already standard throughout this codebase — no new provider, dependency, or secret was introduced.</w:t>
      </w:r>
    </w:p>
    <w:p>
      <w:pPr>
        <w:pStyle w:val="Heading2"/>
      </w:pPr>
      <w:r>
        <w:t>6.1 Two independent Gemini call sites</w:t>
      </w:r>
    </w:p>
    <w:tbl>
      <w:tblPr>
        <w:tblStyle w:val="LightGrid-Accent2"/>
        <w:tblW w:type="auto" w:w="0"/>
        <w:jc w:val="left"/>
        <w:tblLook w:firstColumn="1" w:firstRow="1" w:lastColumn="0" w:lastRow="0" w:noHBand="0" w:noVBand="1" w:val="04A0"/>
      </w:tblPr>
      <w:tblGrid>
        <w:gridCol w:w="2880"/>
        <w:gridCol w:w="2880"/>
        <w:gridCol w:w="2880"/>
      </w:tblGrid>
      <w:tr>
        <w:tc>
          <w:tcPr>
            <w:tcW w:type="dxa" w:w="1584"/>
            <w:shd w:val="clear" w:fill="2B2926"/>
          </w:tcPr>
          <w:p>
            <w:r/>
            <w:r>
              <w:rPr>
                <w:b/>
                <w:color w:val="FFFFFF"/>
                <w:sz w:val="19"/>
              </w:rPr>
              <w:t>Call site</w:t>
            </w:r>
          </w:p>
        </w:tc>
        <w:tc>
          <w:tcPr>
            <w:tcW w:type="dxa" w:w="4608"/>
            <w:shd w:val="clear" w:fill="2B2926"/>
          </w:tcPr>
          <w:p>
            <w:r/>
            <w:r>
              <w:rPr>
                <w:b/>
                <w:color w:val="FFFFFF"/>
                <w:sz w:val="19"/>
              </w:rPr>
              <w:t>Purpose</w:t>
            </w:r>
          </w:p>
        </w:tc>
        <w:tc>
          <w:tcPr>
            <w:tcW w:type="dxa" w:w="3888"/>
            <w:shd w:val="clear" w:fill="2B2926"/>
          </w:tcPr>
          <w:p>
            <w:r/>
            <w:r>
              <w:rPr>
                <w:b/>
                <w:color w:val="FFFFFF"/>
                <w:sz w:val="19"/>
              </w:rPr>
              <w:t>Fallback on failure</w:t>
            </w:r>
          </w:p>
        </w:tc>
      </w:tr>
      <w:tr>
        <w:tc>
          <w:tcPr>
            <w:tcW w:type="dxa" w:w="1584"/>
          </w:tcPr>
          <w:p>
            <w:r/>
            <w:r>
              <w:rPr>
                <w:sz w:val="19"/>
              </w:rPr>
              <w:t>simulator.py</w:t>
            </w:r>
          </w:p>
        </w:tc>
        <w:tc>
          <w:tcPr>
            <w:tcW w:type="dxa" w:w="4608"/>
          </w:tcPr>
          <w:p>
            <w:r/>
            <w:r>
              <w:rPr>
                <w:sz w:val="19"/>
              </w:rPr>
              <w:t>Generates a realistic, deliberately-biased batch of synthetic outreach rows for cold-start display and offline validation</w:t>
            </w:r>
          </w:p>
        </w:tc>
        <w:tc>
          <w:tcPr>
            <w:tcW w:type="dxa" w:w="3888"/>
          </w:tcPr>
          <w:p>
            <w:r/>
            <w:r>
              <w:rPr>
                <w:sz w:val="19"/>
              </w:rPr>
              <w:t>Deterministic local generator (fixed persona/industry/timing vocabulary, seeded random) — triggered on API failure OR an unreliable/undersized batch</w:t>
            </w:r>
          </w:p>
        </w:tc>
      </w:tr>
      <w:tr>
        <w:tc>
          <w:tcPr>
            <w:tcW w:type="dxa" w:w="1584"/>
          </w:tcPr>
          <w:p>
            <w:r/>
            <w:r>
              <w:rPr>
                <w:sz w:val="19"/>
              </w:rPr>
              <w:t>generator.py</w:t>
            </w:r>
          </w:p>
        </w:tc>
        <w:tc>
          <w:tcPr>
            <w:tcW w:type="dxa" w:w="4608"/>
          </w:tcPr>
          <w:p>
            <w:r/>
            <w:r>
              <w:rPr>
                <w:sz w:val="19"/>
              </w:rPr>
              <w:t>Turns ranked statistics into a structured recommendation: headline, 2–3 sentence summary, 3 quick-win phrases, 5 detailed title+detail actions, and a caveat</w:t>
            </w:r>
          </w:p>
        </w:tc>
        <w:tc>
          <w:tcPr>
            <w:tcW w:type="dxa" w:w="3888"/>
          </w:tcPr>
          <w:p>
            <w:r/>
            <w:r>
              <w:rPr>
                <w:sz w:val="19"/>
              </w:rPr>
              <w:t>Template built directly from the same ranked data — same 5-action structure, same information, plainer prose</w:t>
            </w:r>
          </w:p>
        </w:tc>
      </w:tr>
    </w:tbl>
    <w:p>
      <w:pPr>
        <w:spacing w:after="80"/>
      </w:pPr>
    </w:p>
    <w:p>
      <w:pPr>
        <w:pStyle w:val="Heading2"/>
      </w:pPr>
      <w:r>
        <w:t>6.2 Reliability floor (a real bug found in production testing)</w:t>
      </w:r>
    </w:p>
    <w:p>
      <w:r>
        <w:t>Live testing found that Gemini does not reliably follow row-count or realistic-distribution instructions — one call requested 300 synthetic rows and received 15, with every row marked as a 100% success (a degenerate, meaningless batch). A minimum-row floor (50) was added: any Gemini batch smaller than that is discarded in favor of the deterministic generator, which always returns the exact requested volume with a controlled, realistic distribution.</w:t>
      </w:r>
    </w:p>
    <w:p>
      <w:pPr>
        <w:pStyle w:val="Heading1"/>
      </w:pPr>
      <w:r>
        <w:t>7. Verification and Issues Found During Build</w:t>
      </w:r>
    </w:p>
    <w:p>
      <w:r>
        <w:t>This feature was verified by direct execution, not only code review: an offline validation script with deliberately-biased synthetic data proves the scoring math recovers a known-correct ranking, and the full pipeline was run against the live shared database (isolated inside a dedicated test workspace) with real Gemini calls, real inserts, and real deletes.</w:t>
      </w:r>
    </w:p>
    <w:p>
      <w:r>
        <w:t>Genuine defects caught this way, before reaching a real user:</w:t>
      </w:r>
    </w:p>
    <w:tbl>
      <w:tblPr>
        <w:tblStyle w:val="LightGrid-Accent2"/>
        <w:tblW w:type="auto" w:w="0"/>
        <w:jc w:val="left"/>
        <w:tblLook w:firstColumn="1" w:firstRow="1" w:lastColumn="0" w:lastRow="0" w:noHBand="0" w:noVBand="1" w:val="04A0"/>
      </w:tblPr>
      <w:tblGrid>
        <w:gridCol w:w="2880"/>
        <w:gridCol w:w="2880"/>
        <w:gridCol w:w="2880"/>
      </w:tblGrid>
      <w:tr>
        <w:tc>
          <w:tcPr>
            <w:tcW w:type="dxa" w:w="1872"/>
            <w:shd w:val="clear" w:fill="2B2926"/>
          </w:tcPr>
          <w:p>
            <w:r/>
            <w:r>
              <w:rPr>
                <w:b/>
                <w:color w:val="FFFFFF"/>
                <w:sz w:val="19"/>
              </w:rPr>
              <w:t>Issue</w:t>
            </w:r>
          </w:p>
        </w:tc>
        <w:tc>
          <w:tcPr>
            <w:tcW w:type="dxa" w:w="4320"/>
            <w:shd w:val="clear" w:fill="2B2926"/>
          </w:tcPr>
          <w:p>
            <w:r/>
            <w:r>
              <w:rPr>
                <w:b/>
                <w:color w:val="FFFFFF"/>
                <w:sz w:val="19"/>
              </w:rPr>
              <w:t>Root cause</w:t>
            </w:r>
          </w:p>
        </w:tc>
        <w:tc>
          <w:tcPr>
            <w:tcW w:type="dxa" w:w="3312"/>
            <w:shd w:val="clear" w:fill="2B2926"/>
          </w:tcPr>
          <w:p>
            <w:r/>
            <w:r>
              <w:rPr>
                <w:b/>
                <w:color w:val="FFFFFF"/>
                <w:sz w:val="19"/>
              </w:rPr>
              <w:t>Fix</w:t>
            </w:r>
          </w:p>
        </w:tc>
      </w:tr>
      <w:tr>
        <w:tc>
          <w:tcPr>
            <w:tcW w:type="dxa" w:w="1872"/>
          </w:tcPr>
          <w:p>
            <w:r/>
            <w:r>
              <w:rPr>
                <w:sz w:val="19"/>
              </w:rPr>
              <w:t>Recency-decay bug</w:t>
            </w:r>
          </w:p>
        </w:tc>
        <w:tc>
          <w:tcPr>
            <w:tcW w:type="dxa" w:w="4320"/>
          </w:tcPr>
          <w:p>
            <w:r/>
            <w:r>
              <w:rPr>
                <w:sz w:val="19"/>
              </w:rPr>
              <w:t>posterior_mean was silently collapsing toward the prior baseline for any dataset whose timestamps weren't close to real wall-clock time — the ranking became meaningless while displayed numbers still looked plausible.</w:t>
            </w:r>
          </w:p>
        </w:tc>
        <w:tc>
          <w:tcPr>
            <w:tcW w:type="dxa" w:w="3312"/>
          </w:tcPr>
          <w:p>
            <w:r/>
            <w:r>
              <w:rPr>
                <w:sz w:val="19"/>
              </w:rPr>
              <w:t>Anchor decay to the dataset's own latest timestamp instead of datetime.utcnow().</w:t>
            </w:r>
          </w:p>
        </w:tc>
      </w:tr>
      <w:tr>
        <w:tc>
          <w:tcPr>
            <w:tcW w:type="dxa" w:w="1872"/>
          </w:tcPr>
          <w:p>
            <w:r/>
            <w:r>
              <w:rPr>
                <w:sz w:val="19"/>
              </w:rPr>
              <w:t>Unreliable Gemini batches</w:t>
            </w:r>
          </w:p>
        </w:tc>
        <w:tc>
          <w:tcPr>
            <w:tcW w:type="dxa" w:w="4320"/>
          </w:tcPr>
          <w:p>
            <w:r/>
            <w:r>
              <w:rPr>
                <w:sz w:val="19"/>
              </w:rPr>
              <w:t>Live calls returned as few as 15–30 rows for a requested 300, sometimes with a degenerate 100%-success distribution.</w:t>
            </w:r>
          </w:p>
        </w:tc>
        <w:tc>
          <w:tcPr>
            <w:tcW w:type="dxa" w:w="3312"/>
          </w:tcPr>
          <w:p>
            <w:r/>
            <w:r>
              <w:rPr>
                <w:sz w:val="19"/>
              </w:rPr>
              <w:t>50-row reliability floor; falls back to the deterministic generator below it.</w:t>
            </w:r>
          </w:p>
        </w:tc>
      </w:tr>
      <w:tr>
        <w:tc>
          <w:tcPr>
            <w:tcW w:type="dxa" w:w="1872"/>
          </w:tcPr>
          <w:p>
            <w:r/>
            <w:r>
              <w:rPr>
                <w:sz w:val="19"/>
              </w:rPr>
              <w:t>Invalid HTML / broken clicks</w:t>
            </w:r>
          </w:p>
        </w:tc>
        <w:tc>
          <w:tcPr>
            <w:tcW w:type="dxa" w:w="4320"/>
          </w:tcPr>
          <w:p>
            <w:r/>
            <w:r>
              <w:rPr>
                <w:sz w:val="19"/>
              </w:rPr>
              <w:t>A delete &lt;button&gt; was nested inside another &lt;button&gt; in the History row — invalid DOM that browsers silently restructure, breaking the click handlers.</w:t>
            </w:r>
          </w:p>
        </w:tc>
        <w:tc>
          <w:tcPr>
            <w:tcW w:type="dxa" w:w="3312"/>
          </w:tcPr>
          <w:p>
            <w:r/>
            <w:r>
              <w:rPr>
                <w:sz w:val="19"/>
              </w:rPr>
              <w:t>Restructured so the delete control is a sibling element, not nested.</w:t>
            </w:r>
          </w:p>
        </w:tc>
      </w:tr>
      <w:tr>
        <w:tc>
          <w:tcPr>
            <w:tcW w:type="dxa" w:w="1872"/>
          </w:tcPr>
          <w:p>
            <w:r/>
            <w:r>
              <w:rPr>
                <w:sz w:val="19"/>
              </w:rPr>
              <w:t>Ring-label truncation</w:t>
            </w:r>
          </w:p>
        </w:tc>
        <w:tc>
          <w:tcPr>
            <w:tcW w:type="dxa" w:w="4320"/>
          </w:tcPr>
          <w:p>
            <w:r/>
            <w:r>
              <w:rPr>
                <w:sz w:val="19"/>
              </w:rPr>
              <w:t>A single truncated line was cutting dimension/value text off inconsistently depending on length (e.g. “Best Send Time: Tuesdays” missing its hour range).</w:t>
            </w:r>
          </w:p>
        </w:tc>
        <w:tc>
          <w:tcPr>
            <w:tcW w:type="dxa" w:w="3312"/>
          </w:tcPr>
          <w:p>
            <w:r/>
            <w:r>
              <w:rPr>
                <w:sz w:val="19"/>
              </w:rPr>
              <w:t>Split into two lines that wrap instead of ellipsis-truncating; widened the tile.</w:t>
            </w:r>
          </w:p>
        </w:tc>
      </w:tr>
      <w:tr>
        <w:tc>
          <w:tcPr>
            <w:tcW w:type="dxa" w:w="1872"/>
          </w:tcPr>
          <w:p>
            <w:r/>
            <w:r>
              <w:rPr>
                <w:sz w:val="19"/>
              </w:rPr>
              <w:t>Misleading Combined percentage</w:t>
            </w:r>
          </w:p>
        </w:tc>
        <w:tc>
          <w:tcPr>
            <w:tcW w:type="dxa" w:w="4320"/>
          </w:tcPr>
          <w:p>
            <w:r/>
            <w:r>
              <w:rPr>
                <w:sz w:val="19"/>
              </w:rPr>
              <w:t>The Combined metric's displayed percentage was identical to its internal Bayesian posterior_mean — a blended composite dressed up as if it were a literal observed rate.</w:t>
            </w:r>
          </w:p>
        </w:tc>
        <w:tc>
          <w:tcPr>
            <w:tcW w:type="dxa" w:w="3312"/>
          </w:tcPr>
          <w:p>
            <w:r/>
            <w:r>
              <w:rPr>
                <w:sz w:val="19"/>
              </w:rPr>
              <w:t>Combined now computes its own honest raw_rate (blend of the two real observed rates), kept distinct from posterior_mean.</w:t>
            </w:r>
          </w:p>
        </w:tc>
      </w:tr>
      <w:tr>
        <w:tc>
          <w:tcPr>
            <w:tcW w:type="dxa" w:w="1872"/>
          </w:tcPr>
          <w:p>
            <w:r/>
            <w:r>
              <w:rPr>
                <w:sz w:val="19"/>
              </w:rPr>
              <w:t>Timezone mismatch</w:t>
            </w:r>
          </w:p>
        </w:tc>
        <w:tc>
          <w:tcPr>
            <w:tcW w:type="dxa" w:w="4320"/>
          </w:tcPr>
          <w:p>
            <w:r/>
            <w:r>
              <w:rPr>
                <w:sz w:val="19"/>
              </w:rPr>
              <w:t>Send-time buckets used raw UTC hour/weekday with no timezone conversion, so “Tuesday 9-12” didn't correspond to a consistent real-world time.</w:t>
            </w:r>
          </w:p>
        </w:tc>
        <w:tc>
          <w:tcPr>
            <w:tcW w:type="dxa" w:w="3312"/>
          </w:tcPr>
          <w:p>
            <w:r/>
            <w:r>
              <w:rPr>
                <w:sz w:val="19"/>
              </w:rPr>
              <w:t>Shifted to IST, matching this codebase's existing convention (sequencer.py); labeled explicitly in the UI.</w:t>
            </w:r>
          </w:p>
        </w:tc>
      </w:tr>
      <w:tr>
        <w:tc>
          <w:tcPr>
            <w:tcW w:type="dxa" w:w="1872"/>
          </w:tcPr>
          <w:p>
            <w:r/>
            <w:r>
              <w:rPr>
                <w:sz w:val="19"/>
              </w:rPr>
              <w:t>Stale winning-patterns cache</w:t>
            </w:r>
          </w:p>
        </w:tc>
        <w:tc>
          <w:tcPr>
            <w:tcW w:type="dxa" w:w="4320"/>
          </w:tcPr>
          <w:p>
            <w:r/>
            <w:r>
              <w:rPr>
                <w:sz w:val="19"/>
              </w:rPr>
              <w:t>Changing the persona vocabulary left old rows permanently orphaned in nexus_winning_examples, since the upsert only deleted rows matching the exact same key — old and new data accumulated together indefinitely.</w:t>
            </w:r>
          </w:p>
        </w:tc>
        <w:tc>
          <w:tcPr>
            <w:tcW w:type="dxa" w:w="3312"/>
          </w:tcPr>
          <w:p>
            <w:r/>
            <w:r>
              <w:rPr>
                <w:sz w:val="19"/>
              </w:rPr>
              <w:t>Upsert now replaces all rows for (workspace, data_source) on every run, matching the table's documented intent as a current-state cache, not a log.</w:t>
            </w:r>
          </w:p>
        </w:tc>
      </w:tr>
    </w:tbl>
    <w:p>
      <w:pPr>
        <w:spacing w:after="80"/>
      </w:pPr>
    </w:p>
    <w:p>
      <w:pPr>
        <w:pStyle w:val="Heading1"/>
      </w:pPr>
      <w:r>
        <w:t>8. Database Schema</w:t>
      </w:r>
    </w:p>
    <w:p>
      <w:r>
        <w:t>No new tables were required for the core feature. Two tables already existed in the schema (created in an earlier, never-wired-up migration) with zero other references anywhere in the codebase — they were repurposed as the persistence layer.</w:t>
      </w:r>
    </w:p>
    <w:p>
      <w:pPr>
        <w:pStyle w:val="Heading2"/>
      </w:pPr>
      <w:r>
        <w:t>8.1 nexus_performance_insights</w:t>
      </w:r>
    </w:p>
    <w:p>
      <w:pPr>
        <w:pStyle w:val="ListBullet"/>
        <w:spacing w:after="60"/>
      </w:pPr>
      <w:r>
        <w:t>status: running → ready → failed</w:t>
      </w:r>
    </w:p>
    <w:p>
      <w:pPr>
        <w:pStyle w:val="ListBullet"/>
        <w:spacing w:after="60"/>
      </w:pPr>
      <w:r>
        <w:t>metrics (JSONB): {data_source, total_rows}</w:t>
      </w:r>
    </w:p>
    <w:p>
      <w:pPr>
        <w:pStyle w:val="ListBullet"/>
        <w:spacing w:after="60"/>
      </w:pPr>
      <w:r>
        <w:t>outreach_insights (JSONB): the full ranked-slice tables, keyed by metric</w:t>
      </w:r>
    </w:p>
    <w:p>
      <w:pPr>
        <w:pStyle w:val="ListBullet"/>
        <w:spacing w:after="60"/>
      </w:pPr>
      <w:r>
        <w:t>campaign_insights (JSONB) — previously unused, repurposed for the structured {headline, summary, quick_wins, actions, caveat} recommendation block</w:t>
      </w:r>
    </w:p>
    <w:p>
      <w:pPr>
        <w:pStyle w:val="ListBullet"/>
        <w:spacing w:after="60"/>
      </w:pPr>
      <w:r>
        <w:t>summary (TEXT) — a flattened plain-text mirror of the structured block, for any caller reading it directly</w:t>
      </w:r>
    </w:p>
    <w:p>
      <w:pPr>
        <w:pStyle w:val="Heading2"/>
      </w:pPr>
      <w:r>
        <w:t>8.2 nexus_winning_examples</w:t>
      </w:r>
    </w:p>
    <w:p>
      <w:r>
        <w:t>The “current best patterns” cache — replaced (not appended to) on every generate() call, scoped to (workspace_id, data_source). Read by the outreach feedback loop (§6).</w:t>
      </w:r>
    </w:p>
    <w:p>
      <w:pPr>
        <w:pStyle w:val="Heading2"/>
      </w:pPr>
      <w:r>
        <w:t>8.3 Migration phase12.py</w:t>
      </w:r>
    </w:p>
    <w:p>
      <w:r>
        <w:t>The one schema change in this project: a unique index on nexus_winning_examples (workspace_id, example_type, lead_segment), added for defensive idempotency under concurrent generate() calls.</w:t>
      </w:r>
    </w:p>
    <w:p>
      <w:pPr>
        <w:pStyle w:val="Heading1"/>
      </w:pPr>
      <w:r>
        <w:t>9. API Reference</w:t>
      </w:r>
    </w:p>
    <w:tbl>
      <w:tblPr>
        <w:tblStyle w:val="LightGrid-Accent2"/>
        <w:tblW w:type="auto" w:w="0"/>
        <w:jc w:val="left"/>
        <w:tblLook w:firstColumn="1" w:firstRow="1" w:lastColumn="0" w:lastRow="0" w:noHBand="0" w:noVBand="1" w:val="04A0"/>
      </w:tblPr>
      <w:tblGrid>
        <w:gridCol w:w="4320"/>
        <w:gridCol w:w="4320"/>
      </w:tblGrid>
      <w:tr>
        <w:tc>
          <w:tcPr>
            <w:tcW w:type="dxa" w:w="4608"/>
            <w:shd w:val="clear" w:fill="2B2926"/>
          </w:tcPr>
          <w:p>
            <w:r/>
            <w:r>
              <w:rPr>
                <w:b/>
                <w:color w:val="FFFFFF"/>
                <w:sz w:val="19"/>
              </w:rPr>
              <w:t>Method &amp; path</w:t>
            </w:r>
          </w:p>
        </w:tc>
        <w:tc>
          <w:tcPr>
            <w:tcW w:type="dxa" w:w="4896"/>
            <w:shd w:val="clear" w:fill="2B2926"/>
          </w:tcPr>
          <w:p>
            <w:r/>
            <w:r>
              <w:rPr>
                <w:b/>
                <w:color w:val="FFFFFF"/>
                <w:sz w:val="19"/>
              </w:rPr>
              <w:t>Purpose</w:t>
            </w:r>
          </w:p>
        </w:tc>
      </w:tr>
      <w:tr>
        <w:tc>
          <w:tcPr>
            <w:tcW w:type="dxa" w:w="4608"/>
          </w:tcPr>
          <w:p>
            <w:r/>
            <w:r>
              <w:rPr>
                <w:sz w:val="19"/>
              </w:rPr>
              <w:t>GET /nexus/performance</w:t>
            </w:r>
          </w:p>
        </w:tc>
        <w:tc>
          <w:tcPr>
            <w:tcW w:type="dxa" w:w="4896"/>
          </w:tcPr>
          <w:p>
            <w:r/>
            <w:r>
              <w:rPr>
                <w:sz w:val="19"/>
              </w:rPr>
              <w:t>List insights for the caller's workspace, newest first</w:t>
            </w:r>
          </w:p>
        </w:tc>
      </w:tr>
      <w:tr>
        <w:tc>
          <w:tcPr>
            <w:tcW w:type="dxa" w:w="4608"/>
          </w:tcPr>
          <w:p>
            <w:r/>
            <w:r>
              <w:rPr>
                <w:sz w:val="19"/>
              </w:rPr>
              <w:t>POST /nexus/performance/generate</w:t>
            </w:r>
          </w:p>
        </w:tc>
        <w:tc>
          <w:tcPr>
            <w:tcW w:type="dxa" w:w="4896"/>
          </w:tcPr>
          <w:p>
            <w:r/>
            <w:r>
              <w:rPr>
                <w:sz w:val="19"/>
              </w:rPr>
              <w:t>Run one full agent pass; returns the new insight</w:t>
            </w:r>
          </w:p>
        </w:tc>
      </w:tr>
      <w:tr>
        <w:tc>
          <w:tcPr>
            <w:tcW w:type="dxa" w:w="4608"/>
          </w:tcPr>
          <w:p>
            <w:r/>
            <w:r>
              <w:rPr>
                <w:sz w:val="19"/>
              </w:rPr>
              <w:t>GET /nexus/performance/winning-examples</w:t>
            </w:r>
          </w:p>
        </w:tc>
        <w:tc>
          <w:tcPr>
            <w:tcW w:type="dxa" w:w="4896"/>
          </w:tcPr>
          <w:p>
            <w:r/>
            <w:r>
              <w:rPr>
                <w:sz w:val="19"/>
              </w:rPr>
              <w:t>List the current best-pattern cache</w:t>
            </w:r>
          </w:p>
        </w:tc>
      </w:tr>
      <w:tr>
        <w:tc>
          <w:tcPr>
            <w:tcW w:type="dxa" w:w="4608"/>
          </w:tcPr>
          <w:p>
            <w:r/>
            <w:r>
              <w:rPr>
                <w:sz w:val="19"/>
              </w:rPr>
              <w:t>DELETE /nexus/performance/{insight_id}</w:t>
            </w:r>
          </w:p>
        </w:tc>
        <w:tc>
          <w:tcPr>
            <w:tcW w:type="dxa" w:w="4896"/>
          </w:tcPr>
          <w:p>
            <w:r/>
            <w:r>
              <w:rPr>
                <w:sz w:val="19"/>
              </w:rPr>
              <w:t>Delete one insight (workspace-scoped; never cross-tenant)</w:t>
            </w:r>
          </w:p>
        </w:tc>
      </w:tr>
      <w:tr>
        <w:tc>
          <w:tcPr>
            <w:tcW w:type="dxa" w:w="4608"/>
          </w:tcPr>
          <w:p>
            <w:r/>
            <w:r>
              <w:rPr>
                <w:sz w:val="19"/>
              </w:rPr>
              <w:t>GET /nexus/performance/stats</w:t>
            </w:r>
          </w:p>
        </w:tc>
        <w:tc>
          <w:tcPr>
            <w:tcW w:type="dxa" w:w="4896"/>
          </w:tcPr>
          <w:p>
            <w:r/>
            <w:r>
              <w:rPr>
                <w:sz w:val="19"/>
              </w:rPr>
              <w:t>Pre-existing simple campaign-level rollup (untouched)</w:t>
            </w:r>
          </w:p>
        </w:tc>
      </w:tr>
    </w:tbl>
    <w:p>
      <w:pPr>
        <w:spacing w:after="80"/>
      </w:pPr>
    </w:p>
    <w:p>
      <w:pPr>
        <w:pStyle w:val="Heading1"/>
      </w:pPr>
      <w:r>
        <w:t>10. Feedback Loop — Turning Insight into Action</w:t>
      </w:r>
    </w:p>
    <w:p>
      <w:r>
        <w:t>The stated goal of this feature is not just to display statistics but to let winning patterns influence future outreach automatically.</w:t>
      </w:r>
    </w:p>
    <w:p>
      <w:pPr>
        <w:pStyle w:val="ListBullet"/>
        <w:spacing w:after="60"/>
      </w:pPr>
      <w:r>
        <w:t>Each generate() call upserts the top-performing Email Personas into nexus_winning_examples.</w:t>
      </w:r>
    </w:p>
    <w:p>
      <w:pPr>
        <w:pStyle w:val="ListBullet"/>
        <w:spacing w:after="60"/>
      </w:pPr>
      <w:r>
        <w:t>email_kit_generator.py's ensure_variant_for_lead() can look up a high-performing pattern for a matching persona before generating new copy — reusing a known-good approach instead of generating cold.</w:t>
      </w:r>
    </w:p>
    <w:p>
      <w:pPr>
        <w:pStyle w:val="ListBullet"/>
        <w:spacing w:after="60"/>
      </w:pPr>
      <w:r>
        <w:t>This channel is real-data-only by hard rule (§5.2) — simulated demo data can inform what a user sees on the dashboard, but never what copy actually gets sent.</w:t>
      </w:r>
    </w:p>
    <w:p>
      <w:pPr>
        <w:pStyle w:val="Heading1"/>
      </w:pPr>
      <w:r>
        <w:t>11. Frontend — NexusPerformanceAgent.jsx</w:t>
      </w:r>
    </w:p>
    <w:p>
      <w:r>
        <w:t>A new NEXUS dashboard tab (“Performance”), registered in NexusLayout.jsx. Page structure, top to bottom:</w:t>
      </w:r>
    </w:p>
    <w:p>
      <w:pPr>
        <w:pStyle w:val="ListNumber"/>
        <w:spacing w:after="60"/>
      </w:pPr>
      <w:r>
        <w:rPr>
          <w:rFonts w:ascii="Consolas" w:hAnsi="Consolas"/>
          <w:color w:val="8A3B00"/>
          <w:sz w:val="19"/>
        </w:rPr>
        <w:t>Hero card</w:t>
      </w:r>
      <w:r>
        <w:t xml:space="preserve"> — headline, 2–3 sentence summary, a “Demo Data” badge when simulated, and 3 quick-win chips.</w:t>
      </w:r>
    </w:p>
    <w:p>
      <w:pPr>
        <w:pStyle w:val="ListNumber"/>
        <w:spacing w:after="60"/>
      </w:pPr>
      <w:r>
        <w:rPr>
          <w:rFonts w:ascii="Consolas" w:hAnsi="Consolas"/>
          <w:color w:val="8A3B00"/>
          <w:sz w:val="19"/>
        </w:rPr>
        <w:t>At-a-glance ring row</w:t>
      </w:r>
      <w:r>
        <w:t xml:space="preserve"> — 3 circular progress rings (Positive Reply / Meeting Booked / Overall Score) in a 3-column grid, each showing its top 3 distinct winning dimensions.</w:t>
      </w:r>
    </w:p>
    <w:p>
      <w:pPr>
        <w:pStyle w:val="ListNumber"/>
        <w:spacing w:after="60"/>
      </w:pPr>
      <w:r>
        <w:rPr>
          <w:rFonts w:ascii="Consolas" w:hAnsi="Consolas"/>
          <w:color w:val="8A3B00"/>
          <w:sz w:val="19"/>
        </w:rPr>
        <w:t>5-point recommendation list</w:t>
      </w:r>
      <w:r>
        <w:t xml:space="preserve"> — clean, single-line bullet items (title only — supporting detail was deliberately trimmed after review for a cleaner read).</w:t>
      </w:r>
    </w:p>
    <w:p>
      <w:pPr>
        <w:pStyle w:val="ListNumber"/>
        <w:spacing w:after="60"/>
      </w:pPr>
      <w:r>
        <w:rPr>
          <w:rFonts w:ascii="Consolas" w:hAnsi="Consolas"/>
          <w:color w:val="8A3B00"/>
          <w:sz w:val="19"/>
        </w:rPr>
        <w:t>Ranked dimension panels</w:t>
      </w:r>
      <w:r>
        <w:t xml:space="preserve"> — 9 panels, 5 rows each, plain numeric display (no bar chart — removed after review in favor of a bigger, bolder percentage figure).</w:t>
      </w:r>
    </w:p>
    <w:p>
      <w:pPr>
        <w:pStyle w:val="ListNumber"/>
        <w:spacing w:after="60"/>
      </w:pPr>
      <w:r>
        <w:rPr>
          <w:rFonts w:ascii="Consolas" w:hAnsi="Consolas"/>
          <w:color w:val="8A3B00"/>
          <w:sz w:val="19"/>
        </w:rPr>
        <w:t>Patterns to reuse</w:t>
      </w:r>
      <w:r>
        <w:t xml:space="preserve"> — the winning-examples cache, shown as an avatar-style list.</w:t>
      </w:r>
    </w:p>
    <w:p>
      <w:pPr>
        <w:pStyle w:val="ListNumber"/>
        <w:spacing w:after="60"/>
      </w:pPr>
      <w:r>
        <w:rPr>
          <w:rFonts w:ascii="Consolas" w:hAnsi="Consolas"/>
          <w:color w:val="8A3B00"/>
          <w:sz w:val="19"/>
        </w:rPr>
        <w:t>History</w:t>
      </w:r>
      <w:r>
        <w:t xml:space="preserve"> — all older insights, collapsed into an accordion by default; only the latest ready insight is expanded.</w:t>
      </w:r>
    </w:p>
    <w:p>
      <w:r>
        <w:t>Visual design follows this product's existing mandatory 4-color palette (#F55600 orange, #10B981 green, #2B2926 ink, white) throughout — no colors were introduced outside that set, even when adapting layout patterns (shadow cards, progress rings) from an external reference design.</w:t>
      </w:r>
    </w:p>
    <w:p>
      <w:pPr>
        <w:pStyle w:val="Heading1"/>
      </w:pPr>
      <w:r>
        <w:t>12. Known Limitations and Suggested Follow-ups</w:t>
      </w:r>
    </w:p>
    <w:p>
      <w:pPr>
        <w:pStyle w:val="ListBullet"/>
        <w:spacing w:after="60"/>
      </w:pPr>
      <w:r>
        <w:t>Email Persona ranking excludes LinkedIn touchpoints entirely (see §3.1) — a real gap if LinkedIn volume is significant.</w:t>
      </w:r>
    </w:p>
    <w:p>
      <w:pPr>
        <w:pStyle w:val="ListBullet"/>
        <w:spacing w:after="60"/>
      </w:pPr>
      <w:r>
        <w:t>The Combined metric's 0.4 / 0.6 weighting is a placeholder, not yet validated against real conversion data.</w:t>
      </w:r>
    </w:p>
    <w:p>
      <w:pPr>
        <w:pStyle w:val="ListBullet"/>
        <w:spacing w:after="60"/>
      </w:pPr>
      <w:r>
        <w:t>Scope is workspace-level only for v1 — campaign_id is a wired but unused filter, ready for a per-campaign view later with no backend change.</w:t>
      </w:r>
    </w:p>
    <w:p>
      <w:pPr>
        <w:pStyle w:val="ListBullet"/>
        <w:spacing w:after="60"/>
      </w:pPr>
      <w:r>
        <w:t>No scheduled/periodic auto-generation — on-demand via the “Generate insights” button only.</w:t>
      </w:r>
    </w:p>
    <w:p>
      <w:pPr>
        <w:pStyle w:val="ListBullet"/>
        <w:spacing w:after="60"/>
      </w:pPr>
      <w:r>
        <w:t>Gemini's synthetic-data reliability (§6.2) suggests the same 50-row floor discipline should be considered for any other Gemini-generated bulk data in this codebase.</w:t>
      </w:r>
    </w:p>
    <w:p/>
    <w:p>
      <w:pPr>
        <w:spacing w:after="40"/>
        <w:pBdr>
          <w:bottom w:val="single" w:sz="6" w:space="1" w:color="D9D6D0"/>
        </w:pBdr>
      </w:pPr>
    </w:p>
    <w:p>
      <w:pPr>
        <w:jc w:val="center"/>
      </w:pPr>
      <w:r>
        <w:rPr>
          <w:i/>
          <w:color w:val="6B6B6B"/>
          <w:sz w:val="18"/>
        </w:rPr>
        <w:t>End of document — Performance Agent Technical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9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F556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