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Genie Process Guide</w:t>
      </w:r>
    </w:p>
    <w:p>
      <w:pPr>
        <w:pStyle w:val="Subtitle"/>
      </w:pPr>
      <w:r>
        <w:t>Data ingestion and retrieval augmented generation</w:t>
      </w:r>
    </w:p>
    <w:p>
      <w:r>
        <w:t>18 October 2026</w:t>
      </w:r>
    </w:p>
    <w:p>
      <w:r>
        <w:t>Employee Genie converts policy documents into searchable passages and synthesizes cited answers from retrieved evidence. This guide follows the data from the source JSON through ingestion, storage, question processing and the Streamlit interface. It describes the current five-passage retrieval limit and streaming behavior.</w:t>
      </w:r>
    </w:p>
    <w:p>
      <w:pPr>
        <w:pStyle w:val="Heading2"/>
      </w:pPr>
      <w:r>
        <w:t>Guide contents</w:t>
      </w:r>
    </w:p>
    <w:tbl>
      <w:tblPr>
        <w:tblW w:type="auto" w:w="0"/>
        <w:tblLayout w:type="fixed"/>
        <w:tblLook w:firstColumn="1" w:firstRow="1" w:lastColumn="0" w:lastRow="0" w:noHBand="0" w:noVBand="1" w:val="04A0"/>
      </w:tblPr>
      <w:tblGrid>
        <w:gridCol w:w="720"/>
        <w:gridCol w:w="9072"/>
      </w:tblGrid>
      <w:tr>
        <w:trPr>
          <w:cantSplit/>
          <w:tblHeader/>
        </w:trPr>
        <w:tc>
          <w:tcPr>
            <w:tcW w:type="dxa" w:w="72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sz w:val="18"/>
              </w:rPr>
              <w:t>Page</w:t>
            </w:r>
          </w:p>
        </w:tc>
        <w:tc>
          <w:tcPr>
            <w:tcW w:type="dxa" w:w="907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sz w:val="18"/>
              </w:rPr>
              <w:t>Coverage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1</w:t>
            </w:r>
          </w:p>
        </w:tc>
        <w:tc>
          <w:tcPr>
            <w:tcW w:type="dxa" w:w="90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Dataset and architecture</w:t>
            </w:r>
          </w:p>
        </w:tc>
      </w:tr>
      <w:tr>
        <w:trPr>
          <w:cantSplit/>
        </w:trPr>
        <w:tc>
          <w:tcPr>
            <w:tcW w:type="dxa" w:w="7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2</w:t>
            </w:r>
          </w:p>
        </w:tc>
        <w:tc>
          <w:tcPr>
            <w:tcW w:type="dxa" w:w="90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Ingestion preparation and chunking</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3</w:t>
            </w:r>
          </w:p>
        </w:tc>
        <w:tc>
          <w:tcPr>
            <w:tcW w:type="dxa" w:w="90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Embedding upload verification and configuration</w:t>
            </w:r>
          </w:p>
        </w:tc>
      </w:tr>
      <w:tr>
        <w:trPr>
          <w:cantSplit/>
        </w:trPr>
        <w:tc>
          <w:tcPr>
            <w:tcW w:type="dxa" w:w="7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4</w:t>
            </w:r>
          </w:p>
        </w:tc>
        <w:tc>
          <w:tcPr>
            <w:tcW w:type="dxa" w:w="90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Question routing retrieval and synthesis</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5</w:t>
            </w:r>
          </w:p>
        </w:tc>
        <w:tc>
          <w:tcPr>
            <w:tcW w:type="dxa" w:w="90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Interface streaming citations and worked example</w:t>
            </w:r>
          </w:p>
        </w:tc>
      </w:tr>
      <w:tr>
        <w:trPr>
          <w:cantSplit/>
        </w:trPr>
        <w:tc>
          <w:tcPr>
            <w:tcW w:type="dxa" w:w="7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6</w:t>
            </w:r>
          </w:p>
        </w:tc>
        <w:tc>
          <w:tcPr>
            <w:tcW w:type="dxa" w:w="90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Commands troubleshooting validation and code map</w:t>
            </w:r>
          </w:p>
        </w:tc>
      </w:tr>
    </w:tbl>
    <w:p>
      <w:pPr>
        <w:spacing w:after="0" w:before="0" w:line="60" w:lineRule="exact"/>
      </w:pPr>
    </w:p>
    <w:p>
      <w:pPr>
        <w:pStyle w:val="Heading2"/>
      </w:pPr>
      <w:r>
        <w:t>The data being ingested</w:t>
      </w:r>
    </w:p>
    <w:p>
      <w:r>
        <w:t>Dataset/Policy document.json contains 80 fictional records: 20 each in HR, onboarding, compliance and product. Cedarfield Labs is the invented employer; Harbor is the invented workspace product. The policies and entitlements are demonstration material, not real employment or legal guidance.</w:t>
      </w:r>
    </w:p>
    <w:p>
      <w:r>
        <w:t>Each record has id, metadata and Markdown content. Metadata contains title, category, subcategory, topics, document_type, audience_roles, countries, applicability_scope and onboarding_stage. IDs identify documents; categories and subcategories support filtering. Empty country lists do not establish global applicability.</w:t>
      </w:r>
    </w:p>
    <w:p>
      <w:pPr>
        <w:keepLines/>
        <w:spacing w:line="240" w:lineRule="auto" w:after="140"/>
      </w:pPr>
      <w:r>
        <w:rPr>
          <w:rFonts w:ascii="Consolas" w:hAnsi="Consolas"/>
          <w:sz w:val="16"/>
        </w:rPr>
        <w:t>Source record</w:t>
        <w:br/>
        <w:t xml:space="preserve">  id: stable document identifier</w:t>
        <w:br/>
        <w:t xml:space="preserve">  metadata: title + category + subcategory + descriptive fields</w:t>
        <w:br/>
        <w:t xml:space="preserve">  content: Markdown headings, rules, conditions and procedures</w:t>
      </w:r>
    </w:p>
    <w:p>
      <w:pPr>
        <w:pStyle w:val="Heading2"/>
      </w:pPr>
      <w:r>
        <w:t>Architecture</w:t>
      </w:r>
    </w:p>
    <w:p>
      <w:pPr>
        <w:keepLines/>
        <w:spacing w:line="240" w:lineRule="auto" w:after="140"/>
      </w:pPr>
      <w:r>
        <w:rPr>
          <w:rFonts w:ascii="Consolas" w:hAnsi="Consolas"/>
          <w:sz w:val="16"/>
        </w:rPr>
        <w:t>Policy JSON --&gt; prepare chunks --&gt; OpenAI embeddings --&gt; Pinecone</w:t>
        <w:br/>
        <w:t xml:space="preserve">                      |                                    |</w:t>
        <w:br/>
        <w:t xml:space="preserve">                 verified report                           |</w:t>
        <w:br/>
        <w:t xml:space="preserve">                      |                                    v</w:t>
        <w:br/>
        <w:t>User --&gt; Streamlit --&gt; classify --&gt; retrieve top 5 --&gt; LLM synthesis</w:t>
        <w:br/>
        <w:t xml:space="preserve">                                                         |</w:t>
        <w:br/>
        <w:t xml:space="preserve">                                              stream + validate</w:t>
        <w:br/>
        <w:t xml:space="preserve">                                                         |</w:t>
        <w:br/>
        <w:t xml:space="preserve">                                              answer and sources</w:t>
      </w:r>
    </w:p>
    <w:p>
      <w:r>
        <w:t>Ingestion runs separately before chat use. The app reads the verified snapshot; it does not upload policies when a question is submitted. OpenAI supplies embeddings and model responses, Pinecone stores and searches vectors, LangChain connects these operations, and uv manages the Python environment.</w:t>
      </w:r>
    </w:p>
    <w:p>
      <w:r>
        <w:br w:type="page"/>
      </w:r>
    </w:p>
    <w:p>
      <w:pPr>
        <w:pStyle w:val="Heading1"/>
      </w:pPr>
      <w:r>
        <w:t>Ingestion preparation and chunking</w:t>
      </w:r>
    </w:p>
    <w:p>
      <w:r>
        <w:t>Entry point: ingest_policies.py. A dry run validates and prepares documents locally. A live run continues through embedding, upload and verification. Both paths use the same preparation logic.</w:t>
      </w:r>
    </w:p>
    <w:p>
      <w:pPr>
        <w:keepLines/>
        <w:spacing w:line="240" w:lineRule="auto" w:after="140"/>
      </w:pPr>
      <w:r>
        <w:rPr>
          <w:rFonts w:ascii="Consolas" w:hAnsi="Consolas"/>
          <w:sz w:val="16"/>
        </w:rPr>
        <w:t>Command and arguments</w:t>
        <w:br/>
        <w:t xml:space="preserve">        |</w:t>
        <w:br/>
        <w:t xml:space="preserve">        v</w:t>
        <w:br/>
        <w:t>Settings.read() --&gt; load JSON --&gt; validate all records</w:t>
        <w:br/>
        <w:t xml:space="preserve">        |</w:t>
        <w:br/>
        <w:t xml:space="preserve">        v</w:t>
        <w:br/>
        <w:t>Clean markup --&gt; split by Markdown headings</w:t>
        <w:br/>
        <w:t xml:space="preserve">        |</w:t>
        <w:br/>
        <w:t xml:space="preserve">        v</w:t>
        <w:br/>
        <w:t>Accumulate paragraphs within each section</w:t>
        <w:br/>
        <w:t xml:space="preserve">        |</w:t>
        <w:br/>
        <w:t xml:space="preserve">        v</w:t>
        <w:br/>
        <w:t>Split oversized content using token windows and overlap</w:t>
        <w:br/>
        <w:t xml:space="preserve">        |</w:t>
        <w:br/>
        <w:t xml:space="preserve">        v</w:t>
        <w:br/>
        <w:t>Create passage text, metadata, embedding input and IDs</w:t>
        <w:br/>
        <w:t xml:space="preserve">        |</w:t>
        <w:br/>
        <w:t xml:space="preserve">        v</w:t>
        <w:br/>
        <w:t>Fingerprint snapshot --&gt; print chunk statistics</w:t>
        <w:br/>
        <w:t xml:space="preserve">        |</w:t>
        <w:br/>
        <w:t xml:space="preserve">        +--&gt; --dry-run: stop; no upload or report write</w:t>
        <w:br/>
        <w:t xml:space="preserve">        +--&gt; live run: write running report; connect and upload</w:t>
      </w:r>
    </w:p>
    <w:p>
      <w:pPr>
        <w:pStyle w:val="Heading2"/>
      </w:pPr>
      <w:r>
        <w:t>Validation before upload</w:t>
      </w:r>
    </w:p>
    <w:p>
      <w:r>
        <w:t>load_documents() requires a nonempty JSON array, strict schema types, supported categories, nonblank IDs and content, and unique document IDs. Unexpected fields are rejected. Validation covers the complete input before upload begins, so malformed records do not cause a partial upload during validation.</w:t>
      </w:r>
    </w:p>
    <w:p>
      <w:pPr>
        <w:pStyle w:val="Heading2"/>
      </w:pPr>
      <w:r>
        <w:t>Cleaning and splitting</w:t>
      </w:r>
    </w:p>
    <w:p>
      <w:r>
        <w:t>clean_content() removes frontmatter, static-site template markers, scripts, styles and HTML tags, preserves readable breaks and decodes HTML entities. It does not modify the source JSON. prepare() separates Markdown sections, accumulates paragraphs and uses token windows for oversized content.</w:t>
      </w:r>
    </w:p>
    <w:p>
      <w:r>
        <w:t>Defaults are a 600-token embedding-input ceiling and 100 tokens of overlap. Title and heading tokens consume part of that ceiling. Overlap repeats context within a section and does not cross headings. Short sections remain short; 600 tokens is a maximum rather than a target. The cl100k_base tokenizer measures tokens, not words; its public vocabulary may download on first use.</w:t>
      </w:r>
    </w:p>
    <w:p>
      <w:pPr>
        <w:pStyle w:val="Heading2"/>
      </w:pPr>
      <w:r>
        <w:t>Two forms of text</w:t>
      </w:r>
    </w:p>
    <w:p>
      <w:pPr>
        <w:keepLines/>
        <w:spacing w:line="240" w:lineRule="auto" w:after="140"/>
      </w:pPr>
      <w:r>
        <w:rPr>
          <w:rFonts w:ascii="Consolas" w:hAnsi="Consolas"/>
          <w:sz w:val="16"/>
        </w:rPr>
        <w:t>metadata["text"] = readable passage</w:t>
        <w:br/>
        <w:t>embedding_text   = title + heading + readable passage</w:t>
      </w:r>
    </w:p>
    <w:p>
      <w:r>
        <w:t>The extra title and heading give the embedding contextual labels. PreparedBatchEmbeddings embeds that contextual input while the vector store saves the readable passage. Metadata also inherits the document fields and adds document_id, chunk_index, section_heading and source_file. Empty optional arrays are omitted.</w:t>
      </w:r>
    </w:p>
    <w:p>
      <w:r>
        <w:t>Chunk IDs combine a SHA-256-derived document identifier and a chunk position. A namespace fingerprints the prepared chunks and pipeline version, model, dimensions, chunk size and overlap. Identical inputs produce repeatable IDs and the same namespace. Hashing provides identity, not encryption.</w:t>
      </w:r>
    </w:p>
    <w:p>
      <w:r>
        <w:br w:type="page"/>
      </w:r>
    </w:p>
    <w:p>
      <w:pPr>
        <w:pStyle w:val="Heading1"/>
      </w:pPr>
      <w:r>
        <w:t>Embedding upload and verification</w:t>
      </w:r>
    </w:p>
    <w:p>
      <w:pPr>
        <w:keepLines/>
        <w:spacing w:line="240" w:lineRule="auto" w:after="140"/>
      </w:pPr>
      <w:r>
        <w:rPr>
          <w:rFonts w:ascii="Consolas" w:hAnsi="Consolas"/>
          <w:sz w:val="16"/>
        </w:rPr>
        <w:t>Prepared chunks --&gt; write report status running</w:t>
        <w:br/>
        <w:t xml:space="preserve">        |</w:t>
        <w:br/>
        <w:t xml:space="preserve">        v</w:t>
        <w:br/>
        <w:t>Check existing index or create a missing index</w:t>
        <w:br/>
        <w:t xml:space="preserve">        |</w:t>
        <w:br/>
        <w:t xml:space="preserve">        v</w:t>
        <w:br/>
        <w:t>Embed and upsert batches of at most 64 chunks</w:t>
        <w:br/>
        <w:t xml:space="preserve">        |</w:t>
        <w:br/>
        <w:t xml:space="preserve">        v</w:t>
        <w:br/>
        <w:t>Fetch every expected ID and compare stored metadata</w:t>
        <w:br/>
        <w:t xml:space="preserve">        |</w:t>
        <w:br/>
        <w:t xml:space="preserve">        v</w:t>
        <w:br/>
        <w:t>Run category-filtered semantic retrieval checks</w:t>
        <w:br/>
        <w:t xml:space="preserve">        |</w:t>
        <w:br/>
        <w:t xml:space="preserve">        +--&gt; pass: verified report and verification timestamp</w:t>
        <w:br/>
        <w:t xml:space="preserve">        +--&gt; fail: failed report and exception propagated</w:t>
      </w:r>
    </w:p>
    <w:p>
      <w:r>
        <w:t>clients(settings, create=True) allows ingestion to create a missing index. An existing index must have the configured vector dimension and cosine metric. The code waits for readiness. PineconeVectorStore.add_texts() upserts IDs, embeddings and metadata; repeating an identical run targets the same IDs.</w:t>
      </w:r>
    </w:p>
    <w:p>
      <w:r>
        <w:t>verify() fetches IDs in batches of 100 and compares expected metadata. Bounded retries allow recent writes to become visible. A sample query for each category checks basic filtered retrieval. These checks verify storage and search behavior, not generated answer quality.</w:t>
      </w:r>
    </w:p>
    <w:p>
      <w:r>
        <w:t>The report is marked running before remote work, replacing any previous success. It becomes verified only after all checks pass. Failures record the exception class and status failed, and a finally block writes the outcome. The inspected local snapshot contains 80 documents and 320 chunks.</w:t>
      </w:r>
    </w:p>
    <w:p>
      <w:pPr>
        <w:pStyle w:val="Heading2"/>
      </w:pPr>
      <w:r>
        <w:t>Configuration and storage</w:t>
      </w:r>
    </w:p>
    <w:tbl>
      <w:tblPr>
        <w:tblW w:type="auto" w:w="0"/>
        <w:tblLayout w:type="fixed"/>
        <w:tblLook w:firstColumn="1" w:firstRow="1" w:lastColumn="0" w:lastRow="0" w:noHBand="0" w:noVBand="1" w:val="04A0"/>
      </w:tblPr>
      <w:tblGrid>
        <w:gridCol w:w="3240"/>
        <w:gridCol w:w="6552"/>
      </w:tblGrid>
      <w:tr>
        <w:trPr>
          <w:cantSplit/>
          <w:tblHeader/>
        </w:trPr>
        <w:tc>
          <w:tcPr>
            <w:tcW w:type="dxa" w:w="324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sz w:val="18"/>
              </w:rPr>
              <w:t>Item</w:t>
            </w:r>
          </w:p>
        </w:tc>
        <w:tc>
          <w:tcPr>
            <w:tcW w:type="dxa" w:w="655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sz w:val="18"/>
              </w:rPr>
              <w:t>Purpose or default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OPENAI_API_KEY / PINECONE_API_KEY</w:t>
            </w:r>
          </w:p>
        </w:tc>
        <w:tc>
          <w:tcPr>
            <w:tcW w:type="dxa" w:w="65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Required service credentials in local .env or environment.</w:t>
            </w:r>
          </w:p>
        </w:tc>
      </w:tr>
      <w:tr>
        <w:trPr>
          <w:cantSplit/>
        </w:trPr>
        <w:tc>
          <w:tcPr>
            <w:tcW w:type="dxa" w:w="32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PINECONE_INDEX / NAMESPACE</w:t>
            </w:r>
          </w:p>
        </w:tc>
        <w:tc>
          <w:tcPr>
            <w:tcW w:type="dxa" w:w="65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Index defaults to employee-policy-helper; namespace must match the report.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EMBEDDING_MODEL / DIMENSIONS</w:t>
            </w:r>
          </w:p>
        </w:tc>
        <w:tc>
          <w:tcPr>
            <w:tcW w:type="dxa" w:w="65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text-embedding-3-small / 512; ingestion and queries must match.</w:t>
            </w:r>
          </w:p>
        </w:tc>
      </w:tr>
      <w:tr>
        <w:trPr>
          <w:cantSplit/>
        </w:trPr>
        <w:tc>
          <w:tcPr>
            <w:tcW w:type="dxa" w:w="32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CHAT_MODEL</w:t>
            </w:r>
          </w:p>
        </w:tc>
        <w:tc>
          <w:tcPr>
            <w:tcW w:type="dxa" w:w="65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gpt-4.1-mini by default.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PINECONE_CLOUD / REGION</w:t>
            </w:r>
          </w:p>
        </w:tc>
        <w:tc>
          <w:tcPr>
            <w:tcW w:type="dxa" w:w="65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aws / us-east-1 for index creation.</w:t>
            </w:r>
          </w:p>
        </w:tc>
      </w:tr>
      <w:tr>
        <w:trPr>
          <w:cantSplit/>
        </w:trPr>
        <w:tc>
          <w:tcPr>
            <w:tcW w:type="dxa" w:w="32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INGESTION_REPORT</w:t>
            </w:r>
          </w:p>
        </w:tc>
        <w:tc>
          <w:tcPr>
            <w:tcW w:type="dxa" w:w="65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artifacts/ingestion-report.json; includes state, parameters and routing catalog.</w:t>
            </w:r>
          </w:p>
        </w:tc>
      </w:tr>
    </w:tbl>
    <w:p>
      <w:pPr>
        <w:spacing w:after="0" w:before="0" w:line="60" w:lineRule="exact"/>
      </w:pPr>
    </w:p>
    <w:p>
      <w:r>
        <w:t>Settings.read() loads .env without overriding existing process environment values. Secrets are not stored in Settings or the report. The source JSON stays local; Pinecone holds vectors and passage metadata, and the report supplies the local readiness gate and topic catalog.</w:t>
      </w:r>
    </w:p>
    <w:p>
      <w:pPr>
        <w:pStyle w:val="Heading2"/>
      </w:pPr>
      <w:r>
        <w:t>When to ingest again</w:t>
      </w:r>
    </w:p>
    <w:p>
      <w:r>
        <w:t>Re-ingest after document changes, preparation changes, or changes to embedding model, dimensions, chunk size or overlap. A namespace cannot change an index dimension. Old namespaces remain; the app does not automatically delete indexes. UI, streaming and retrieval-limit changes alone do not require re-ingestion. Avoid concurrent ingestion and querying of a namespace being updated.</w:t>
      </w:r>
    </w:p>
    <w:p>
      <w:r>
        <w:br w:type="page"/>
      </w:r>
    </w:p>
    <w:p>
      <w:pPr>
        <w:pStyle w:val="Heading1"/>
      </w:pPr>
      <w:r>
        <w:t>Question routing retrieval and synthesis</w:t>
      </w:r>
    </w:p>
    <w:p>
      <w:pPr>
        <w:keepLines/>
        <w:spacing w:line="240" w:lineRule="auto" w:after="140"/>
      </w:pPr>
      <w:r>
        <w:rPr>
          <w:rFonts w:ascii="Consolas" w:hAnsi="Consolas"/>
          <w:sz w:val="16"/>
        </w:rPr>
        <w:t>User submits question</w:t>
        <w:br/>
        <w:t xml:space="preserve">        |</w:t>
        <w:br/>
        <w:t xml:space="preserve">        v</w:t>
        <w:br/>
        <w:t>Validate input --&gt; capture last 6 messages --&gt; append question</w:t>
        <w:br/>
        <w:t xml:space="preserve">        |</w:t>
        <w:br/>
        <w:t xml:space="preserve">        v</w:t>
        <w:br/>
        <w:t>Create or reuse RAG service --&gt; classify using topic catalog</w:t>
        <w:br/>
        <w:t xml:space="preserve">        |</w:t>
        <w:br/>
        <w:t xml:space="preserve">        +--&gt; clarify / out_of_scope: return guidance</w:t>
        <w:br/>
        <w:t xml:space="preserve">        |</w:t>
        <w:br/>
        <w:t xml:space="preserve">        v</w:t>
        <w:br/>
        <w:t>Embed focused route questions</w:t>
        <w:br/>
        <w:t xml:space="preserve">        |</w:t>
        <w:br/>
        <w:t xml:space="preserve">        v</w:t>
        <w:br/>
        <w:t>Filtered Pinecone searches requesting 5 candidates each</w:t>
        <w:br/>
        <w:t xml:space="preserve">        |</w:t>
        <w:br/>
        <w:t xml:space="preserve">        v</w:t>
        <w:br/>
        <w:t>Deduplicate by chunk ID --&gt; rank by score --&gt; retain top 5</w:t>
        <w:br/>
        <w:t xml:space="preserve">        |</w:t>
        <w:br/>
        <w:t xml:space="preserve">        +--&gt; no evidence: return insufficient-evidence response</w:t>
        <w:br/>
        <w:t xml:space="preserve">        |</w:t>
        <w:br/>
        <w:t xml:space="preserve">        v</w:t>
        <w:br/>
        <w:t>Number passages --&gt; LLM synthesis --&gt; stream answer preview</w:t>
        <w:br/>
        <w:t xml:space="preserve">        |</w:t>
        <w:br/>
        <w:t xml:space="preserve">        v</w:t>
        <w:br/>
        <w:t>Validate response and references --&gt; final answer + sources</w:t>
      </w:r>
    </w:p>
    <w:p>
      <w:pPr>
        <w:pStyle w:val="Heading2"/>
      </w:pPr>
      <w:r>
        <w:t>Routing</w:t>
      </w:r>
    </w:p>
    <w:p>
      <w:r>
        <w:t>RAG.ask() passes the question, recent conversation and the report catalog to the classifier. The catalog contains titles, topics, categories and subcategories rather than full policy bodies. A retrieve decision can contain up to eight focused routes, each with a standalone question, category and optional subcategory. validate_routes() rejects unknown category/subcategory combinations. History resolves references; it does not establish policy facts.</w:t>
      </w:r>
    </w:p>
    <w:p>
      <w:pPr>
        <w:pStyle w:val="Heading2"/>
      </w:pPr>
      <w:r>
        <w:t>Retrieval and the five passage limit</w:t>
      </w:r>
    </w:p>
    <w:p>
      <w:r>
        <w:t>Each route question is embedded with the ingestion model and dimensions. Searches restrict category; a selected subcategory triggers both a narrow search and a category-wide search. Each filtered request asks for five candidates. Across multiple searches, more than five candidates may be retrieved, but only five unique chunks reach the answer model.</w:t>
      </w:r>
    </w:p>
    <w:p>
      <w:r>
        <w:t>select_evidence() keeps the highest-scoring occurrence of each chunk ID, sorts by descending similarity and retains at most five. This replaces the earlier round-robin selection. Scores rank similarity, not factual confidence. Multi-topic questions can have uneven evidence coverage within this limit.</w:t>
      </w:r>
    </w:p>
    <w:p>
      <w:pPr>
        <w:pStyle w:val="Heading2"/>
      </w:pPr>
      <w:r>
        <w:t>Synthesis</w:t>
      </w:r>
    </w:p>
    <w:p>
      <w:r>
        <w:t>generate() assigns labels 1 through 5 to selected passages and passes readable text and metadata, the original question and recent history to the LLM. The model is instructed to synthesize from evidence, preserve exact numbers and conditions, identify gaps or conflicts and use citations. Its schema contains status, answer and citations. Status is answered, partial or insufficient_evidence. Empty retrieval skips answer generation.</w:t>
      </w:r>
    </w:p>
    <w:p>
      <w:r>
        <w:br w:type="page"/>
      </w:r>
    </w:p>
    <w:p>
      <w:pPr>
        <w:pStyle w:val="Heading1"/>
      </w:pPr>
      <w:r>
        <w:t>Interface streaming and the leave example</w:t>
      </w:r>
    </w:p>
    <w:p>
      <w:pPr>
        <w:pStyle w:val="Heading2"/>
      </w:pPr>
      <w:r>
        <w:t>Startup and controls</w:t>
      </w:r>
    </w:p>
    <w:p>
      <w:r>
        <w:t>policy_chat_app.py renders the title and sidebar, initializes and replays session history, then checks the report and key presence. The report must be verified and match the namespace, index, embedding model and dimensions. Failure disables input and displays setup guidance. Passing these local checks does not prove live service access.</w:t>
      </w:r>
    </w:p>
    <w:p>
      <w:r>
        <w:t>The interface offers Clear conversation, Show retrieval details and expandable Source passages. Every selected passage is shown with its title, category/subcategory, document ID and text, including passages the answer did not cite. Diagnostics show routing, filters, match counts and elapsed time.</w:t>
      </w:r>
    </w:p>
    <w:p>
      <w:r>
        <w:t>Questions are limited to 6,000 characters and need at least two whitespace-separated words containing letters or numbers. Invalid input makes no backend call. The last six messages are captured before the current question is added. Completed results remain in browser session history. get_rag() caches clients for up to 300 seconds, with at most two entries; report modification time helps invalidate the cache.</w:t>
      </w:r>
    </w:p>
    <w:p>
      <w:pPr>
        <w:pStyle w:val="Heading2"/>
      </w:pPr>
      <w:r>
        <w:t>Streaming and reference checks</w:t>
      </w:r>
    </w:p>
    <w:p>
      <w:r>
        <w:t>The first generation streams strict JSON. structured() accumulates chunks and extracts partial answer text for the UI callback, then validates complete JSON and schema. One placeholder holds the draft and final answer. A draft is visible before final checks, so a correction or fallback may replace it.</w:t>
      </w:r>
    </w:p>
    <w:p>
      <w:pPr>
        <w:keepLines/>
        <w:spacing w:line="240" w:lineRule="auto" w:after="140"/>
      </w:pPr>
      <w:r>
        <w:rPr>
          <w:rFonts w:ascii="Consolas" w:hAnsi="Consolas"/>
          <w:sz w:val="16"/>
        </w:rPr>
        <w:t>Draft response and declared citations</w:t>
        <w:br/>
        <w:t xml:space="preserve">        |</w:t>
        <w:br/>
        <w:t xml:space="preserve">        v</w:t>
        <w:br/>
        <w:t>Missing inline markers + valid declared numbers?</w:t>
        <w:br/>
        <w:t xml:space="preserve">   yes --&gt; append Sources line using those existing numbers</w:t>
        <w:br/>
        <w:t xml:space="preserve">        |</w:t>
        <w:br/>
        <w:t xml:space="preserve">        v</w:t>
        <w:br/>
        <w:t>Labels agree and reference selected evidence?</w:t>
        <w:br/>
        <w:t xml:space="preserve">   yes --&gt; return answer</w:t>
        <w:br/>
        <w:t xml:space="preserve">   no  --&gt; one silent correction</w:t>
        <w:br/>
        <w:t xml:space="preserve">                  |</w:t>
        <w:br/>
        <w:t xml:space="preserve">                  +--&gt; valid: replace draft with final answer</w:t>
        <w:br/>
        <w:t xml:space="preserve">                  +--&gt; invalid: safe citation fallback</w:t>
      </w:r>
    </w:p>
    <w:p>
      <w:r>
        <w:t>Answered and partial responses require supporting labels. Unknown or conflicting labels still fail. The correction receives the previous answer, validation error and allowed numbers. If it fails again, a normal fallback explains that references could not be validated and keeps retrieved passages available. A fallback does not prove a policy is missing. Citation validation checks numbering, not factual support.</w:t>
      </w:r>
    </w:p>
    <w:p>
      <w:pPr>
        <w:pStyle w:val="Heading2"/>
      </w:pPr>
      <w:r>
        <w:t>Worked example</w:t>
      </w:r>
    </w:p>
    <w:p>
      <w:r>
        <w:t>Question: How many leaves is an employee eligible for annually? A suitable route is hr / leave. Retrieved evidence should include the annual leave rule: full-time employees have 20 planned leave days per calendar year under the fictional scheme. The LLM should preserve the full-time qualification and reference the selected source.</w:t>
      </w:r>
    </w:p>
    <w:p>
      <w:r>
        <w:t>A live streaming development test returned that amount with citations=[1] but no visible [1]. The current code displays the declared valid reference instead of rejecting that omission. A subsequent live backend test succeeded before the top-five change; the latest top-five change was verified offline. Inspect the current Source passages when testing the interface.</w:t>
      </w:r>
    </w:p>
    <w:p>
      <w:r>
        <w:br w:type="page"/>
      </w:r>
    </w:p>
    <w:p>
      <w:pPr>
        <w:pStyle w:val="Heading1"/>
      </w:pPr>
      <w:r>
        <w:t>Operations troubleshooting and code map</w:t>
      </w:r>
    </w:p>
    <w:p>
      <w:pPr>
        <w:pStyle w:val="Heading2"/>
      </w:pPr>
      <w:r>
        <w:t>Commands in PowerShell</w:t>
      </w:r>
    </w:p>
    <w:p>
      <w:pPr>
        <w:keepLines/>
        <w:spacing w:line="240" w:lineRule="auto" w:after="140"/>
      </w:pPr>
      <w:r>
        <w:rPr>
          <w:rFonts w:ascii="Consolas" w:hAnsi="Consolas"/>
          <w:sz w:val="16"/>
        </w:rPr>
        <w:t># From the project root; copy .env only for a fresh setup</w:t>
        <w:br/>
        <w:t>uv sync --locked</w:t>
        <w:br/>
        <w:t>Copy-Item .env.example .env</w:t>
        <w:br/>
        <w:t>uv run --locked python ingest_policies.py --dry-run</w:t>
        <w:br/>
        <w:t>uv run --locked python ingest_policies.py</w:t>
        <w:br/>
        <w:t># Set the printed namespace in .env after verification</w:t>
        <w:br/>
        <w:t>uv run --locked python -m streamlit run policy_chat_app.py `</w:t>
        <w:br/>
        <w:t xml:space="preserve">    --server.port 8501</w:t>
        <w:br/>
        <w:t># Offline tests and optional hosted-service evaluation</w:t>
        <w:br/>
        <w:t>uv run --locked python -m pytest -q -p no:cacheprovider</w:t>
        <w:br/>
        <w:t>uv run --locked python evaluate_policy_answers.py</w:t>
      </w:r>
    </w:p>
    <w:p>
      <w:r>
        <w:t>Open http://localhost:8501. Keep the terminal open; use Ctrl+C and repeat the Streamlit command to restart. No ingestion rerun is needed solely for a UI or retrieval-limit change. Hosted ingestion and evaluation use real services and can incur charges.</w:t>
      </w:r>
    </w:p>
    <w:p>
      <w:pPr>
        <w:pStyle w:val="Heading2"/>
      </w:pPr>
      <w:r>
        <w:t>Diagnosing a failed answer</w:t>
      </w:r>
    </w:p>
    <w:p>
      <w:r>
        <w:t>If a draft becomes a citation fallback, inspect its selected evidence: data may exist even when generated references fail. The top-five limit cannot guarantee coverage or valid citations. Connection interruptions, malformed JSON and other uncaught failures clear the preview and show the generic configuration/service message. Inspect the terminal line below for the actual exception class and location.</w:t>
      </w:r>
    </w:p>
    <w:p>
      <w:pPr>
        <w:keepLines/>
        <w:spacing w:line="240" w:lineRule="auto" w:after="140"/>
      </w:pPr>
      <w:r>
        <w:rPr>
          <w:rFonts w:ascii="Consolas" w:hAnsi="Consolas"/>
          <w:sz w:val="16"/>
        </w:rPr>
        <w:t>Question failed (ErrorType at filename.py:123 in function_name)</w:t>
      </w:r>
    </w:p>
    <w:p>
      <w:r>
        <w:t>A Pydantic parsed serializer warning was observed separately from these failures; the warning alone does not identify the failed stage. If uv reports a trampoline path error, use the python -m streamlit command above.</w:t>
      </w:r>
    </w:p>
    <w:p>
      <w:pPr>
        <w:pStyle w:val="Heading2"/>
      </w:pPr>
      <w:r>
        <w:t>Verification and limits</w:t>
      </w:r>
    </w:p>
    <w:p>
      <w:r>
        <w:t>The latest completed offline run passed 40 tests, including filtering, top-five selection, streaming, citation handling and interface checks. The 33 draft live evaluation cases measure routing category/status agreement and save answers for human review; they do not score factual correctness. Neither tests nor numeric citations guarantee that a claim is supported. There is no separate factual-verification model, authentication layer, persistent chat database, live policy refresh, hybrid search or reranking.</w:t>
      </w:r>
    </w:p>
    <w:p>
      <w:pPr>
        <w:pStyle w:val="Heading2"/>
      </w:pPr>
      <w:r>
        <w:t>Code map and terminology</w:t>
      </w:r>
    </w:p>
    <w:tbl>
      <w:tblPr>
        <w:tblW w:type="auto" w:w="0"/>
        <w:tblLayout w:type="fixed"/>
        <w:tblLook w:firstColumn="1" w:firstRow="1" w:lastColumn="0" w:lastRow="0" w:noHBand="0" w:noVBand="1" w:val="04A0"/>
      </w:tblPr>
      <w:tblGrid>
        <w:gridCol w:w="3168"/>
        <w:gridCol w:w="6624"/>
      </w:tblGrid>
      <w:tr>
        <w:trPr>
          <w:cantSplit/>
          <w:tblHeader/>
        </w:trPr>
        <w:tc>
          <w:tcPr>
            <w:tcW w:type="dxa" w:w="316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sz w:val="18"/>
              </w:rPr>
              <w:t>File or group</w:t>
            </w:r>
          </w:p>
        </w:tc>
        <w:tc>
          <w:tcPr>
            <w:tcW w:type="dxa" w:w="662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sz w:val="18"/>
              </w:rPr>
              <w:t>Responsibility</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ingest_policies.py</w:t>
            </w:r>
          </w:p>
        </w:tc>
        <w:tc>
          <w:tcPr>
            <w:tcW w:type="dxa" w:w="66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Ingestion CLI, summary, upload and verification report.</w:t>
            </w:r>
          </w:p>
        </w:tc>
      </w:tr>
      <w:tr>
        <w:trPr>
          <w:cantSplit/>
        </w:trPr>
        <w:tc>
          <w:tcPr>
            <w:tcW w:type="dxa" w:w="31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policy_document_preparation.py</w:t>
            </w:r>
          </w:p>
        </w:tc>
        <w:tc>
          <w:tcPr>
            <w:tcW w:type="dxa" w:w="662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Schemas, cleaning, chunking, IDs, namespace and catalog.</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ai_service_clients.py</w:t>
            </w:r>
          </w:p>
        </w:tc>
        <w:tc>
          <w:tcPr>
            <w:tcW w:type="dxa" w:w="66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Settings, model/vector clients, embedding adapter and retries.</w:t>
            </w:r>
          </w:p>
        </w:tc>
      </w:tr>
      <w:tr>
        <w:trPr>
          <w:cantSplit/>
        </w:trPr>
        <w:tc>
          <w:tcPr>
            <w:tcW w:type="dxa" w:w="31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policy_question_answering.py</w:t>
            </w:r>
          </w:p>
        </w:tc>
        <w:tc>
          <w:tcPr>
            <w:tcW w:type="dxa" w:w="662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Classification, retrieval, synthesis, streaming and citations.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policy_chat_app.py</w:t>
            </w:r>
          </w:p>
        </w:tc>
        <w:tc>
          <w:tcPr>
            <w:tcW w:type="dxa" w:w="66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Readiness, input, session state and answer/source display.</w:t>
            </w:r>
          </w:p>
        </w:tc>
      </w:tr>
      <w:tr>
        <w:trPr>
          <w:cantSplit/>
        </w:trPr>
        <w:tc>
          <w:tcPr>
            <w:tcW w:type="dxa" w:w="31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tests and evaluation</w:t>
            </w:r>
          </w:p>
        </w:tc>
        <w:tc>
          <w:tcPr>
            <w:tcW w:type="dxa" w:w="662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b w:val="0"/>
                <w:sz w:val="18"/>
              </w:rPr>
              <w:t>Offline checks and optional live routing review.</w:t>
            </w:r>
          </w:p>
        </w:tc>
      </w:tr>
    </w:tbl>
    <w:p>
      <w:pPr>
        <w:spacing w:after="0" w:before="0" w:line="60" w:lineRule="exact"/>
      </w:pPr>
    </w:p>
    <w:p>
      <w:r>
        <w:t>The three helper modules are in policy_helper. A chunk is a retrievable passage; an embedding is its numeric search representation; a namespace partitions a snapshot; a route is a focused filtered question; a citation points to evidence in the current answer.</w:t>
      </w:r>
    </w:p>
    <w:p>
      <w:r>
        <w:t>Source basis: current application code, dataset and provenance README, .env.example, project manifest, evaluation cases and local ingestion report. .gitignore keeps credentials, environments, caches and artifacts out of Git. Credential values are excluded from this guide.</w:t>
      </w:r>
    </w:p>
    <w:sectPr w:rsidR="00FC693F" w:rsidRPr="0006063C" w:rsidSect="00034616">
      <w:footerReference w:type="default" r:id="rId9"/>
      <w:pgSz w:w="11909" w:h="16834"/>
      <w:pgMar w:top="893" w:right="1008" w:bottom="893"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Employee Genie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Genie Process Guide</dc:title>
  <dc:subject/>
  <dc:creator>Employee Genie</dc:creator>
  <cp:keywords/>
  <dc:description>generated by python-docx</dc:description>
  <cp:lastModifiedBy/>
  <cp:revision>1</cp:revision>
  <dcterms:created xsi:type="dcterms:W3CDTF">2013-12-23T23:15:00Z</dcterms:created>
  <dcterms:modified xsi:type="dcterms:W3CDTF">2013-12-23T23:15:00Z</dcterms:modified>
  <cp:category/>
</cp:coreProperties>
</file>