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86ce9282f20d5fd2de80e4eac9bd667b73d91f6"/>
    <w:p>
      <w:pPr>
        <w:pStyle w:val="Heading1"/>
      </w:pPr>
      <w:r>
        <w:t xml:space="preserve">Production-Ready Multi‑Agent Market Intelligence System — Specification (v1.0)</w:t>
      </w:r>
    </w:p>
    <w:p>
      <w:pPr>
        <w:pStyle w:val="BlockText"/>
      </w:pPr>
      <w:r>
        <w:rPr>
          <w:b/>
          <w:bCs/>
        </w:rPr>
        <w:t xml:space="preserve">Goal</w:t>
      </w:r>
      <w:r>
        <w:t xml:space="preserve">: A compliant, high‑performance, multi‑agent platform for market intelligence, forecasting, and portfolio decision support with rigorous backtesting, live monitoring, and enterprise governance.</w:t>
      </w:r>
    </w:p>
    <w:p>
      <w:r>
        <w:pict>
          <v:rect style="width:0;height:1.5pt" o:hralign="center" o:hrstd="t" o:hr="t"/>
        </w:pict>
      </w:r>
    </w:p>
    <w:bookmarkStart w:id="23" w:name="scope-objectives"/>
    <w:p>
      <w:pPr>
        <w:pStyle w:val="Heading2"/>
      </w:pPr>
      <w:r>
        <w:t xml:space="preserve">1. Scope &amp; Objectives</w:t>
      </w:r>
    </w:p>
    <w:bookmarkStart w:id="20" w:name="primary-capabilities"/>
    <w:p>
      <w:pPr>
        <w:pStyle w:val="Heading3"/>
      </w:pPr>
      <w:r>
        <w:t xml:space="preserve">1.1 Primary Capabilities</w:t>
      </w:r>
    </w:p>
    <w:p>
      <w:pPr>
        <w:pStyle w:val="Compact"/>
        <w:numPr>
          <w:ilvl w:val="0"/>
          <w:numId w:val="1001"/>
        </w:numPr>
      </w:pPr>
      <w:r>
        <w:t xml:space="preserve">Multi‑agent research and analysis across equities (NASDAQ &amp; OTC) and optional asset classes.</w:t>
      </w:r>
    </w:p>
    <w:p>
      <w:pPr>
        <w:pStyle w:val="Compact"/>
        <w:numPr>
          <w:ilvl w:val="0"/>
          <w:numId w:val="1001"/>
        </w:numPr>
      </w:pPr>
      <w:r>
        <w:t xml:space="preserve">Near‑real‑time signal generation (intraday) and EOD analytics (daily) with explainability.</w:t>
      </w:r>
    </w:p>
    <w:p>
      <w:pPr>
        <w:pStyle w:val="Compact"/>
        <w:numPr>
          <w:ilvl w:val="0"/>
          <w:numId w:val="1001"/>
        </w:numPr>
      </w:pPr>
      <w:r>
        <w:t xml:space="preserve">Portfolio construction and risk overlays with live &amp; simulated execution pathways.</w:t>
      </w:r>
    </w:p>
    <w:p>
      <w:pPr>
        <w:pStyle w:val="Compact"/>
        <w:numPr>
          <w:ilvl w:val="0"/>
          <w:numId w:val="1001"/>
        </w:numPr>
      </w:pPr>
      <w:r>
        <w:t xml:space="preserve">Institutional‑grade compliance, auditability, and model governance (SEC/FINRA/MiFID II aligned).</w:t>
      </w:r>
    </w:p>
    <w:p>
      <w:pPr>
        <w:pStyle w:val="Compact"/>
        <w:numPr>
          <w:ilvl w:val="0"/>
          <w:numId w:val="1001"/>
        </w:numPr>
      </w:pPr>
      <w:r>
        <w:t xml:space="preserve">Comprehensive backtesting with walk‑forward, transaction‑cost modeling, and stress tests.</w:t>
      </w:r>
    </w:p>
    <w:bookmarkEnd w:id="20"/>
    <w:bookmarkStart w:id="21" w:name="out-of-scope-v1"/>
    <w:p>
      <w:pPr>
        <w:pStyle w:val="Heading3"/>
      </w:pPr>
      <w:r>
        <w:t xml:space="preserve">1.2 Out of Scope (v1)</w:t>
      </w:r>
    </w:p>
    <w:p>
      <w:pPr>
        <w:pStyle w:val="Compact"/>
        <w:numPr>
          <w:ilvl w:val="0"/>
          <w:numId w:val="1002"/>
        </w:numPr>
      </w:pPr>
      <w:r>
        <w:t xml:space="preserve">Direct discretionary trading or automated order routing to live brokers (support via adapters/simulation; live execution can be gated behind compliance controls in v1.1+).</w:t>
      </w:r>
    </w:p>
    <w:p>
      <w:pPr>
        <w:pStyle w:val="Compact"/>
        <w:numPr>
          <w:ilvl w:val="0"/>
          <w:numId w:val="1002"/>
        </w:numPr>
      </w:pPr>
      <w:r>
        <w:t xml:space="preserve">Exotic asset‑class peculiarities (e.g., on‑chain derivatives) beyond pluggable adapters.</w:t>
      </w:r>
    </w:p>
    <w:bookmarkEnd w:id="21"/>
    <w:bookmarkStart w:id="22" w:name="key-nonfunctional-goals"/>
    <w:p>
      <w:pPr>
        <w:pStyle w:val="Heading3"/>
      </w:pPr>
      <w:r>
        <w:t xml:space="preserve">1.3 Key Non‑Functional Goals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Latency</w:t>
      </w:r>
      <w:r>
        <w:t xml:space="preserve">: sub‑second for streaming ingestion → features; &lt;200ms cache lookups; &lt;2s for insight rendering.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Throughput</w:t>
      </w:r>
      <w:r>
        <w:t xml:space="preserve">: ≥100K msgs/min ingestion; scalable to 10M ticks/day.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Reliability</w:t>
      </w:r>
      <w:r>
        <w:t xml:space="preserve">: SLO ≥ 99.9%; RPO ≤ 5 min; RTO ≤ 15 min.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Security</w:t>
      </w:r>
      <w:r>
        <w:t xml:space="preserve">: Zero‑trust posture, least‑privilege, encrypted at rest/in transit, SBOM &amp; signed images.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Portability</w:t>
      </w:r>
      <w:r>
        <w:t xml:space="preserve">: OCI images,</w:t>
      </w:r>
      <w:r>
        <w:t xml:space="preserve"> </w:t>
      </w:r>
      <w:r>
        <w:rPr>
          <w:b/>
          <w:bCs/>
        </w:rPr>
        <w:t xml:space="preserve">Podman</w:t>
      </w:r>
      <w:r>
        <w:t xml:space="preserve"> </w:t>
      </w:r>
      <w:r>
        <w:t xml:space="preserve">native; Kube‑compatible manifests.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reference-architecture"/>
    <w:p>
      <w:pPr>
        <w:pStyle w:val="Heading2"/>
      </w:pPr>
      <w:r>
        <w:t xml:space="preserve">2. Reference Architecture</w:t>
      </w:r>
    </w:p>
    <w:bookmarkStart w:id="24" w:name="highlevel-components"/>
    <w:p>
      <w:pPr>
        <w:pStyle w:val="Heading3"/>
      </w:pPr>
      <w:r>
        <w:t xml:space="preserve">2.1 High‑Level Components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Plane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Market Data Ingestors</w:t>
      </w:r>
      <w:r>
        <w:t xml:space="preserve"> </w:t>
      </w:r>
      <w:r>
        <w:t xml:space="preserve">(ticks, trades, quotes, bars);</w:t>
      </w:r>
      <w:r>
        <w:t xml:space="preserve"> </w:t>
      </w:r>
      <w:r>
        <w:rPr>
          <w:b/>
          <w:bCs/>
        </w:rPr>
        <w:t xml:space="preserve">Corporate Actions</w:t>
      </w:r>
      <w:r>
        <w:t xml:space="preserve">;</w:t>
      </w:r>
      <w:r>
        <w:t xml:space="preserve"> </w:t>
      </w:r>
      <w:r>
        <w:rPr>
          <w:b/>
          <w:bCs/>
        </w:rPr>
        <w:t xml:space="preserve">Fundamentals</w:t>
      </w:r>
      <w:r>
        <w:t xml:space="preserve">;</w:t>
      </w:r>
      <w:r>
        <w:t xml:space="preserve"> </w:t>
      </w:r>
      <w:r>
        <w:rPr>
          <w:b/>
          <w:bCs/>
        </w:rPr>
        <w:t xml:space="preserve">News</w:t>
      </w:r>
      <w:r>
        <w:t xml:space="preserve">;</w:t>
      </w:r>
      <w:r>
        <w:t xml:space="preserve"> </w:t>
      </w:r>
      <w:r>
        <w:rPr>
          <w:b/>
          <w:bCs/>
        </w:rPr>
        <w:t xml:space="preserve">Alt‑Data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Stream Bus</w:t>
      </w:r>
      <w:r>
        <w:t xml:space="preserve">: Kafka/Redpanda (exactly‑once where needed), NATS for low‑latency pub/sub.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Feature Store</w:t>
      </w:r>
      <w:r>
        <w:t xml:space="preserve">: Online (Redis/KeyDB) + Offline (PostgreSQL/TimescaleDB; parquet in S3‑compatible object store).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Vector Store</w:t>
      </w:r>
      <w:r>
        <w:t xml:space="preserve">: pgvector/Qdrant for RAG and semantic retrieval.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Intelligence Plane (Agents)</w:t>
      </w:r>
    </w:p>
    <w:p>
      <w:pPr>
        <w:pStyle w:val="Compact"/>
        <w:numPr>
          <w:ilvl w:val="1"/>
          <w:numId w:val="1006"/>
        </w:numPr>
      </w:pPr>
      <w:r>
        <w:t xml:space="preserve">Orchestrated via</w:t>
      </w:r>
      <w:r>
        <w:t xml:space="preserve"> </w:t>
      </w:r>
      <w:r>
        <w:rPr>
          <w:b/>
          <w:bCs/>
        </w:rPr>
        <w:t xml:space="preserve">A2A (Agent‑to‑Agent)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MCP (Model Context Protocol)</w:t>
      </w:r>
      <w:r>
        <w:t xml:space="preserve">, tool‑use &amp; delegation.</w:t>
      </w:r>
    </w:p>
    <w:p>
      <w:pPr>
        <w:pStyle w:val="Compact"/>
        <w:numPr>
          <w:ilvl w:val="1"/>
          <w:numId w:val="1006"/>
        </w:numPr>
      </w:pPr>
      <w:r>
        <w:t xml:space="preserve">Agent categories:</w:t>
      </w:r>
      <w:r>
        <w:t xml:space="preserve"> </w:t>
      </w:r>
      <w:r>
        <w:rPr>
          <w:b/>
          <w:bCs/>
        </w:rPr>
        <w:t xml:space="preserve">Ingestion</w:t>
      </w:r>
      <w:r>
        <w:t xml:space="preserve">,</w:t>
      </w:r>
      <w:r>
        <w:t xml:space="preserve"> </w:t>
      </w:r>
      <w:r>
        <w:rPr>
          <w:b/>
          <w:bCs/>
        </w:rPr>
        <w:t xml:space="preserve">Quality/Lineage</w:t>
      </w:r>
      <w:r>
        <w:t xml:space="preserve">,</w:t>
      </w:r>
      <w:r>
        <w:t xml:space="preserve"> </w:t>
      </w:r>
      <w:r>
        <w:rPr>
          <w:b/>
          <w:bCs/>
        </w:rPr>
        <w:t xml:space="preserve">NLP/News</w:t>
      </w:r>
      <w:r>
        <w:t xml:space="preserve">,</w:t>
      </w:r>
      <w:r>
        <w:t xml:space="preserve"> </w:t>
      </w:r>
      <w:r>
        <w:rPr>
          <w:b/>
          <w:bCs/>
        </w:rPr>
        <w:t xml:space="preserve">Sentiment</w:t>
      </w:r>
      <w:r>
        <w:t xml:space="preserve">,</w:t>
      </w:r>
      <w:r>
        <w:t xml:space="preserve"> </w:t>
      </w:r>
      <w:r>
        <w:rPr>
          <w:b/>
          <w:bCs/>
        </w:rPr>
        <w:t xml:space="preserve">Feature‑Engineering</w:t>
      </w:r>
      <w:r>
        <w:t xml:space="preserve">,</w:t>
      </w:r>
      <w:r>
        <w:t xml:space="preserve"> </w:t>
      </w:r>
      <w:r>
        <w:rPr>
          <w:b/>
          <w:bCs/>
        </w:rPr>
        <w:t xml:space="preserve">Signal‑Research</w:t>
      </w:r>
      <w:r>
        <w:t xml:space="preserve">,</w:t>
      </w:r>
      <w:r>
        <w:t xml:space="preserve"> </w:t>
      </w:r>
      <w:r>
        <w:rPr>
          <w:b/>
          <w:bCs/>
        </w:rPr>
        <w:t xml:space="preserve">Model‑Training</w:t>
      </w:r>
      <w:r>
        <w:t xml:space="preserve">,</w:t>
      </w:r>
      <w:r>
        <w:t xml:space="preserve"> </w:t>
      </w:r>
      <w:r>
        <w:rPr>
          <w:b/>
          <w:bCs/>
        </w:rPr>
        <w:t xml:space="preserve">Ensembling</w:t>
      </w:r>
      <w:r>
        <w:t xml:space="preserve">,</w:t>
      </w:r>
      <w:r>
        <w:t xml:space="preserve"> </w:t>
      </w:r>
      <w:r>
        <w:rPr>
          <w:b/>
          <w:bCs/>
        </w:rPr>
        <w:t xml:space="preserve">Risk</w:t>
      </w:r>
      <w:r>
        <w:t xml:space="preserve">,</w:t>
      </w:r>
      <w:r>
        <w:t xml:space="preserve"> </w:t>
      </w:r>
      <w:r>
        <w:rPr>
          <w:b/>
          <w:bCs/>
        </w:rPr>
        <w:t xml:space="preserve">Compliance</w:t>
      </w:r>
      <w:r>
        <w:t xml:space="preserve">,</w:t>
      </w:r>
      <w:r>
        <w:t xml:space="preserve"> </w:t>
      </w:r>
      <w:r>
        <w:rPr>
          <w:b/>
          <w:bCs/>
        </w:rPr>
        <w:t xml:space="preserve">Backtesting/Simulation</w:t>
      </w:r>
      <w:r>
        <w:t xml:space="preserve">,</w:t>
      </w:r>
      <w:r>
        <w:t xml:space="preserve"> </w:t>
      </w:r>
      <w:r>
        <w:rPr>
          <w:b/>
          <w:bCs/>
        </w:rPr>
        <w:t xml:space="preserve">Explainability</w:t>
      </w:r>
      <w:r>
        <w:t xml:space="preserve">,</w:t>
      </w:r>
      <w:r>
        <w:t xml:space="preserve"> </w:t>
      </w:r>
      <w:r>
        <w:rPr>
          <w:b/>
          <w:bCs/>
        </w:rPr>
        <w:t xml:space="preserve">Governance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Decision &amp; Execution Plane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Portfolio Engine</w:t>
      </w:r>
      <w:r>
        <w:t xml:space="preserve">: optimizer (mean‑variance, risk parity, turnover &amp; limits), scenario/VaR/ES.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Execution Simulator</w:t>
      </w:r>
      <w:r>
        <w:t xml:space="preserve">: limit/market/iceberg, slippage &amp; microstructure, venue models.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Broker Adapters</w:t>
      </w:r>
      <w:r>
        <w:t xml:space="preserve"> </w:t>
      </w:r>
      <w:r>
        <w:t xml:space="preserve">(paper/live with guarded release, kill‑switch).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Control Plane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MLOps</w:t>
      </w:r>
      <w:r>
        <w:t xml:space="preserve">: experiment tracker, model registry, CI/CD, canary, drift monitors.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Observability</w:t>
      </w:r>
      <w:r>
        <w:t xml:space="preserve">: metrics (Prometheus), logs (Loki), traces (OpenTelemetry), alerting (Alertmanager).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Compliance &amp; Audit</w:t>
      </w:r>
      <w:r>
        <w:t xml:space="preserve">: immutable logs (WORM), retention, approvals, attestations.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Experience Plane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Analyst/Trader UI</w:t>
      </w:r>
      <w:r>
        <w:t xml:space="preserve">: Flutter multi‑platform (iOS/Android/Web/macOS/Windows/Linux).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Ops/Compliance Console</w:t>
      </w:r>
      <w:r>
        <w:t xml:space="preserve">: role‑based dashboards; approvals; audit trails.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APIs</w:t>
      </w:r>
      <w:r>
        <w:t xml:space="preserve">: gRPC for low‑latency; REST/GraphQL for external consumption.</w:t>
      </w:r>
    </w:p>
    <w:bookmarkEnd w:id="24"/>
    <w:bookmarkStart w:id="25" w:name="tech-choices-opinionated-defaults"/>
    <w:p>
      <w:pPr>
        <w:pStyle w:val="Heading3"/>
      </w:pPr>
      <w:r>
        <w:t xml:space="preserve">2.2 Tech Choices (opinionated defaults)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Languages</w:t>
      </w:r>
      <w:r>
        <w:t xml:space="preserve">: Rust (services/agents, execution, backtester); Dart/Flutter (front‑ends); Python (research notebooks &amp; prototypes if desired).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Storage</w:t>
      </w:r>
      <w:r>
        <w:t xml:space="preserve">: PostgreSQL (OLTP via Supabase), TimescaleDB (time‑series), ClickHouse (OLAP), Object Store (S3‑compatible) for parquet, Redis for online features/caching.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Orchestration</w:t>
      </w:r>
      <w:r>
        <w:t xml:space="preserve">: Podman pods/Compose in lower env; Kubernetes‑compatible manifests for scale; HashiCorp Vault for secrets; Traefik/Envoy for gateway.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IaC</w:t>
      </w:r>
      <w:r>
        <w:t xml:space="preserve">: Terraform + Ansible; SBOM via Syft; image signing via Cosign; SLSA provenance.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agents-responsibilities"/>
    <w:p>
      <w:pPr>
        <w:pStyle w:val="Heading2"/>
      </w:pPr>
      <w:r>
        <w:t xml:space="preserve">3. Agents &amp; Responsibilities</w:t>
      </w:r>
    </w:p>
    <w:p>
      <w:pPr>
        <w:pStyle w:val="BlockText"/>
      </w:pPr>
      <w:r>
        <w:t xml:space="preserve">Agents communicate via A2A; MCP defines tools (APIs) they may call. Each agent produces structured artifacts (schemas below) and emits events.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Ingestor Agents</w:t>
      </w:r>
    </w:p>
    <w:p>
      <w:pPr>
        <w:pStyle w:val="Compact"/>
        <w:numPr>
          <w:ilvl w:val="1"/>
          <w:numId w:val="1012"/>
        </w:numPr>
      </w:pPr>
      <w:r>
        <w:t xml:space="preserve">Connectors: market data (level‑1/2), fundamentals, filings (EDGAR), news (RSS/APIs), alt‑data.</w:t>
      </w:r>
    </w:p>
    <w:p>
      <w:pPr>
        <w:pStyle w:val="Compact"/>
        <w:numPr>
          <w:ilvl w:val="1"/>
          <w:numId w:val="1012"/>
        </w:numPr>
      </w:pPr>
      <w:r>
        <w:t xml:space="preserve">Guarantees: idempotent writes, watermarking, late‑arrival handling, schema evolution.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 Quality &amp; Lineage Agent</w:t>
      </w:r>
    </w:p>
    <w:p>
      <w:pPr>
        <w:pStyle w:val="Compact"/>
        <w:numPr>
          <w:ilvl w:val="1"/>
          <w:numId w:val="1013"/>
        </w:numPr>
      </w:pPr>
      <w:r>
        <w:t xml:space="preserve">Profiling, anomaly detection (missing fields/spikes), unit checks on distributions.</w:t>
      </w:r>
    </w:p>
    <w:p>
      <w:pPr>
        <w:pStyle w:val="Compact"/>
        <w:numPr>
          <w:ilvl w:val="1"/>
          <w:numId w:val="1013"/>
        </w:numPr>
      </w:pPr>
      <w:r>
        <w:t xml:space="preserve">Lineage graph (OpenLineage), dataset SLAs, quarantine &amp; backfill workflows.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NLP / News Intelligence Agent</w:t>
      </w:r>
    </w:p>
    <w:p>
      <w:pPr>
        <w:pStyle w:val="Compact"/>
        <w:numPr>
          <w:ilvl w:val="1"/>
          <w:numId w:val="1014"/>
        </w:numPr>
      </w:pPr>
      <w:r>
        <w:t xml:space="preserve">Document unification, de‑duplication, entity linking, sentiment, event extraction.</w:t>
      </w:r>
    </w:p>
    <w:p>
      <w:pPr>
        <w:pStyle w:val="Compact"/>
        <w:numPr>
          <w:ilvl w:val="1"/>
          <w:numId w:val="1014"/>
        </w:numPr>
      </w:pPr>
      <w:r>
        <w:t xml:space="preserve">RAG over filings/earnings calls; topic clustering; impact scoring per ticker/sector.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Feature Engineering Agent</w:t>
      </w:r>
    </w:p>
    <w:p>
      <w:pPr>
        <w:pStyle w:val="Compact"/>
        <w:numPr>
          <w:ilvl w:val="1"/>
          <w:numId w:val="1015"/>
        </w:numPr>
      </w:pPr>
      <w:r>
        <w:t xml:space="preserve">Technical factors (momentum/mean‑reversion/vol), fundamental ratios, cross‑sectional ranks.</w:t>
      </w:r>
    </w:p>
    <w:p>
      <w:pPr>
        <w:pStyle w:val="Compact"/>
        <w:numPr>
          <w:ilvl w:val="1"/>
          <w:numId w:val="1015"/>
        </w:numPr>
      </w:pPr>
      <w:r>
        <w:t xml:space="preserve">Cross‑asset &amp; macro joins; leakage controls; feature importance diagnostics.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Signal Research Agent</w:t>
      </w:r>
    </w:p>
    <w:p>
      <w:pPr>
        <w:pStyle w:val="Compact"/>
        <w:numPr>
          <w:ilvl w:val="1"/>
          <w:numId w:val="1016"/>
        </w:numPr>
      </w:pPr>
      <w:r>
        <w:t xml:space="preserve">Hypothesis generation, grid/BO tuning, episodic regime detection; emits candidate signals with metadata.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Model Training Agent</w:t>
      </w:r>
    </w:p>
    <w:p>
      <w:pPr>
        <w:pStyle w:val="Compact"/>
        <w:numPr>
          <w:ilvl w:val="1"/>
          <w:numId w:val="1017"/>
        </w:numPr>
      </w:pPr>
      <w:r>
        <w:t xml:space="preserve">Pipeline for tree‑based, linear, and deep (tabular + sequence + GNN if needed).</w:t>
      </w:r>
    </w:p>
    <w:p>
      <w:pPr>
        <w:pStyle w:val="Compact"/>
        <w:numPr>
          <w:ilvl w:val="1"/>
          <w:numId w:val="1017"/>
        </w:numPr>
      </w:pPr>
      <w:r>
        <w:t xml:space="preserve">Walk‑forward splitter; nested CV; hyper‑param tuning; model cards.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Ensemble &amp; Meta‑Learner Agent</w:t>
      </w:r>
    </w:p>
    <w:p>
      <w:pPr>
        <w:pStyle w:val="Compact"/>
        <w:numPr>
          <w:ilvl w:val="1"/>
          <w:numId w:val="1018"/>
        </w:numPr>
      </w:pPr>
      <w:r>
        <w:t xml:space="preserve">Stacking/blending; diversity metrics; stability regularization; turnover optimization.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Risk Agent</w:t>
      </w:r>
    </w:p>
    <w:p>
      <w:pPr>
        <w:pStyle w:val="Compact"/>
        <w:numPr>
          <w:ilvl w:val="1"/>
          <w:numId w:val="1019"/>
        </w:numPr>
      </w:pPr>
      <w:r>
        <w:t xml:space="preserve">Exposure controls (sector/β/FX), VaR/ES (historical/Monte Carlo), drawdown guards, circuit breakers.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Backtesting/Simulation Agent</w:t>
      </w:r>
    </w:p>
    <w:p>
      <w:pPr>
        <w:pStyle w:val="Compact"/>
        <w:numPr>
          <w:ilvl w:val="1"/>
          <w:numId w:val="1020"/>
        </w:numPr>
      </w:pPr>
      <w:r>
        <w:t xml:space="preserve">Event‑driven engine; order book microstructure; borrow/short fees; corporate actions; survivorship‑bias‑free universes.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Compliance Agent</w:t>
      </w:r>
    </w:p>
    <w:p>
      <w:pPr>
        <w:pStyle w:val="Compact"/>
        <w:numPr>
          <w:ilvl w:val="0"/>
          <w:numId w:val="1021"/>
        </w:numPr>
      </w:pPr>
      <w:r>
        <w:t xml:space="preserve">Pre‑trade checks (restricted lists, holdings conflicts), post‑trade surveillance, communications audit hooks, record retention tagging.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Explainability Agent</w:t>
      </w:r>
    </w:p>
    <w:p>
      <w:pPr>
        <w:pStyle w:val="Compact"/>
        <w:numPr>
          <w:ilvl w:val="0"/>
          <w:numId w:val="1023"/>
        </w:numPr>
      </w:pPr>
      <w:r>
        <w:t xml:space="preserve">Per‑asset and portfolio‑level explanations (SHAP/Permutation), feature drift summaries, narrative generation with citations.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Governance Agent</w:t>
      </w:r>
    </w:p>
    <w:p>
      <w:pPr>
        <w:pStyle w:val="Compact"/>
        <w:numPr>
          <w:ilvl w:val="0"/>
          <w:numId w:val="1025"/>
        </w:numPr>
      </w:pPr>
      <w:r>
        <w:t xml:space="preserve">Model version gates, sign‑off workflows (maker/checker), deployment approvals, rollback.</w:t>
      </w:r>
    </w:p>
    <w:p>
      <w:r>
        <w:pict>
          <v:rect style="width:0;height:1.5pt" o:hralign="center" o:hrstd="t" o:hr="t"/>
        </w:pict>
      </w:r>
    </w:p>
    <w:bookmarkEnd w:id="27"/>
    <w:bookmarkStart w:id="31" w:name="data-architecture"/>
    <w:p>
      <w:pPr>
        <w:pStyle w:val="Heading2"/>
      </w:pPr>
      <w:r>
        <w:t xml:space="preserve">4. Data Architecture</w:t>
      </w:r>
    </w:p>
    <w:bookmarkStart w:id="28" w:name="schemas-select"/>
    <w:p>
      <w:pPr>
        <w:pStyle w:val="Heading3"/>
      </w:pPr>
      <w:r>
        <w:t xml:space="preserve">4.1 Schemas (select)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Event Envelope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"RFC3339"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"agent_name"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"INGEST|FEATURE|SIGNAL|RISK|PORTFOLIO|EXEC_SIM|ALERT|GOV"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"tenant_id"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"…"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"…"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"lineage"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"parents"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"event_id"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"dataset_hash"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"sha256"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Feature Row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"asof"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"symbol"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"feature_namespace"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"features"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-1.2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"window"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}}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Signal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"asof"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"symbol"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"signal_id"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"model_version"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"v2025.08.1"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"horizon"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0.73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0.61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"explain"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"top_features"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"mom_20"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"sent_pos"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Portfolio Instruction (Sim/Live)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"asof"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"book"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"core"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"target_weights"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"AAPL"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0.02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"MSFT"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0.03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"constraints"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"gross"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"sector_max"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"rebalance weekly"</w:t>
      </w:r>
      <w:r>
        <w:rPr>
          <w:rStyle w:val="FunctionTok"/>
        </w:rPr>
        <w:t xml:space="preserve">}</w:t>
      </w:r>
    </w:p>
    <w:bookmarkEnd w:id="28"/>
    <w:bookmarkStart w:id="29" w:name="feature-store"/>
    <w:p>
      <w:pPr>
        <w:pStyle w:val="Heading3"/>
      </w:pPr>
      <w:r>
        <w:t xml:space="preserve">4.2 Feature Store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Offline</w:t>
      </w:r>
      <w:r>
        <w:t xml:space="preserve">: partitioned parquet (symbol/date), Hive‑compatible metadata; tracked via data versioning (DVC/lakeFS).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Online</w:t>
      </w:r>
      <w:r>
        <w:t xml:space="preserve">: Redis/KeyDB with TTL; write‑behind to OLTP; schema registry (Protobuf/Avro) with compatibility rules.</w:t>
      </w:r>
    </w:p>
    <w:bookmarkEnd w:id="29"/>
    <w:bookmarkStart w:id="30" w:name="data-quality-gates"/>
    <w:p>
      <w:pPr>
        <w:pStyle w:val="Heading3"/>
      </w:pPr>
      <w:r>
        <w:t xml:space="preserve">4.3 Data Quality Gates</w:t>
      </w:r>
    </w:p>
    <w:p>
      <w:pPr>
        <w:pStyle w:val="Compact"/>
        <w:numPr>
          <w:ilvl w:val="0"/>
          <w:numId w:val="1031"/>
        </w:numPr>
      </w:pPr>
      <w:r>
        <w:t xml:space="preserve">Min completeness %, z‑score bounds, monotonicity checks; automatic quarantine topic; repair/backfill DAG.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modeling-research-standards"/>
    <w:p>
      <w:pPr>
        <w:pStyle w:val="Heading2"/>
      </w:pPr>
      <w:r>
        <w:t xml:space="preserve">5. Modeling &amp; Research Standards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Labeling</w:t>
      </w:r>
      <w:r>
        <w:t xml:space="preserve">: forward returns (t+1d/1w/1m), classification (up/down) and regression (basis points).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Splits</w:t>
      </w:r>
      <w:r>
        <w:t xml:space="preserve">: purged, embargoed K‑fold CV to eliminate leakage; walk‑forward with refit cadence.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Metrics</w:t>
      </w:r>
      <w:r>
        <w:t xml:space="preserve">: Information Coefficient, Precision@K, Hit‑Rate, Sharpe/Sortino, MaxDD, Turnover, Capacity.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Regularization</w:t>
      </w:r>
      <w:r>
        <w:t xml:space="preserve">: turnover penalization, risk‑budgeting, stability constraints.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Explainability</w:t>
      </w:r>
      <w:r>
        <w:t xml:space="preserve">: global/local SHAP, ICE plots, ablation; narrative generation for UI.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Regime Modeling</w:t>
      </w:r>
      <w:r>
        <w:t xml:space="preserve">: HMM/HSMM or clustering to adapt signal weights per regime.</w:t>
      </w:r>
    </w:p>
    <w:p>
      <w:r>
        <w:pict>
          <v:rect style="width:0;height:1.5pt" o:hralign="center" o:hrstd="t" o:hr="t"/>
        </w:pict>
      </w:r>
    </w:p>
    <w:bookmarkEnd w:id="32"/>
    <w:bookmarkStart w:id="35" w:name="backtesting-simulation"/>
    <w:p>
      <w:pPr>
        <w:pStyle w:val="Heading2"/>
      </w:pPr>
      <w:r>
        <w:t xml:space="preserve">6. Backtesting &amp; Simulation</w:t>
      </w:r>
    </w:p>
    <w:bookmarkStart w:id="33" w:name="engine-requirements"/>
    <w:p>
      <w:pPr>
        <w:pStyle w:val="Heading3"/>
      </w:pPr>
      <w:r>
        <w:t xml:space="preserve">6.1 Engine Requirements</w:t>
      </w:r>
    </w:p>
    <w:p>
      <w:pPr>
        <w:pStyle w:val="Compact"/>
        <w:numPr>
          <w:ilvl w:val="0"/>
          <w:numId w:val="1033"/>
        </w:numPr>
      </w:pPr>
      <w:r>
        <w:t xml:space="preserve">Event‑driven, single‑source‑of‑truth clock; realistic order book; partial fills; queue position.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Costs</w:t>
      </w:r>
      <w:r>
        <w:t xml:space="preserve">: commissions, spreads, slippage (square‑root/impact models), borrow/short fees, taxes (configurable).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Constraints</w:t>
      </w:r>
      <w:r>
        <w:t xml:space="preserve">: liquidity limits, ADV caps, borrow availability, hard/soft limits.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Corporate Actions</w:t>
      </w:r>
      <w:r>
        <w:t xml:space="preserve">: splits/dividends/mergers correctly adjusted;</w:t>
      </w:r>
      <w:r>
        <w:t xml:space="preserve"> </w:t>
      </w:r>
      <w:r>
        <w:rPr>
          <w:b/>
          <w:bCs/>
        </w:rPr>
        <w:t xml:space="preserve">survivorship‑bias‑free</w:t>
      </w:r>
      <w:r>
        <w:t xml:space="preserve"> </w:t>
      </w:r>
      <w:r>
        <w:t xml:space="preserve">universes.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Scenarios</w:t>
      </w:r>
      <w:r>
        <w:t xml:space="preserve">: regime shocks (e.g., 2008, 2020), circuit‑breakers, halts, venue outages.</w:t>
      </w:r>
    </w:p>
    <w:bookmarkEnd w:id="33"/>
    <w:bookmarkStart w:id="34" w:name="validation-protocols"/>
    <w:p>
      <w:pPr>
        <w:pStyle w:val="Heading3"/>
      </w:pPr>
      <w:r>
        <w:t xml:space="preserve">6.2 Validation Protocols</w:t>
      </w:r>
    </w:p>
    <w:p>
      <w:pPr>
        <w:pStyle w:val="Compact"/>
        <w:numPr>
          <w:ilvl w:val="0"/>
          <w:numId w:val="1034"/>
        </w:numPr>
      </w:pPr>
      <w:r>
        <w:t xml:space="preserve">IS/OOS separation, rolling windows;</w:t>
      </w:r>
      <w:r>
        <w:t xml:space="preserve"> </w:t>
      </w:r>
      <w:r>
        <w:rPr>
          <w:b/>
          <w:bCs/>
        </w:rPr>
        <w:t xml:space="preserve">white‑paper‑style</w:t>
      </w:r>
      <w:r>
        <w:t xml:space="preserve"> </w:t>
      </w:r>
      <w:r>
        <w:t xml:space="preserve">experiment manifests; seeds, hashes, reproducibility.</w:t>
      </w:r>
    </w:p>
    <w:p>
      <w:pPr>
        <w:pStyle w:val="Compact"/>
        <w:numPr>
          <w:ilvl w:val="0"/>
          <w:numId w:val="1034"/>
        </w:numPr>
      </w:pPr>
      <w:r>
        <w:t xml:space="preserve">Bootstrap and reality checks; deflated Sharpe; p‑hacking guards.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portfolio-construction-risk"/>
    <w:p>
      <w:pPr>
        <w:pStyle w:val="Heading2"/>
      </w:pPr>
      <w:r>
        <w:t xml:space="preserve">7. Portfolio Construction &amp; Risk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Optimizers</w:t>
      </w:r>
      <w:r>
        <w:t xml:space="preserve">: mean‑variance with robust covariance (Ledoit‑Wolf), risk parity, Black‑Litterman overlay; turnover &amp; transaction cost terms.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Risk</w:t>
      </w:r>
      <w:r>
        <w:t xml:space="preserve">: factor exposures (β, size, value, momentum), VaR/ES, stress; concentration, country/sector caps.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Policies</w:t>
      </w:r>
      <w:r>
        <w:t xml:space="preserve">: kill‑switches, drawdown‑based de‑risking, circuit breakers, hard limits enforced pre‑ and post‑trade.</w:t>
      </w:r>
    </w:p>
    <w:p>
      <w:r>
        <w:pict>
          <v:rect style="width:0;height:1.5pt" o:hralign="center" o:hrstd="t" o:hr="t"/>
        </w:pict>
      </w:r>
    </w:p>
    <w:bookmarkEnd w:id="36"/>
    <w:bookmarkStart w:id="40" w:name="compliance-governance-auditability"/>
    <w:p>
      <w:pPr>
        <w:pStyle w:val="Heading2"/>
      </w:pPr>
      <w:r>
        <w:t xml:space="preserve">8. Compliance, Governance &amp; Auditability</w:t>
      </w:r>
    </w:p>
    <w:bookmarkStart w:id="37" w:name="core-controls"/>
    <w:p>
      <w:pPr>
        <w:pStyle w:val="Heading3"/>
      </w:pPr>
      <w:r>
        <w:t xml:space="preserve">8.1 Core Controls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Recordkeeping</w:t>
      </w:r>
      <w:r>
        <w:t xml:space="preserve">: WORM storage for all decisions/signals/backtests (SEC 17a‑4), retention policies by jurisdiction.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Surveillance</w:t>
      </w:r>
      <w:r>
        <w:t xml:space="preserve">: pre‑trade checks (restricted lists, insider windows), post‑trade analytics, exception workflows.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Model Risk Mgmt</w:t>
      </w:r>
      <w:r>
        <w:t xml:space="preserve">: model inventory, owners, purpose, data lineage, validation reports (align with SR 11‑7).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Explainability</w:t>
      </w:r>
      <w:r>
        <w:t xml:space="preserve">: per‑recommendation rationale + evidence links (filings, features, news snippets).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Approvals</w:t>
      </w:r>
      <w:r>
        <w:t xml:space="preserve">: maker/checker with e‑sign; deployment gates; change‑control tickets linked to model versions.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Privacy</w:t>
      </w:r>
      <w:r>
        <w:t xml:space="preserve">: GDPR/CCPA data subject rights; PII minimization; DLP scanners on data egress.</w:t>
      </w:r>
    </w:p>
    <w:bookmarkEnd w:id="37"/>
    <w:bookmarkStart w:id="38" w:name="access-segregation-of-duties"/>
    <w:p>
      <w:pPr>
        <w:pStyle w:val="Heading3"/>
      </w:pPr>
      <w:r>
        <w:t xml:space="preserve">8.2 Access &amp; Segregation of Duties</w:t>
      </w:r>
    </w:p>
    <w:p>
      <w:pPr>
        <w:pStyle w:val="Compact"/>
        <w:numPr>
          <w:ilvl w:val="0"/>
          <w:numId w:val="1037"/>
        </w:numPr>
      </w:pPr>
      <w:r>
        <w:t xml:space="preserve">RBAC/ABAC; environment isolation (dev/stage/prod); break‑glass with hardware tokens; session recording for ops.</w:t>
      </w:r>
    </w:p>
    <w:bookmarkEnd w:id="38"/>
    <w:bookmarkStart w:id="39" w:name="legal-disclaimers"/>
    <w:p>
      <w:pPr>
        <w:pStyle w:val="Heading3"/>
      </w:pPr>
      <w:r>
        <w:t xml:space="preserve">8.3 Legal &amp; Disclaimers</w:t>
      </w:r>
    </w:p>
    <w:p>
      <w:pPr>
        <w:pStyle w:val="Compact"/>
        <w:numPr>
          <w:ilvl w:val="0"/>
          <w:numId w:val="1038"/>
        </w:numPr>
      </w:pPr>
      <w:r>
        <w:t xml:space="preserve">System outputs are</w:t>
      </w:r>
      <w:r>
        <w:t xml:space="preserve"> </w:t>
      </w:r>
      <w:r>
        <w:rPr>
          <w:b/>
          <w:bCs/>
        </w:rPr>
        <w:t xml:space="preserve">decision support</w:t>
      </w:r>
      <w:r>
        <w:t xml:space="preserve">; no investment advice; brokerage integration requires suitability checks.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apis-contracts"/>
    <w:p>
      <w:pPr>
        <w:pStyle w:val="Heading2"/>
      </w:pPr>
      <w:r>
        <w:t xml:space="preserve">9. APIs &amp; Contracts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gRPC Services</w:t>
      </w:r>
      <w:r>
        <w:t xml:space="preserve">: low‑latency feature reads, signal fetch, risk checks, sim/execution endpoints.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REST/GraphQL</w:t>
      </w:r>
      <w:r>
        <w:t xml:space="preserve">: query portfolios, reports, audit artifacts.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Schema Registry</w:t>
      </w:r>
      <w:r>
        <w:t xml:space="preserve">: versioned Protobuf/Avro; backward/forward compatibility tests in CI.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Idempotency</w:t>
      </w:r>
      <w:r>
        <w:t xml:space="preserve">: request keys for writes; at‑least/at‑most‑once semantics per endpoint.</w:t>
      </w:r>
    </w:p>
    <w:p>
      <w:r>
        <w:pict>
          <v:rect style="width:0;height:1.5pt" o:hralign="center" o:hrstd="t" o:hr="t"/>
        </w:pict>
      </w:r>
    </w:p>
    <w:bookmarkEnd w:id="41"/>
    <w:bookmarkStart w:id="42" w:name="frontends-flutter"/>
    <w:p>
      <w:pPr>
        <w:pStyle w:val="Heading2"/>
      </w:pPr>
      <w:r>
        <w:t xml:space="preserve">10. Front‑Ends (Flutter)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Analyst Workbench</w:t>
      </w:r>
      <w:r>
        <w:t xml:space="preserve">: universe filters, feature/label explorer, model comparison, experiment timelines.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Signal Explorer</w:t>
      </w:r>
      <w:r>
        <w:t xml:space="preserve">: per‑ticker insight, confidence, rationale, linked evidence (filings/news),</w:t>
      </w:r>
      <w:r>
        <w:t xml:space="preserve"> </w:t>
      </w:r>
      <w:r>
        <w:t xml:space="preserve">‘why’</w:t>
      </w:r>
      <w:r>
        <w:t xml:space="preserve"> </w:t>
      </w:r>
      <w:r>
        <w:t xml:space="preserve">panels.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Portfolio Console</w:t>
      </w:r>
      <w:r>
        <w:t xml:space="preserve">: what‑if tools, optimizer controls, constraints editor, scenario runner, capacity/TC dashboards.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Ops/Compliance</w:t>
      </w:r>
      <w:r>
        <w:t xml:space="preserve">: alerts, approval queues, audit trail viewers, retention/legal hold controls.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Offline‑first</w:t>
      </w:r>
      <w:r>
        <w:t xml:space="preserve">: caching, optimistic UI, background sync; Supabase Auth + row‑level security.</w:t>
      </w:r>
    </w:p>
    <w:p>
      <w:r>
        <w:pict>
          <v:rect style="width:0;height:1.5pt" o:hralign="center" o:hrstd="t" o:hr="t"/>
        </w:pict>
      </w:r>
    </w:p>
    <w:bookmarkEnd w:id="42"/>
    <w:bookmarkStart w:id="43" w:name="observability-sre"/>
    <w:p>
      <w:pPr>
        <w:pStyle w:val="Heading2"/>
      </w:pPr>
      <w:r>
        <w:t xml:space="preserve">11. Observability &amp; SRE</w:t>
      </w:r>
    </w:p>
    <w:p>
      <w:pPr>
        <w:pStyle w:val="Compact"/>
        <w:numPr>
          <w:ilvl w:val="0"/>
          <w:numId w:val="1041"/>
        </w:numPr>
      </w:pPr>
      <w:r>
        <w:t xml:space="preserve">Golden signals (latency, traffic, errors, saturation) per service; SLO dashboards.</w:t>
      </w:r>
    </w:p>
    <w:p>
      <w:pPr>
        <w:pStyle w:val="Compact"/>
        <w:numPr>
          <w:ilvl w:val="0"/>
          <w:numId w:val="1041"/>
        </w:numPr>
      </w:pPr>
      <w:r>
        <w:t xml:space="preserve">Distributed tracing across agents; baggage for correlation IDs (model_version, experiment_id).</w:t>
      </w:r>
    </w:p>
    <w:p>
      <w:pPr>
        <w:pStyle w:val="Compact"/>
        <w:numPr>
          <w:ilvl w:val="0"/>
          <w:numId w:val="1041"/>
        </w:numPr>
      </w:pPr>
      <w:r>
        <w:t xml:space="preserve">Dead‑letter queues; replay tools; chaos drills; disaster‑recovery runbooks.</w:t>
      </w:r>
    </w:p>
    <w:p>
      <w:r>
        <w:pict>
          <v:rect style="width:0;height:1.5pt" o:hralign="center" o:hrstd="t" o:hr="t"/>
        </w:pict>
      </w:r>
    </w:p>
    <w:bookmarkEnd w:id="43"/>
    <w:bookmarkStart w:id="44" w:name="security-privacy"/>
    <w:p>
      <w:pPr>
        <w:pStyle w:val="Heading2"/>
      </w:pPr>
      <w:r>
        <w:t xml:space="preserve">12. Security &amp; Privacy</w:t>
      </w:r>
    </w:p>
    <w:p>
      <w:pPr>
        <w:pStyle w:val="Compact"/>
        <w:numPr>
          <w:ilvl w:val="0"/>
          <w:numId w:val="1042"/>
        </w:numPr>
      </w:pPr>
      <w:r>
        <w:t xml:space="preserve">mTLS everywhere; JWT/OIDC with short‑lived tokens; confidential computing (where available).</w:t>
      </w:r>
    </w:p>
    <w:p>
      <w:pPr>
        <w:pStyle w:val="Compact"/>
        <w:numPr>
          <w:ilvl w:val="0"/>
          <w:numId w:val="1042"/>
        </w:numPr>
      </w:pPr>
      <w:r>
        <w:t xml:space="preserve">Secrets: Vault dynamic creds; KMS‑backed encryption; envelope encryption for parquet.</w:t>
      </w:r>
    </w:p>
    <w:p>
      <w:pPr>
        <w:pStyle w:val="Compact"/>
        <w:numPr>
          <w:ilvl w:val="0"/>
          <w:numId w:val="1042"/>
        </w:numPr>
      </w:pPr>
      <w:r>
        <w:t xml:space="preserve">Supply chain: SBOM, image signing (Cosign), vulnerability gates; reproducible builds.</w:t>
      </w:r>
    </w:p>
    <w:p>
      <w:pPr>
        <w:pStyle w:val="Compact"/>
        <w:numPr>
          <w:ilvl w:val="0"/>
          <w:numId w:val="1042"/>
        </w:numPr>
      </w:pPr>
      <w:r>
        <w:t xml:space="preserve">Data minimization; masking; synthesis for dev/test.</w:t>
      </w:r>
    </w:p>
    <w:p>
      <w:r>
        <w:pict>
          <v:rect style="width:0;height:1.5pt" o:hralign="center" o:hrstd="t" o:hr="t"/>
        </w:pict>
      </w:r>
    </w:p>
    <w:bookmarkEnd w:id="44"/>
    <w:bookmarkStart w:id="45" w:name="deployment-devex"/>
    <w:p>
      <w:pPr>
        <w:pStyle w:val="Heading2"/>
      </w:pPr>
      <w:r>
        <w:t xml:space="preserve">13. Deployment &amp; DevEx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Containers</w:t>
      </w:r>
      <w:r>
        <w:t xml:space="preserve">: OCI images built with BuildKit;</w:t>
      </w:r>
      <w:r>
        <w:t xml:space="preserve"> </w:t>
      </w:r>
      <w:r>
        <w:rPr>
          <w:b/>
          <w:bCs/>
        </w:rPr>
        <w:t xml:space="preserve">Podman</w:t>
      </w:r>
      <w:r>
        <w:t xml:space="preserve"> </w:t>
      </w:r>
      <w:r>
        <w:t xml:space="preserve">pods/Compose; Kubernetes‑compatible YAML for prod scale.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CI/CD</w:t>
      </w:r>
      <w:r>
        <w:t xml:space="preserve">: GitHub Actions/GitLab CI; unit/integration/property tests; ephemeral test envs; blue/green &amp; canary.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IaC</w:t>
      </w:r>
      <w:r>
        <w:t xml:space="preserve">: Terraform modules (networking, DBs, object store, observability); Ansible for hosts/agents.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Config</w:t>
      </w:r>
      <w:r>
        <w:t xml:space="preserve">: env‑agnostic via declarative config; feature flags; runtime overrides with secure config maps.</w:t>
      </w:r>
    </w:p>
    <w:p>
      <w:r>
        <w:pict>
          <v:rect style="width:0;height:1.5pt" o:hralign="center" o:hrstd="t" o:hr="t"/>
        </w:pict>
      </w:r>
    </w:p>
    <w:bookmarkEnd w:id="45"/>
    <w:bookmarkStart w:id="46" w:name="data-governance-catalog"/>
    <w:p>
      <w:pPr>
        <w:pStyle w:val="Heading2"/>
      </w:pPr>
      <w:r>
        <w:t xml:space="preserve">14. Data Governance &amp; Catalog</w:t>
      </w:r>
    </w:p>
    <w:p>
      <w:pPr>
        <w:pStyle w:val="Compact"/>
        <w:numPr>
          <w:ilvl w:val="0"/>
          <w:numId w:val="1044"/>
        </w:numPr>
      </w:pPr>
      <w:r>
        <w:t xml:space="preserve">Data catalog (OpenMetadata/Amundsen); ownership, SLAs, PII classification; lineage (OpenLineage).</w:t>
      </w:r>
    </w:p>
    <w:p>
      <w:pPr>
        <w:pStyle w:val="Compact"/>
        <w:numPr>
          <w:ilvl w:val="0"/>
          <w:numId w:val="1044"/>
        </w:numPr>
      </w:pPr>
      <w:r>
        <w:t xml:space="preserve">Change data capture (Debezium) for OLTP→warehouse; quality SLAs with alerts.</w:t>
      </w:r>
    </w:p>
    <w:p>
      <w:r>
        <w:pict>
          <v:rect style="width:0;height:1.5pt" o:hralign="center" o:hrstd="t" o:hr="t"/>
        </w:pict>
      </w:r>
    </w:p>
    <w:bookmarkEnd w:id="46"/>
    <w:bookmarkStart w:id="47" w:name="testing-strategy"/>
    <w:p>
      <w:pPr>
        <w:pStyle w:val="Heading2"/>
      </w:pPr>
      <w:r>
        <w:t xml:space="preserve">15. Testing Strategy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Unit</w:t>
      </w:r>
      <w:r>
        <w:t xml:space="preserve">: Rust property tests for math/optimizers; snapshot tests for schemas.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Integration</w:t>
      </w:r>
      <w:r>
        <w:t xml:space="preserve">: service contracts; schema compatibility; fault injection.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Backtest Validation</w:t>
      </w:r>
      <w:r>
        <w:t xml:space="preserve">: golden datasets; expected metrics bounds; reproducibility hashes.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LLM/Agent</w:t>
      </w:r>
      <w:r>
        <w:t xml:space="preserve">: tool‑use sandboxes, prompt‑injection hardening, red‑team suites.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Performance</w:t>
      </w:r>
      <w:r>
        <w:t xml:space="preserve">: soak tests; p99 latency &amp; throughput targets; cost/perf regression guards.</w:t>
      </w:r>
    </w:p>
    <w:p>
      <w:r>
        <w:pict>
          <v:rect style="width:0;height:1.5pt" o:hralign="center" o:hrstd="t" o:hr="t"/>
        </w:pict>
      </w:r>
    </w:p>
    <w:bookmarkEnd w:id="47"/>
    <w:bookmarkStart w:id="48" w:name="acceptance-criteria-excerpt"/>
    <w:p>
      <w:pPr>
        <w:pStyle w:val="Heading2"/>
      </w:pPr>
      <w:r>
        <w:t xml:space="preserve">16. Acceptance Criteria (excerpt)</w:t>
      </w:r>
    </w:p>
    <w:p>
      <w:pPr>
        <w:pStyle w:val="Compact"/>
        <w:numPr>
          <w:ilvl w:val="0"/>
          <w:numId w:val="1046"/>
        </w:numPr>
      </w:pPr>
      <w:r>
        <w:t xml:space="preserve">Ingestion maintains ≥99.5% completeness with &lt;0.1% late data after 15 min.</w:t>
      </w:r>
    </w:p>
    <w:p>
      <w:pPr>
        <w:pStyle w:val="Compact"/>
        <w:numPr>
          <w:ilvl w:val="0"/>
          <w:numId w:val="1046"/>
        </w:numPr>
      </w:pPr>
      <w:r>
        <w:t xml:space="preserve">Feature freshness ≤ 60s for intraday factors; ≤ 5m for NLP features.</w:t>
      </w:r>
    </w:p>
    <w:p>
      <w:pPr>
        <w:pStyle w:val="Compact"/>
        <w:numPr>
          <w:ilvl w:val="0"/>
          <w:numId w:val="1046"/>
        </w:numPr>
      </w:pPr>
      <w:r>
        <w:t xml:space="preserve">Backtests produce reproducible manifests with hash‑locked inputs; deflated Sharpe reported.</w:t>
      </w:r>
    </w:p>
    <w:p>
      <w:pPr>
        <w:pStyle w:val="Compact"/>
        <w:numPr>
          <w:ilvl w:val="0"/>
          <w:numId w:val="1046"/>
        </w:numPr>
      </w:pPr>
      <w:r>
        <w:t xml:space="preserve">Every signal rendered in UI includes top‑k features and linked evidence.</w:t>
      </w:r>
    </w:p>
    <w:p>
      <w:pPr>
        <w:pStyle w:val="Compact"/>
        <w:numPr>
          <w:ilvl w:val="0"/>
          <w:numId w:val="1046"/>
        </w:numPr>
      </w:pPr>
      <w:r>
        <w:t xml:space="preserve">Compliance console shows immutable audit trail with WORM proof and retention timers.</w:t>
      </w:r>
    </w:p>
    <w:p>
      <w:pPr>
        <w:pStyle w:val="Compact"/>
        <w:numPr>
          <w:ilvl w:val="0"/>
          <w:numId w:val="1046"/>
        </w:numPr>
      </w:pPr>
      <w:r>
        <w:t xml:space="preserve">SLO error budget respected over rolling 28‑day windows; automated rollback on breach.</w:t>
      </w:r>
    </w:p>
    <w:p>
      <w:r>
        <w:pict>
          <v:rect style="width:0;height:1.5pt" o:hralign="center" o:hrstd="t" o:hr="t"/>
        </w:pict>
      </w:r>
    </w:p>
    <w:bookmarkEnd w:id="48"/>
    <w:bookmarkStart w:id="49" w:name="rollout-plan"/>
    <w:p>
      <w:pPr>
        <w:pStyle w:val="Heading2"/>
      </w:pPr>
      <w:r>
        <w:t xml:space="preserve">17. Rollout Plan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Phase 0 (2–4 wks)</w:t>
      </w:r>
      <w:r>
        <w:t xml:space="preserve">: Foundation — data bus, OLTP, object store, auth, baseline ingest, catalog.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Phase 1 (4–6 wks)</w:t>
      </w:r>
      <w:r>
        <w:t xml:space="preserve">: Feature store, NLP agent, initial signals, backtester v1, Flutter dashboards.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Phase 2 (6–8 wks)</w:t>
      </w:r>
      <w:r>
        <w:t xml:space="preserve">: Portfolio engine, risk/compliance agents, explainability, governance gates.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Phase 3 (ongoing)</w:t>
      </w:r>
      <w:r>
        <w:t xml:space="preserve">: Optimization, broker adapters (paper → gated live), cost/perf hardening.</w:t>
      </w:r>
    </w:p>
    <w:p>
      <w:r>
        <w:pict>
          <v:rect style="width:0;height:1.5pt" o:hralign="center" o:hrstd="t" o:hr="t"/>
        </w:pict>
      </w:r>
    </w:p>
    <w:bookmarkEnd w:id="49"/>
    <w:bookmarkStart w:id="50" w:name="glossary"/>
    <w:p>
      <w:pPr>
        <w:pStyle w:val="Heading2"/>
      </w:pPr>
      <w:r>
        <w:t xml:space="preserve">18. Glossary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A2A</w:t>
      </w:r>
      <w:r>
        <w:t xml:space="preserve">: Agent‑to‑Agent protocol for delegation/coordination.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MCP</w:t>
      </w:r>
      <w:r>
        <w:t xml:space="preserve">: Model Context Protocol defining tool contracts and context sharing.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WORM</w:t>
      </w:r>
      <w:r>
        <w:t xml:space="preserve">: Write Once Read Many storage for immutable records.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RAG</w:t>
      </w:r>
      <w:r>
        <w:t xml:space="preserve">: Retrieval‑Augmented Generation (LLM + vector search/grounding).</w:t>
      </w:r>
    </w:p>
    <w:p>
      <w:r>
        <w:pict>
          <v:rect style="width:0;height:1.5pt" o:hralign="center" o:hrstd="t" o:hr="t"/>
        </w:pict>
      </w:r>
    </w:p>
    <w:bookmarkEnd w:id="50"/>
    <w:bookmarkStart w:id="52" w:name="appendix-example-mcp-tool-specs-abbrev."/>
    <w:p>
      <w:pPr>
        <w:pStyle w:val="Heading2"/>
      </w:pPr>
      <w:r>
        <w:t xml:space="preserve">19. Appendix — Example MCP Tool Specs (abbrev.)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fetch_market_data(symbols, start, end) -&gt; parquet_uri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quality_report(dataset_uri) -&gt; {score, anomalies}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compute_features(parquet_uri, recipe_id) -&gt; feature_table_uri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train_model(feature_table_uri, label_def, config) -&gt; model_version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score_signals(model_version, asof) -&gt; signals_topic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run_backtest(strategy_id, start, end, costs, constraints) -&gt; report_uri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pretrade_check(signals_topic, book) -&gt; {ok|violations}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publish_portfolio(targets) -&gt; portfolio_version</w:t>
      </w:r>
    </w:p>
    <w:p>
      <w:r>
        <w:pict>
          <v:rect style="width:0;height:1.5pt" o:hralign="center" o:hrstd="t" o:hr="t"/>
        </w:pict>
      </w:r>
    </w:p>
    <w:bookmarkStart w:id="51" w:name="notes"/>
    <w:p>
      <w:pPr>
        <w:pStyle w:val="Heading3"/>
      </w:pPr>
      <w:r>
        <w:t xml:space="preserve">Notes</w:t>
      </w:r>
    </w:p>
    <w:p>
      <w:pPr>
        <w:pStyle w:val="Compact"/>
        <w:numPr>
          <w:ilvl w:val="0"/>
          <w:numId w:val="1050"/>
        </w:numPr>
      </w:pPr>
      <w:r>
        <w:t xml:space="preserve">This spec assumes</w:t>
      </w:r>
      <w:r>
        <w:t xml:space="preserve"> </w:t>
      </w:r>
      <w:r>
        <w:rPr>
          <w:b/>
          <w:bCs/>
        </w:rPr>
        <w:t xml:space="preserve">Supabase/PostgreSQL</w:t>
      </w:r>
      <w:r>
        <w:t xml:space="preserve"> </w:t>
      </w:r>
      <w:r>
        <w:t xml:space="preserve">for auth and OLTP,</w:t>
      </w:r>
      <w:r>
        <w:t xml:space="preserve"> </w:t>
      </w:r>
      <w:r>
        <w:rPr>
          <w:b/>
          <w:bCs/>
        </w:rPr>
        <w:t xml:space="preserve">Rust</w:t>
      </w:r>
      <w:r>
        <w:t xml:space="preserve"> </w:t>
      </w:r>
      <w:r>
        <w:t xml:space="preserve">for services/agents,</w:t>
      </w:r>
      <w:r>
        <w:t xml:space="preserve"> </w:t>
      </w:r>
      <w:r>
        <w:rPr>
          <w:b/>
          <w:bCs/>
        </w:rPr>
        <w:t xml:space="preserve">Flutter</w:t>
      </w:r>
      <w:r>
        <w:t xml:space="preserve"> </w:t>
      </w:r>
      <w:r>
        <w:t xml:space="preserve">for all user interfaces, and</w:t>
      </w:r>
      <w:r>
        <w:t xml:space="preserve"> </w:t>
      </w:r>
      <w:r>
        <w:rPr>
          <w:b/>
          <w:bCs/>
        </w:rPr>
        <w:t xml:space="preserve">Podman</w:t>
      </w:r>
      <w:r>
        <w:t xml:space="preserve"> </w:t>
      </w:r>
      <w:r>
        <w:t xml:space="preserve">for containerization. Substitute equivalents as needed without altering interfaces/contracts.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1"/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2025-08-22T01:11:47Z</dcterms:created>
  <dcterms:modified xsi:type="dcterms:W3CDTF">2025-08-22T01:11:47Z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