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5" w:lineRule="auto"/>
        <w:jc w:val="center"/>
      </w:pPr>
      <w:r>
        <w:rPr>
          <w:rFonts w:ascii="Calibri" w:hAnsi="Calibri" w:eastAsia="Calibri"/>
          <w:b/>
          <w:i w:val="0"/>
          <w:color w:val="1A56A0"/>
          <w:sz w:val="32"/>
        </w:rPr>
        <w:t>RAVI RANJAN UPADHYAY</w:t>
      </w:r>
    </w:p>
    <w:p>
      <w:pPr>
        <w:spacing w:before="0" w:after="20" w:line="245" w:lineRule="auto"/>
        <w:jc w:val="center"/>
      </w:pPr>
      <w:r>
        <w:rPr>
          <w:rFonts w:ascii="Calibri" w:hAnsi="Calibri" w:eastAsia="Calibri"/>
          <w:b/>
          <w:i w:val="0"/>
          <w:color w:val="1A1A1A"/>
          <w:sz w:val="22"/>
        </w:rPr>
        <w:t>Full Stack Developer</w:t>
      </w:r>
      <w:r>
        <w:rPr>
          <w:rFonts w:ascii="Calibri" w:hAnsi="Calibri" w:eastAsia="Calibri"/>
          <w:b w:val="0"/>
          <w:i w:val="0"/>
          <w:color w:val="444444"/>
          <w:sz w:val="20"/>
        </w:rPr>
        <w:t xml:space="preserve">  |  Java · Spring Boot · React.js · AWS  |  14.5+ Years</w:t>
      </w:r>
    </w:p>
    <w:p>
      <w:pPr>
        <w:spacing w:before="0" w:after="20" w:line="245" w:lineRule="auto"/>
        <w:jc w:val="center"/>
      </w:pPr>
      <w:r>
        <w:rPr>
          <w:rFonts w:ascii="Calibri" w:hAnsi="Calibri" w:eastAsia="Calibri"/>
          <w:b w:val="0"/>
          <w:i w:val="0"/>
          <w:color w:val="444444"/>
          <w:sz w:val="18"/>
        </w:rPr>
        <w:t>Bangalore, India  |  +91 8125328360  |  raviupa709@gmail.com  |  Open to Full-Time / Contract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PROFESSIONAL SUMMARY</w:t>
      </w:r>
    </w:p>
    <w:p>
      <w:pPr>
        <w:spacing w:before="20" w:after="20" w:line="245" w:lineRule="auto"/>
      </w:pPr>
      <w:r>
        <w:rPr>
          <w:rFonts w:ascii="Calibri" w:hAnsi="Calibri" w:eastAsia="Calibri"/>
          <w:b w:val="0"/>
          <w:i w:val="0"/>
          <w:color w:val="1A1A1A"/>
          <w:sz w:val="18"/>
        </w:rPr>
        <w:t>Full Stack Developer and Technical Lead with 14.5+ years building enterprise web applications using Java, Spring Boot, React.js, JavaScript, REST APIs, and AWS. Hands-on across frontend SPA development, backend microservices, OAuth 2.0 / Microsoft Entra ID (B2E) authentication, third-party API integration, SQL databases, Docker, Kubernetes, CI/CD, and Agile delivery. Proven at modernizing legacy systems into scalable full-stack platforms for Insurance (Lender Relations), Healthcare, and Media. Ideal for Full Stack Developer, Senior Full Stack Engineer, Java Full Stack Lead, and AWS Full Stack roles.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TECHNICAL SKILLS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Full Stack: </w:t>
      </w:r>
      <w:r>
        <w:rPr>
          <w:rFonts w:ascii="Calibri" w:hAnsi="Calibri" w:eastAsia="Calibri"/>
          <w:b w:val="0"/>
          <w:i w:val="0"/>
          <w:color w:val="1A1A1A"/>
          <w:sz w:val="18"/>
        </w:rPr>
        <w:t>Java Full Stack, React.js SPA, REST API Design, End-to-End Feature Delivery, UI + Backend Integration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Frontend: </w:t>
      </w:r>
      <w:r>
        <w:rPr>
          <w:rFonts w:ascii="Calibri" w:hAnsi="Calibri" w:eastAsia="Calibri"/>
          <w:b w:val="0"/>
          <w:i w:val="0"/>
          <w:color w:val="1A1A1A"/>
          <w:sz w:val="18"/>
        </w:rPr>
        <w:t>React.js, JavaScript (ES6+), HTML5, CSS3, SPA, Form Validation, Responsive UI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Backend: </w:t>
      </w:r>
      <w:r>
        <w:rPr>
          <w:rFonts w:ascii="Calibri" w:hAnsi="Calibri" w:eastAsia="Calibri"/>
          <w:b w:val="0"/>
          <w:i w:val="0"/>
          <w:color w:val="1A1A1A"/>
          <w:sz w:val="18"/>
        </w:rPr>
        <w:t>Java 8/11+, Spring Boot, Spring Cloud, Spring Security, Spring Data JPA, Hibernate, Microservices, Feign Client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APIs &amp; Auth: </w:t>
      </w:r>
      <w:r>
        <w:rPr>
          <w:rFonts w:ascii="Calibri" w:hAnsi="Calibri" w:eastAsia="Calibri"/>
          <w:b w:val="0"/>
          <w:i w:val="0"/>
          <w:color w:val="1A1A1A"/>
          <w:sz w:val="18"/>
        </w:rPr>
        <w:t>RESTful APIs, OAuth 2.0, OIDC, Microsoft Entra ID (B2E), Okta, JWT/Bearer Token, API Gateway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Cloud &amp; DevOps: </w:t>
      </w:r>
      <w:r>
        <w:rPr>
          <w:rFonts w:ascii="Calibri" w:hAnsi="Calibri" w:eastAsia="Calibri"/>
          <w:b w:val="0"/>
          <w:i w:val="0"/>
          <w:color w:val="1A1A1A"/>
          <w:sz w:val="18"/>
        </w:rPr>
        <w:t>AWS (EC2, S3, Lambda, API Gateway, CloudFront, WAF, Route 53, ROSA), Docker, Kubernetes, OpenShift, Terraform, Argo CD, Jenkins, CI/CD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Data &amp; Messaging: </w:t>
      </w:r>
      <w:r>
        <w:rPr>
          <w:rFonts w:ascii="Calibri" w:hAnsi="Calibri" w:eastAsia="Calibri"/>
          <w:b w:val="0"/>
          <w:i w:val="0"/>
          <w:color w:val="1A1A1A"/>
          <w:sz w:val="18"/>
        </w:rPr>
        <w:t>SQL, SQL Server, Apache Kafka, Event-Driven Architecture, Async Processing</w:t>
      </w:r>
    </w:p>
    <w:p>
      <w:pPr>
        <w:spacing w:before="0" w:after="0" w:line="245" w:lineRule="auto"/>
      </w:pPr>
      <w:r>
        <w:rPr>
          <w:rFonts w:ascii="Calibri" w:hAnsi="Calibri" w:eastAsia="Calibri"/>
          <w:b/>
          <w:i w:val="0"/>
          <w:color w:val="1A1A1A"/>
          <w:sz w:val="18"/>
        </w:rPr>
        <w:t xml:space="preserve">Quality &amp; Tools: </w:t>
      </w:r>
      <w:r>
        <w:rPr>
          <w:rFonts w:ascii="Calibri" w:hAnsi="Calibri" w:eastAsia="Calibri"/>
          <w:b w:val="0"/>
          <w:i w:val="0"/>
          <w:color w:val="1A1A1A"/>
          <w:sz w:val="18"/>
        </w:rPr>
        <w:t>JUnit, Mockito, TDD, SonarQube, Git, JIRA, Dynatrace, IntelliJ, Agile/Scrum, System Design, Mentoring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PROFESSIONAL EXPERIENCE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Full Stack Technical Lead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HTC Global Services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Jan 2024 – Present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State Farm – Mortgage Record Change System (MRCS), Lender Relations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Jan 2025 – Present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Delivered full-stack features for the newest MRCS by analyzing the legacy application and reimplementing workflows in React.js + Java/Spring.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Built React.js SPA screens: Change Details, Search Lender by Account Number, and Search by Name/Address with validation and responsive UX.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Implemented Microsoft Entra ID B2E (OAuth 2.0) authentication—Bearer tokens in Authorization/B2E header for secure REST calls to LIG gateway.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Integrated address-based third-party APIs (region/location, lender/MIS) and defined SPA → CloudFront/WAF → Spring Cloud Gateway → downstream topology.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React.js, JavaScript, Java, Spring Boot, Spring Cloud Gateway, Entra ID B2E, OAuth 2.0, REST, AWS CloudFront/S3/WAF/Route 53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State Farm – AWS Cloud Migration, Observability &amp; Full Stack Enablement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Jan 2024 – Present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Led AWS ROSA (OpenShift) modernization of enterprise apps; improved scalability, resilience, and release velocity.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Developed React.js dashboards for app health and AWS metrics; built Lambda/API Gateway integrations and Kafka event pipelines.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Owned Kubernetes YAMLs for Spring Boot services, Argo CD blue-green deploys, and Dynatrace + Terraform alerting to cut MTTR.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 Boot, React.js, Kafka, AWS (ROSA, Lambda, EC2, S3, API Gateway), Kubernetes, Terraform, Argo CD, Docker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Ancestry.com – Media Platform Modernization (Full Stack)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Apr 2023 – Dec 2023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Upgraded Media 360 APIs Java 8 → 11 with zero downtime; migrated Spring Boot services from EC2 to OpenShift.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Built React.js UI for media status/browsing; implemented Kafka streaming and MFA portal integration; unified repos for CI/CD.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 11, Spring Boot, React.js, Kafka, AWS EC2/S3, OpenShift, Docker, Kubernetes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Full Stack Technical Lead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Xebia IT Architects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Jul 2022 – Mar 2023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MATT – Branch Exam Platform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Jul 2022 – Mar 2023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Built Spring Boot + JPA microservices and async REST APIs; designed Excel batch import pipelines for hierarchical data.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Led Agile delivery, code reviews, and legacy refactoring for a cross-functional full-stack team.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 Boot, Spring Data JPA, REST, Microservices, Batch, Agile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– Full Stack / Backend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Tech Mahindra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Feb 2022 – Jun 2022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MGM – Identity &amp; Finance Platform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Feb 2022 – Jun 2022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Delivered Okta OAuth2/OIDC + Spring Security PoC and microservices for User Roles and Month-End finance modules.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 Boot, Spring Security, Okta, OAuth 2.0, OIDC, JPA, REST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– Microservices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Tech Mahindra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May 2021 – Jan 2022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SetPlex – Monolith to Microservices (Media)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May 2021 – Jan 2022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Decomposed media monolith into Spring Boot/Spring Cloud microservices with Feign Client; raised coverage via Mockito and AOP logging.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 Boot, Spring Cloud, Feign Client, Microservices, Mockito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(Team of 6–8)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Napier Healthcare Solutions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Aug 2019 – Dec 2020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Healthcare HIS – Microservices Transformation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Aug 2019 – Dec 2020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Migrated hospital monolith (IP/OP/Pharmacy/Lab/Inventory) to Spring Boot microservices; added async REST, logging, and health checks.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 8, Spring Boot, Spring Cloud, Feign Client, REST, Microservices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Technical Lead (Team of 8)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Napier Healthcare Solutions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Nov 2016 – Aug 2019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Healthcare HIS – Core Product Development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Nov 2016 – Aug 2019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Led sprint planning and delivery for 8 engineers; enforced 90%+ Mockito coverage and peer code reviews on Java/Spring/Hibernate.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Spring, Hibernate, SQL, JUnit, Mockito, Agile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Senior Full Stack Developer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Napier Healthcare Solutions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Jul 2014 – Oct 2016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MU2 Certification – Decatur Hospital (Critical Access)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Jul 2014 – Oct 2016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Achieved 100% MU2 Meaningful Use (36/36); built HL7 messaging and full-stack Java/Spring/jQuery/JavaScript features.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Spring, Hibernate, SQL Server, HL7, jQuery, JavaScript</w:t>
      </w:r>
    </w:p>
    <w:p>
      <w:pPr>
        <w:spacing w:before="100" w:after="0" w:line="245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Full Stack Software Developer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</w:t>
      </w:r>
      <w:r>
        <w:rPr>
          <w:rFonts w:ascii="Calibri" w:hAnsi="Calibri" w:eastAsia="Calibri"/>
          <w:b/>
          <w:i w:val="0"/>
          <w:color w:val="1A56A0"/>
          <w:sz w:val="20"/>
        </w:rPr>
        <w:t>Napier Healthcare Pvt Ltd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Aug 2011 – Jul 2014</w:t>
      </w:r>
    </w:p>
    <w:p>
      <w:pPr>
        <w:spacing w:before="4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Napier Dental Solution – Practice Management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 |  Aug 2011 – Jul 2014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Delivered end-to-end full-stack modules (patient history, treatment, correspondence) on Struts2/Spring/Hibernate/JSP/SQL Server.</w:t>
      </w:r>
    </w:p>
    <w:p>
      <w:pPr>
        <w:spacing w:before="0" w:after="20" w:line="245" w:lineRule="auto"/>
      </w:pPr>
      <w:r>
        <w:rPr>
          <w:rFonts w:ascii="Calibri" w:hAnsi="Calibri" w:eastAsia="Calibri"/>
          <w:b/>
          <w:i w:val="0"/>
          <w:color w:val="555555"/>
          <w:sz w:val="17"/>
        </w:rPr>
        <w:t xml:space="preserve">Tech: </w:t>
      </w:r>
      <w:r>
        <w:rPr>
          <w:rFonts w:ascii="Calibri" w:hAnsi="Calibri" w:eastAsia="Calibri"/>
          <w:b w:val="0"/>
          <w:i/>
          <w:color w:val="555555"/>
          <w:sz w:val="17"/>
        </w:rPr>
        <w:t>Java, Struts2, Spring, Hibernate, JSP, Servlets, SQL Server, JavaScript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KEY ACHIEVEMENTS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Shipped newest State Farm MRCS full-stack release: React.js UI + Entra B2E auth + address/lender third-party API integrations.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Cut production downtime ~15% via Dynatrace observability, RCA, and automated alerting; sustained 95%+ quality release rate with SonarQube.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Led 2 major monolith → microservices programs; upgraded Java 8 → 11 for high-traffic APIs with zero downtime.</w:t>
      </w:r>
    </w:p>
    <w:p>
      <w:pPr>
        <w:pStyle w:val="ListBullet"/>
        <w:spacing w:before="0" w:after="0" w:line="245" w:lineRule="auto"/>
        <w:ind w:left="259"/>
      </w:pPr>
      <w:r>
        <w:rPr>
          <w:rFonts w:ascii="Calibri" w:hAnsi="Calibri" w:eastAsia="Calibri"/>
          <w:b w:val="0"/>
          <w:i w:val="0"/>
          <w:color w:val="1A1A1A"/>
          <w:sz w:val="18"/>
        </w:rPr>
        <w:t>Delivered MU2 Meaningful Use certification (36/36) for a US hospital—federally mandated compliance success.</w:t>
      </w:r>
    </w:p>
    <w:p>
      <w:pPr>
        <w:spacing w:before="120" w:after="40" w:line="245" w:lineRule="auto"/>
        <w:pBdr>
          <w:bottom w:val="single" w:sz="10" w:space="1" w:color="1A56A0"/>
        </w:pBdr>
      </w:pPr>
      <w:r>
        <w:rPr>
          <w:rFonts w:ascii="Calibri" w:hAnsi="Calibri" w:eastAsia="Calibri"/>
          <w:b/>
          <w:i w:val="0"/>
          <w:color w:val="1A56A0"/>
          <w:sz w:val="21"/>
        </w:rPr>
        <w:t>EDUCATION</w:t>
      </w:r>
    </w:p>
    <w:p>
      <w:pPr>
        <w:spacing w:before="20" w:after="0" w:line="245" w:lineRule="auto"/>
      </w:pPr>
      <w:r>
        <w:rPr>
          <w:rFonts w:ascii="Calibri" w:hAnsi="Calibri" w:eastAsia="Calibri"/>
          <w:b/>
          <w:i w:val="0"/>
          <w:color w:val="1A1A1A"/>
          <w:sz w:val="19"/>
        </w:rPr>
        <w:t>Master of Computer Applications (MCA)</w:t>
      </w:r>
      <w:r>
        <w:rPr>
          <w:rFonts w:ascii="Calibri" w:hAnsi="Calibri" w:eastAsia="Calibri"/>
          <w:b w:val="0"/>
          <w:i w:val="0"/>
          <w:color w:val="555555"/>
          <w:sz w:val="18"/>
        </w:rPr>
        <w:t xml:space="preserve"> — Dr. Ambedkar Institute of Technology, Bangalore (VTU) | 2010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