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712E" w:rsidRDefault="004009FE">
      <w:pPr>
        <w:spacing w:before="1440" w:after="240"/>
        <w:jc w:val="center"/>
      </w:pPr>
      <w:r>
        <w:rPr>
          <w:b/>
          <w:bCs/>
          <w:color w:val="0B2545"/>
          <w:sz w:val="52"/>
          <w:szCs w:val="52"/>
        </w:rPr>
        <w:t>The Practitioner's Playbook</w:t>
      </w:r>
    </w:p>
    <w:p w:rsidR="00A5712E" w:rsidRDefault="004009FE">
      <w:pPr>
        <w:spacing w:after="200"/>
        <w:jc w:val="center"/>
      </w:pPr>
      <w:r>
        <w:rPr>
          <w:i/>
          <w:iCs/>
          <w:color w:val="555555"/>
          <w:sz w:val="28"/>
          <w:szCs w:val="28"/>
        </w:rPr>
        <w:t>A Senior Advisor's Knowledge Base for Indian Personal Finance, Tax and Investment Strategy</w:t>
      </w:r>
    </w:p>
    <w:p w:rsidR="00A5712E" w:rsidRDefault="004009FE">
      <w:pPr>
        <w:spacing w:before="200" w:after="120"/>
        <w:jc w:val="center"/>
      </w:pPr>
      <w:r>
        <w:rPr>
          <w:color w:val="334155"/>
        </w:rPr>
        <w:t>Edition: FY 2025-26 | AY 2026-27</w:t>
      </w:r>
    </w:p>
    <w:p w:rsidR="00A5712E" w:rsidRDefault="004009FE">
      <w:pPr>
        <w:spacing w:after="120"/>
        <w:jc w:val="center"/>
      </w:pPr>
      <w:r>
        <w:rPr>
          <w:color w:val="334155"/>
        </w:rPr>
        <w:t>Jurisdiction: India | Income Tax Act 2025 in force from 1 Apr 2026</w:t>
      </w:r>
    </w:p>
    <w:p w:rsidR="00A5712E" w:rsidRDefault="004009FE">
      <w:pPr>
        <w:spacing w:after="480"/>
        <w:jc w:val="center"/>
      </w:pPr>
      <w:r>
        <w:rPr>
          <w:i/>
          <w:iCs/>
          <w:color w:val="888888"/>
          <w:sz w:val="20"/>
          <w:szCs w:val="20"/>
        </w:rPr>
        <w:t xml:space="preserve">Corpus: </w:t>
      </w:r>
      <w:proofErr w:type="spellStart"/>
      <w:r>
        <w:rPr>
          <w:i/>
          <w:iCs/>
          <w:color w:val="888888"/>
          <w:sz w:val="20"/>
          <w:szCs w:val="20"/>
        </w:rPr>
        <w:t>portfolio_strategy_kb</w:t>
      </w:r>
      <w:proofErr w:type="spellEnd"/>
      <w:r>
        <w:rPr>
          <w:i/>
          <w:iCs/>
          <w:color w:val="888888"/>
          <w:sz w:val="20"/>
          <w:szCs w:val="20"/>
        </w:rPr>
        <w:t xml:space="preserve"> + </w:t>
      </w:r>
      <w:proofErr w:type="spellStart"/>
      <w:r>
        <w:rPr>
          <w:i/>
          <w:iCs/>
          <w:color w:val="888888"/>
          <w:sz w:val="20"/>
          <w:szCs w:val="20"/>
        </w:rPr>
        <w:t>tax_law_kb</w:t>
      </w:r>
      <w:proofErr w:type="spellEnd"/>
      <w:r>
        <w:rPr>
          <w:i/>
          <w:iCs/>
          <w:color w:val="888888"/>
          <w:sz w:val="20"/>
          <w:szCs w:val="20"/>
        </w:rPr>
        <w:t xml:space="preserve"> | </w:t>
      </w:r>
      <w:proofErr w:type="spellStart"/>
      <w:r>
        <w:rPr>
          <w:i/>
          <w:iCs/>
          <w:color w:val="888888"/>
          <w:sz w:val="20"/>
          <w:szCs w:val="20"/>
        </w:rPr>
        <w:t>last_reviewed</w:t>
      </w:r>
      <w:proofErr w:type="spellEnd"/>
      <w:r>
        <w:rPr>
          <w:i/>
          <w:iCs/>
          <w:color w:val="888888"/>
          <w:sz w:val="20"/>
          <w:szCs w:val="20"/>
        </w:rPr>
        <w:t>: 2026-05-29</w:t>
      </w:r>
    </w:p>
    <w:p w:rsidR="00A5712E" w:rsidRDefault="00A5712E"/>
    <w:p w:rsidR="00A5712E" w:rsidRDefault="004009FE">
      <w:pPr>
        <w:pStyle w:val="Heading1"/>
      </w:pPr>
      <w:r>
        <w:t>1. Foreword - How a Senior Advisor Thinks</w:t>
      </w:r>
    </w:p>
    <w:p w:rsidR="00A5712E" w:rsidRDefault="004009FE">
      <w:pPr>
        <w:spacing w:after="120"/>
        <w:jc w:val="both"/>
      </w:pPr>
      <w:r>
        <w:t xml:space="preserve">After twenty years of sitting across the table from Indian households, a small set of principles have done more for clients than every clever </w:t>
      </w:r>
      <w:r>
        <w:t>product ever launched. This playbook is built around them.</w:t>
      </w:r>
    </w:p>
    <w:p w:rsidR="00A5712E" w:rsidRDefault="004009FE">
      <w:pPr>
        <w:pStyle w:val="Heading2"/>
      </w:pPr>
      <w:r>
        <w:t>Principle 1 - Numbers first, narrative second</w:t>
      </w:r>
    </w:p>
    <w:p w:rsidR="00A5712E" w:rsidRDefault="004009FE">
      <w:pPr>
        <w:spacing w:after="120"/>
        <w:jc w:val="both"/>
      </w:pPr>
      <w:r>
        <w:t>A financial plan that begins with a product recommendation is selling, not advising. Begin with the household's actual income, expenses, liabilities, h</w:t>
      </w:r>
      <w:r>
        <w:t>oldings, dependents, and goals. Compute what is true. The recommendation is what falls out of that arithmetic, not the other way around.</w:t>
      </w:r>
    </w:p>
    <w:p w:rsidR="00A5712E" w:rsidRDefault="004009FE">
      <w:pPr>
        <w:pStyle w:val="Heading2"/>
      </w:pPr>
      <w:r>
        <w:t>Principle 2 - The goal owns the asset</w:t>
      </w:r>
    </w:p>
    <w:p w:rsidR="00A5712E" w:rsidRDefault="004009FE">
      <w:pPr>
        <w:spacing w:after="120"/>
        <w:jc w:val="both"/>
      </w:pPr>
      <w:r>
        <w:t>An asset is not a number on a statement. It is a future obligation - a child's ed</w:t>
      </w:r>
      <w:r>
        <w:t>ucation in 16 years, a home in 10, a retirement in 17 - wearing the costume of an instrument today. Every rupee in a mutual fund belongs to a goal. If it does not, either find it one or move it to liquidity.</w:t>
      </w:r>
    </w:p>
    <w:p w:rsidR="00A5712E" w:rsidRDefault="004009FE">
      <w:pPr>
        <w:pStyle w:val="Heading2"/>
      </w:pPr>
      <w:r>
        <w:t xml:space="preserve">Principle 3 - Tax is a </w:t>
      </w:r>
      <w:proofErr w:type="spellStart"/>
      <w:r>
        <w:t>cashflow</w:t>
      </w:r>
      <w:proofErr w:type="spellEnd"/>
      <w:r>
        <w:t>, not an event</w:t>
      </w:r>
    </w:p>
    <w:p w:rsidR="00A5712E" w:rsidRDefault="004009FE">
      <w:pPr>
        <w:spacing w:after="120"/>
        <w:jc w:val="both"/>
      </w:pPr>
      <w:r>
        <w:t>In</w:t>
      </w:r>
      <w:r>
        <w:t xml:space="preserve">dian taxpayers treat tax as an annual fire-drill in March. It is, in fact, a monthly leakage from every salary credit, every FD interest </w:t>
      </w:r>
      <w:proofErr w:type="spellStart"/>
      <w:r>
        <w:t>payout</w:t>
      </w:r>
      <w:proofErr w:type="spellEnd"/>
      <w:r>
        <w:t>, every short-term redemption. The advisor's job is to make that leakage as small as is legal, by structuring inv</w:t>
      </w:r>
      <w:r>
        <w:t>estments around the regime the client has chosen.</w:t>
      </w:r>
    </w:p>
    <w:p w:rsidR="00A5712E" w:rsidRDefault="004009FE">
      <w:pPr>
        <w:pStyle w:val="Heading2"/>
      </w:pPr>
      <w:r>
        <w:t>Principle 4 - Insurance is not investment</w:t>
      </w:r>
    </w:p>
    <w:p w:rsidR="00A5712E" w:rsidRDefault="004009FE">
      <w:pPr>
        <w:spacing w:after="120"/>
        <w:jc w:val="both"/>
      </w:pPr>
      <w:r>
        <w:t>The single most common error in the Indian household balance sheet is treating endowment and ULIP policies as savings. They are neither the protection a young famil</w:t>
      </w:r>
      <w:r>
        <w:t>y needs, nor the returns a long-horizon goal demands. Separate the two.</w:t>
      </w:r>
    </w:p>
    <w:p w:rsidR="00A5712E" w:rsidRDefault="004009FE">
      <w:pPr>
        <w:pStyle w:val="Heading2"/>
      </w:pPr>
      <w:r>
        <w:t>Principle 5 - Behaviour beats brilliance</w:t>
      </w:r>
    </w:p>
    <w:p w:rsidR="00A5712E" w:rsidRDefault="004009FE">
      <w:pPr>
        <w:spacing w:after="120"/>
        <w:jc w:val="both"/>
      </w:pPr>
      <w:r>
        <w:t xml:space="preserve">The investor who held a boring index SIP for fifteen years has outperformed the investor who switched funds chasing last year's top performer. </w:t>
      </w:r>
      <w:r>
        <w:t>Every framework in this document is designed to be boring on purpose. Boring compounds.</w:t>
      </w:r>
    </w:p>
    <w:p w:rsidR="00A5712E" w:rsidRDefault="00A5712E"/>
    <w:p w:rsidR="00A5712E" w:rsidRDefault="004009FE">
      <w:pPr>
        <w:pStyle w:val="Heading1"/>
      </w:pPr>
      <w:r>
        <w:t>2. Reading the Indian Household Balance Sheet</w:t>
      </w:r>
    </w:p>
    <w:p w:rsidR="00A5712E" w:rsidRDefault="004009FE">
      <w:pPr>
        <w:spacing w:after="120"/>
        <w:jc w:val="both"/>
      </w:pPr>
      <w:r>
        <w:t xml:space="preserve">Indian households are rarely single-earner, single-goal entities. The realistic unit of planning is the household: </w:t>
      </w:r>
      <w:proofErr w:type="gramStart"/>
      <w:r>
        <w:t>typica</w:t>
      </w:r>
      <w:r>
        <w:t>lly</w:t>
      </w:r>
      <w:proofErr w:type="gramEnd"/>
      <w:r>
        <w:t xml:space="preserve"> two earners, one or more children, often financially-dependent parents, and a mixed portfolio that has accreted over years across mutual funds, direct equity, EPF, PPF, NPS, fixed deposits, a flat or land, endowment policies, and gold.</w:t>
      </w:r>
    </w:p>
    <w:p w:rsidR="00A5712E" w:rsidRDefault="004009FE">
      <w:pPr>
        <w:pStyle w:val="Heading2"/>
      </w:pPr>
      <w:r>
        <w:t>The seven blocks</w:t>
      </w:r>
      <w:r>
        <w:t xml:space="preserve"> every intake must capture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600"/>
        <w:gridCol w:w="3560"/>
      </w:tblGrid>
      <w:tr w:rsidR="00A5712E">
        <w:tblPrEx>
          <w:tblCellMar>
            <w:top w:w="0" w:type="dxa"/>
            <w:bottom w:w="0" w:type="dxa"/>
          </w:tblCellMar>
        </w:tblPrEx>
        <w:trPr>
          <w:tblHeader/>
        </w:trPr>
        <w:tc>
          <w:tcPr>
            <w:tcW w:w="22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Block</w:t>
            </w:r>
          </w:p>
        </w:tc>
        <w:tc>
          <w:tcPr>
            <w:tcW w:w="36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What to capture</w:t>
            </w:r>
          </w:p>
        </w:tc>
        <w:tc>
          <w:tcPr>
            <w:tcW w:w="356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Why it matters</w:t>
            </w:r>
          </w:p>
        </w:tc>
      </w:tr>
      <w:tr w:rsidR="00A5712E">
        <w:tblPrEx>
          <w:tblCellMar>
            <w:top w:w="0" w:type="dxa"/>
            <w:bottom w:w="0" w:type="dxa"/>
          </w:tblCellMar>
        </w:tblPrEx>
        <w:tc>
          <w:tcPr>
            <w:tcW w:w="22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Demographics</w:t>
            </w:r>
          </w:p>
        </w:tc>
        <w:tc>
          <w:tcPr>
            <w:tcW w:w="36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Each member's name, age (use decimal for infants), school class, financial-dependency flag</w:t>
            </w:r>
          </w:p>
        </w:tc>
        <w:tc>
          <w:tcPr>
            <w:tcW w:w="35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Drives risk capacity, life-insurance need, education goal timing</w:t>
            </w:r>
          </w:p>
        </w:tc>
      </w:tr>
      <w:tr w:rsidR="00A5712E">
        <w:tblPrEx>
          <w:tblCellMar>
            <w:top w:w="0" w:type="dxa"/>
            <w:bottom w:w="0" w:type="dxa"/>
          </w:tblCellMar>
        </w:tblPrEx>
        <w:tc>
          <w:tcPr>
            <w:tcW w:w="22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Income</w:t>
            </w:r>
          </w:p>
        </w:tc>
        <w:tc>
          <w:tcPr>
            <w:tcW w:w="36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Per earner: salary, business, rental, FD interest, capital gains, other; monthly figures</w:t>
            </w:r>
          </w:p>
        </w:tc>
        <w:tc>
          <w:tcPr>
            <w:tcW w:w="35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Drives tax computation and investable surplus</w:t>
            </w:r>
          </w:p>
        </w:tc>
      </w:tr>
      <w:tr w:rsidR="00A5712E">
        <w:tblPrEx>
          <w:tblCellMar>
            <w:top w:w="0" w:type="dxa"/>
            <w:bottom w:w="0" w:type="dxa"/>
          </w:tblCellMar>
        </w:tblPrEx>
        <w:tc>
          <w:tcPr>
            <w:tcW w:w="22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Expenses</w:t>
            </w:r>
          </w:p>
        </w:tc>
        <w:tc>
          <w:tcPr>
            <w:tcW w:w="36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Household running cost, school fees, hospital, discretionary, guest, business outflows</w:t>
            </w:r>
          </w:p>
        </w:tc>
        <w:tc>
          <w:tcPr>
            <w:tcW w:w="35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 xml:space="preserve">Determines savings rate </w:t>
            </w:r>
            <w:r>
              <w:rPr>
                <w:color w:val="1F2937"/>
                <w:sz w:val="20"/>
                <w:szCs w:val="20"/>
              </w:rPr>
              <w:t>and emergency-fund size</w:t>
            </w:r>
          </w:p>
        </w:tc>
      </w:tr>
      <w:tr w:rsidR="00A5712E">
        <w:tblPrEx>
          <w:tblCellMar>
            <w:top w:w="0" w:type="dxa"/>
            <w:bottom w:w="0" w:type="dxa"/>
          </w:tblCellMar>
        </w:tblPrEx>
        <w:tc>
          <w:tcPr>
            <w:tcW w:w="22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Liabilities</w:t>
            </w:r>
          </w:p>
        </w:tc>
        <w:tc>
          <w:tcPr>
            <w:tcW w:w="36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Home, personal, car, education loans; EMI, outstanding, interest rate, tenure</w:t>
            </w:r>
          </w:p>
        </w:tc>
        <w:tc>
          <w:tcPr>
            <w:tcW w:w="35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Decides priority of investing vs prepaying debt</w:t>
            </w:r>
          </w:p>
        </w:tc>
      </w:tr>
      <w:tr w:rsidR="00A5712E">
        <w:tblPrEx>
          <w:tblCellMar>
            <w:top w:w="0" w:type="dxa"/>
            <w:bottom w:w="0" w:type="dxa"/>
          </w:tblCellMar>
        </w:tblPrEx>
        <w:tc>
          <w:tcPr>
            <w:tcW w:w="22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Investments</w:t>
            </w:r>
          </w:p>
        </w:tc>
        <w:tc>
          <w:tcPr>
            <w:tcW w:w="36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 xml:space="preserve">Every holding by class: equity, debt, real estate, metals, cash; current corpus </w:t>
            </w:r>
            <w:r>
              <w:rPr>
                <w:color w:val="1F2937"/>
                <w:sz w:val="20"/>
                <w:szCs w:val="20"/>
              </w:rPr>
              <w:t>and SIP amount</w:t>
            </w:r>
          </w:p>
        </w:tc>
        <w:tc>
          <w:tcPr>
            <w:tcW w:w="35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Forms the basis of allocation gap analysis</w:t>
            </w:r>
          </w:p>
        </w:tc>
      </w:tr>
      <w:tr w:rsidR="00A5712E">
        <w:tblPrEx>
          <w:tblCellMar>
            <w:top w:w="0" w:type="dxa"/>
            <w:bottom w:w="0" w:type="dxa"/>
          </w:tblCellMar>
        </w:tblPrEx>
        <w:tc>
          <w:tcPr>
            <w:tcW w:w="22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Insurance</w:t>
            </w:r>
          </w:p>
        </w:tc>
        <w:tc>
          <w:tcPr>
            <w:tcW w:w="36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Term, ULIP, endowment, health (personal + corporate); sum assured, premium, term, maturity</w:t>
            </w:r>
          </w:p>
        </w:tc>
        <w:tc>
          <w:tcPr>
            <w:tcW w:w="35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 xml:space="preserve">Tests adequacy of protection; flags </w:t>
            </w:r>
            <w:proofErr w:type="spellStart"/>
            <w:r>
              <w:rPr>
                <w:color w:val="1F2937"/>
                <w:sz w:val="20"/>
                <w:szCs w:val="20"/>
              </w:rPr>
              <w:t>mis</w:t>
            </w:r>
            <w:proofErr w:type="spellEnd"/>
            <w:r>
              <w:rPr>
                <w:color w:val="1F2937"/>
                <w:sz w:val="20"/>
                <w:szCs w:val="20"/>
              </w:rPr>
              <w:t>-sold policies</w:t>
            </w:r>
          </w:p>
        </w:tc>
      </w:tr>
      <w:tr w:rsidR="00A5712E">
        <w:tblPrEx>
          <w:tblCellMar>
            <w:top w:w="0" w:type="dxa"/>
            <w:bottom w:w="0" w:type="dxa"/>
          </w:tblCellMar>
        </w:tblPrEx>
        <w:tc>
          <w:tcPr>
            <w:tcW w:w="22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Goals</w:t>
            </w:r>
          </w:p>
        </w:tc>
        <w:tc>
          <w:tcPr>
            <w:tcW w:w="36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Each goal with horizon in years and amount required today (advisor inflates to future value)</w:t>
            </w:r>
          </w:p>
        </w:tc>
        <w:tc>
          <w:tcPr>
            <w:tcW w:w="35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Anchors allocation and SIP sizing</w:t>
            </w:r>
          </w:p>
        </w:tc>
      </w:tr>
    </w:tbl>
    <w:p w:rsidR="00A5712E" w:rsidRDefault="00A5712E"/>
    <w:p w:rsidR="00A5712E" w:rsidRDefault="004009FE">
      <w:pPr>
        <w:pStyle w:val="Heading2"/>
      </w:pPr>
      <w:r>
        <w:t>Three quality checks before computation</w:t>
      </w:r>
    </w:p>
    <w:p w:rsidR="00A5712E" w:rsidRDefault="004009FE">
      <w:pPr>
        <w:spacing w:after="120"/>
        <w:jc w:val="both"/>
      </w:pPr>
      <w:r>
        <w:t>Before any number is fed to a planning engine, three checks must clear. First, income s</w:t>
      </w:r>
      <w:r>
        <w:t>anity: total EMIs should not exceed roughly 40% of net monthly income; if they do, the plan begins with deleveraging, not investing. Second, holdings sanity: a holding's current corpus below its invested amount in a long-running equity SIP is either a rece</w:t>
      </w:r>
      <w:r>
        <w:t>nt market drawdown or a data-entry error - flag and confirm. Third, insurance sanity: any life insurance line with a maturity amount is an endowment or ULIP, not term; re-classify it correctly before estimating life cover gap.</w:t>
      </w:r>
    </w:p>
    <w:p w:rsidR="00A5712E" w:rsidRDefault="00A5712E"/>
    <w:p w:rsidR="00A5712E" w:rsidRDefault="004009FE">
      <w:pPr>
        <w:pStyle w:val="Heading1"/>
      </w:pPr>
      <w:r>
        <w:t>3. Risk Profiling - Capacity</w:t>
      </w:r>
      <w:r>
        <w:t>, Tolerance, Horizon</w:t>
      </w:r>
    </w:p>
    <w:p w:rsidR="00A5712E" w:rsidRDefault="004009FE">
      <w:pPr>
        <w:spacing w:after="120"/>
        <w:jc w:val="both"/>
      </w:pPr>
      <w:r>
        <w:t>Most risk questionnaires conflate three distinct ideas. A senior advisor separates them, scores each, and reconciles them into a single operating profile.</w:t>
      </w:r>
    </w:p>
    <w:p w:rsidR="00A5712E" w:rsidRDefault="004009FE">
      <w:pPr>
        <w:pStyle w:val="Heading2"/>
      </w:pPr>
      <w:r>
        <w:lastRenderedPageBreak/>
        <w:t>Risk Capacity</w:t>
      </w:r>
    </w:p>
    <w:p w:rsidR="00A5712E" w:rsidRDefault="004009FE">
      <w:pPr>
        <w:spacing w:after="120"/>
        <w:jc w:val="both"/>
      </w:pPr>
      <w:r>
        <w:t>Risk capacity is structural and objective: how much loss the household balance sheet can absorb without derailing a goal. A 32-year-old couple with stable salaries, no dependent parents, and a 17-year retirement horizon has high capacity. A 58-year-old wit</w:t>
      </w:r>
      <w:r>
        <w:t>h a child entering college next year has low capacity, regardless of how brave they feel.</w:t>
      </w:r>
    </w:p>
    <w:p w:rsidR="00A5712E" w:rsidRDefault="004009FE">
      <w:pPr>
        <w:pStyle w:val="Heading2"/>
      </w:pPr>
      <w:r>
        <w:t>Risk Tolerance</w:t>
      </w:r>
    </w:p>
    <w:p w:rsidR="00A5712E" w:rsidRDefault="004009FE">
      <w:pPr>
        <w:spacing w:after="120"/>
        <w:jc w:val="both"/>
      </w:pPr>
      <w:r>
        <w:t>Risk tolerance is psychological and subjective: how much loss the household can watch without panic-selling. It is real, but it cannot override capacit</w:t>
      </w:r>
      <w:r>
        <w:t>y downward without consequence. A high-capacity, low-tolerance investor sitting on 80% cash will fail their retirement goal as surely as a low-capacity investor wiped out by a drawdown.</w:t>
      </w:r>
    </w:p>
    <w:p w:rsidR="00A5712E" w:rsidRDefault="004009FE">
      <w:pPr>
        <w:pStyle w:val="Heading2"/>
      </w:pPr>
      <w:r>
        <w:t>Risk Horizon</w:t>
      </w:r>
    </w:p>
    <w:p w:rsidR="00A5712E" w:rsidRDefault="004009FE">
      <w:pPr>
        <w:spacing w:after="120"/>
        <w:jc w:val="both"/>
      </w:pPr>
      <w:r>
        <w:t>Risk horizon is the time until the money is needed. Equity is risky over one year and reasonably safe over fifteen. Debt is safe over one year and risky in real terms after inflation over fifteen. The horizon converts a static risk score into per-goal allo</w:t>
      </w:r>
      <w:r>
        <w:t>cation.</w:t>
      </w:r>
    </w:p>
    <w:p w:rsidR="00A5712E" w:rsidRDefault="004009FE">
      <w:pPr>
        <w:pStyle w:val="Heading2"/>
      </w:pPr>
      <w:r>
        <w:t>Operating profile - reconciled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960"/>
        <w:gridCol w:w="1900"/>
        <w:gridCol w:w="1500"/>
      </w:tblGrid>
      <w:tr w:rsidR="00A5712E">
        <w:tblPrEx>
          <w:tblCellMar>
            <w:top w:w="0" w:type="dxa"/>
            <w:bottom w:w="0" w:type="dxa"/>
          </w:tblCellMar>
        </w:tblPrEx>
        <w:trPr>
          <w:tblHeader/>
        </w:trPr>
        <w:tc>
          <w:tcPr>
            <w:tcW w:w="20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Profile</w:t>
            </w:r>
          </w:p>
        </w:tc>
        <w:tc>
          <w:tcPr>
            <w:tcW w:w="396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Typical household</w:t>
            </w:r>
          </w:p>
        </w:tc>
        <w:tc>
          <w:tcPr>
            <w:tcW w:w="19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Equity ceiling (long-horizon)</w:t>
            </w:r>
          </w:p>
        </w:tc>
        <w:tc>
          <w:tcPr>
            <w:tcW w:w="15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Drawdown tolerance</w:t>
            </w:r>
          </w:p>
        </w:tc>
      </w:tr>
      <w:tr w:rsidR="00A5712E">
        <w:tblPrEx>
          <w:tblCellMar>
            <w:top w:w="0" w:type="dxa"/>
            <w:bottom w:w="0" w:type="dxa"/>
          </w:tblCellMar>
        </w:tblPrEx>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Conservative</w:t>
            </w:r>
          </w:p>
        </w:tc>
        <w:tc>
          <w:tcPr>
            <w:tcW w:w="39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Single earner, dependents, near-term goals, low job security</w:t>
            </w:r>
          </w:p>
        </w:tc>
        <w:tc>
          <w:tcPr>
            <w:tcW w:w="19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30-40%</w:t>
            </w:r>
          </w:p>
        </w:tc>
        <w:tc>
          <w:tcPr>
            <w:tcW w:w="1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10-12%</w:t>
            </w:r>
          </w:p>
        </w:tc>
      </w:tr>
      <w:tr w:rsidR="00A5712E">
        <w:tblPrEx>
          <w:tblCellMar>
            <w:top w:w="0" w:type="dxa"/>
            <w:bottom w:w="0" w:type="dxa"/>
          </w:tblCellMar>
        </w:tblPrEx>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Moderate</w:t>
            </w:r>
          </w:p>
        </w:tc>
        <w:tc>
          <w:tcPr>
            <w:tcW w:w="39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Dual income, mid-career, mixed horizons, stable jobs</w:t>
            </w:r>
          </w:p>
        </w:tc>
        <w:tc>
          <w:tcPr>
            <w:tcW w:w="19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55-70%</w:t>
            </w:r>
          </w:p>
        </w:tc>
        <w:tc>
          <w:tcPr>
            <w:tcW w:w="1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20-25%</w:t>
            </w:r>
          </w:p>
        </w:tc>
      </w:tr>
      <w:tr w:rsidR="00A5712E">
        <w:tblPrEx>
          <w:tblCellMar>
            <w:top w:w="0" w:type="dxa"/>
            <w:bottom w:w="0" w:type="dxa"/>
          </w:tblCellMar>
        </w:tblPrEx>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Aggressive</w:t>
            </w:r>
          </w:p>
        </w:tc>
        <w:tc>
          <w:tcPr>
            <w:tcW w:w="39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Young, high savings rate, long horizon, no proximate dependents</w:t>
            </w:r>
          </w:p>
        </w:tc>
        <w:tc>
          <w:tcPr>
            <w:tcW w:w="19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75-85%</w:t>
            </w:r>
          </w:p>
        </w:tc>
        <w:tc>
          <w:tcPr>
            <w:tcW w:w="1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30-35%</w:t>
            </w:r>
          </w:p>
        </w:tc>
      </w:tr>
    </w:tbl>
    <w:p w:rsidR="00A5712E" w:rsidRDefault="00A5712E"/>
    <w:p w:rsidR="00A5712E" w:rsidRDefault="004009FE">
      <w:pPr>
        <w:pStyle w:val="Heading2"/>
      </w:pPr>
      <w:r>
        <w:t>Advisor rule of thumb</w:t>
      </w:r>
    </w:p>
    <w:p w:rsidR="00A5712E" w:rsidRDefault="004009FE">
      <w:pPr>
        <w:spacing w:after="120"/>
        <w:jc w:val="both"/>
      </w:pPr>
      <w:r>
        <w:t>If capacity and tolerance disagree by more than one bucket, allocate to the lower of the two for the first two years and use that period to coach the client up to their capacity. Forcing a low-tolerance client into a high-capacity allocation guarantees the</w:t>
      </w:r>
      <w:r>
        <w:t>y will sell at the bottom of the next 20% correction.</w:t>
      </w:r>
    </w:p>
    <w:p w:rsidR="00A5712E" w:rsidRDefault="00A5712E"/>
    <w:p w:rsidR="00A5712E" w:rsidRDefault="004009FE">
      <w:pPr>
        <w:pStyle w:val="Heading1"/>
      </w:pPr>
      <w:r>
        <w:t>4. Goal-Based Investing - The Bucket Doctrine</w:t>
      </w:r>
    </w:p>
    <w:p w:rsidR="00A5712E" w:rsidRDefault="004009FE">
      <w:pPr>
        <w:spacing w:after="120"/>
        <w:jc w:val="both"/>
      </w:pPr>
      <w:r>
        <w:t>Every goal is a separate portfolio. The single biggest improvement most Indian households can make is to stop thinking about "my portfolio" and start think</w:t>
      </w:r>
      <w:r>
        <w:t>ing about separate goal portfolios. Each has a different horizon, non-negotiability, and therefore a different allocation.</w:t>
      </w:r>
    </w:p>
    <w:p w:rsidR="00A5712E" w:rsidRDefault="004009FE">
      <w:pPr>
        <w:pStyle w:val="Heading2"/>
      </w:pPr>
      <w:r>
        <w:t>Goal taxonomy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500"/>
        <w:gridCol w:w="3200"/>
        <w:gridCol w:w="2660"/>
      </w:tblGrid>
      <w:tr w:rsidR="00A5712E">
        <w:tblPrEx>
          <w:tblCellMar>
            <w:top w:w="0" w:type="dxa"/>
            <w:bottom w:w="0" w:type="dxa"/>
          </w:tblCellMar>
        </w:tblPrEx>
        <w:trPr>
          <w:tblHeader/>
        </w:trPr>
        <w:tc>
          <w:tcPr>
            <w:tcW w:w="20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Bucket</w:t>
            </w:r>
          </w:p>
        </w:tc>
        <w:tc>
          <w:tcPr>
            <w:tcW w:w="15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Horizon</w:t>
            </w:r>
          </w:p>
        </w:tc>
        <w:tc>
          <w:tcPr>
            <w:tcW w:w="32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Typical Indian goals</w:t>
            </w:r>
          </w:p>
        </w:tc>
        <w:tc>
          <w:tcPr>
            <w:tcW w:w="266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Allocation discipline</w:t>
            </w:r>
          </w:p>
        </w:tc>
      </w:tr>
      <w:tr w:rsidR="00A5712E">
        <w:tblPrEx>
          <w:tblCellMar>
            <w:top w:w="0" w:type="dxa"/>
            <w:bottom w:w="0" w:type="dxa"/>
          </w:tblCellMar>
        </w:tblPrEx>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Short-term</w:t>
            </w:r>
          </w:p>
        </w:tc>
        <w:tc>
          <w:tcPr>
            <w:tcW w:w="1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0-3 years</w:t>
            </w:r>
          </w:p>
        </w:tc>
        <w:tc>
          <w:tcPr>
            <w:tcW w:w="32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Emergency fund, next year's school fees, planned car purchase, vacation, EMI buffer</w:t>
            </w:r>
          </w:p>
        </w:tc>
        <w:tc>
          <w:tcPr>
            <w:tcW w:w="26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100% debt and cash equivalents. No equity. Capital protection rules.</w:t>
            </w:r>
          </w:p>
        </w:tc>
      </w:tr>
      <w:tr w:rsidR="00A5712E">
        <w:tblPrEx>
          <w:tblCellMar>
            <w:top w:w="0" w:type="dxa"/>
            <w:bottom w:w="0" w:type="dxa"/>
          </w:tblCellMar>
        </w:tblPrEx>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lastRenderedPageBreak/>
              <w:t>Medium-term</w:t>
            </w:r>
          </w:p>
        </w:tc>
        <w:tc>
          <w:tcPr>
            <w:tcW w:w="1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3-7 years</w:t>
            </w:r>
          </w:p>
        </w:tc>
        <w:tc>
          <w:tcPr>
            <w:tcW w:w="32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Down payment on home, child's school transition, second vehicle, home renovation</w:t>
            </w:r>
          </w:p>
        </w:tc>
        <w:tc>
          <w:tcPr>
            <w:tcW w:w="26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30-50% equity, balance in debt. Hybrid funds acceptable.</w:t>
            </w:r>
          </w:p>
        </w:tc>
      </w:tr>
      <w:tr w:rsidR="00A5712E">
        <w:tblPrEx>
          <w:tblCellMar>
            <w:top w:w="0" w:type="dxa"/>
            <w:bottom w:w="0" w:type="dxa"/>
          </w:tblCellMar>
        </w:tblPrEx>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Long-term</w:t>
            </w:r>
          </w:p>
        </w:tc>
        <w:tc>
          <w:tcPr>
            <w:tcW w:w="1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7-15 years</w:t>
            </w:r>
          </w:p>
        </w:tc>
        <w:tc>
          <w:tcPr>
            <w:tcW w:w="32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Home construction, foreign education funding, larger property, first retirement leg</w:t>
            </w:r>
          </w:p>
        </w:tc>
        <w:tc>
          <w:tcPr>
            <w:tcW w:w="26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60-75% equity, balance in debt plus small real estate and gold sleeve.</w:t>
            </w:r>
          </w:p>
        </w:tc>
      </w:tr>
      <w:tr w:rsidR="00A5712E">
        <w:tblPrEx>
          <w:tblCellMar>
            <w:top w:w="0" w:type="dxa"/>
            <w:bottom w:w="0" w:type="dxa"/>
          </w:tblCellMar>
        </w:tblPrEx>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Retirement / very lo</w:t>
            </w:r>
            <w:r>
              <w:rPr>
                <w:color w:val="1F2937"/>
                <w:sz w:val="20"/>
                <w:szCs w:val="20"/>
              </w:rPr>
              <w:t>ng</w:t>
            </w:r>
          </w:p>
        </w:tc>
        <w:tc>
          <w:tcPr>
            <w:tcW w:w="1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15+ years</w:t>
            </w:r>
          </w:p>
        </w:tc>
        <w:tc>
          <w:tcPr>
            <w:tcW w:w="32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Retirement corpus, child's marriage, legacy goals</w:t>
            </w:r>
          </w:p>
        </w:tc>
        <w:tc>
          <w:tcPr>
            <w:tcW w:w="26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70-85% equity tapering down as horizon shortens. Use EPF, NPS, PPF as the debt floor.</w:t>
            </w:r>
          </w:p>
        </w:tc>
      </w:tr>
    </w:tbl>
    <w:p w:rsidR="00A5712E" w:rsidRDefault="00A5712E"/>
    <w:p w:rsidR="00A5712E" w:rsidRDefault="004009FE">
      <w:pPr>
        <w:pStyle w:val="Heading2"/>
      </w:pPr>
      <w:r>
        <w:t>The future-value translation</w:t>
      </w:r>
    </w:p>
    <w:p w:rsidR="00A5712E" w:rsidRDefault="004009FE">
      <w:pPr>
        <w:spacing w:after="120"/>
        <w:jc w:val="both"/>
      </w:pPr>
      <w:r>
        <w:t>Clients almost always state goals in today's rupees. To plan, inflate that to a future-rupee target. Conservative inflation assumption for general lifestyle and construction-linked goals in India is 6% per annum. For education: 8-10% per annum. For healthc</w:t>
      </w:r>
      <w:r>
        <w:t xml:space="preserve">are: 10-12% per annum. A Rs.50 lakh home in 10 years at 6% becomes roughly Rs.90 </w:t>
      </w:r>
      <w:proofErr w:type="gramStart"/>
      <w:r>
        <w:t>lakh</w:t>
      </w:r>
      <w:proofErr w:type="gramEnd"/>
      <w:r>
        <w:t>. Misunderstanding this is the most common reason households under-save for long-horizon goals.</w:t>
      </w:r>
    </w:p>
    <w:p w:rsidR="00A5712E" w:rsidRDefault="004009FE">
      <w:pPr>
        <w:pStyle w:val="Heading2"/>
      </w:pPr>
      <w:r>
        <w:t>De-risking glide path</w:t>
      </w:r>
    </w:p>
    <w:p w:rsidR="00A5712E" w:rsidRDefault="004009FE">
      <w:pPr>
        <w:spacing w:after="120"/>
        <w:jc w:val="both"/>
      </w:pPr>
      <w:r>
        <w:t>Every long-horizon goal must have a planned glide pat</w:t>
      </w:r>
      <w:r>
        <w:t>h down the risk curve as it approaches. From T-5 onwards (5 years before the goal), shift roughly 10 percentage points per year from equity to short-duration debt. By T-0 the corpus should be in capital-protected debt. This protects against the sequence-of</w:t>
      </w:r>
      <w:r>
        <w:t>-returns risk that has destroyed more retirements than poor fund selection.</w:t>
      </w:r>
    </w:p>
    <w:p w:rsidR="00A5712E" w:rsidRDefault="00A5712E"/>
    <w:p w:rsidR="00A5712E" w:rsidRDefault="004009FE">
      <w:pPr>
        <w:pStyle w:val="Heading1"/>
      </w:pPr>
      <w:r>
        <w:t>5. Asset Allocation - Equity, Debt, Real Estate, Metals</w:t>
      </w:r>
    </w:p>
    <w:p w:rsidR="00A5712E" w:rsidRDefault="004009FE">
      <w:pPr>
        <w:spacing w:after="120"/>
        <w:jc w:val="both"/>
      </w:pPr>
      <w:r>
        <w:t xml:space="preserve">Roughly 90% of long-term portfolio variability is explained by asset allocation, not by which fund or which stock. This is </w:t>
      </w:r>
      <w:r>
        <w:t>therefore the most important chapter in the playbook.</w:t>
      </w:r>
    </w:p>
    <w:p w:rsidR="00A5712E" w:rsidRDefault="004009FE">
      <w:pPr>
        <w:pStyle w:val="Heading2"/>
      </w:pPr>
      <w:r>
        <w:t>The four-asset Indian framework</w:t>
      </w:r>
    </w:p>
    <w:p w:rsidR="00A5712E" w:rsidRDefault="004009FE">
      <w:pPr>
        <w:spacing w:after="120"/>
        <w:jc w:val="both"/>
      </w:pPr>
      <w:r>
        <w:t>This playbook uses four asset classes: Equity, Debt, Real Estate, and Metals. Cash is treated as a working buffer, not an asset class. Cons. = Conservative, Mod. = Modera</w:t>
      </w:r>
      <w:r>
        <w:t xml:space="preserve">te, </w:t>
      </w:r>
      <w:proofErr w:type="spellStart"/>
      <w:r>
        <w:t>Aggr</w:t>
      </w:r>
      <w:proofErr w:type="spellEnd"/>
      <w:r>
        <w:t>. = Aggressive.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1000"/>
        <w:gridCol w:w="1000"/>
        <w:gridCol w:w="1000"/>
        <w:gridCol w:w="3060"/>
      </w:tblGrid>
      <w:tr w:rsidR="00A5712E">
        <w:tblPrEx>
          <w:tblCellMar>
            <w:top w:w="0" w:type="dxa"/>
            <w:bottom w:w="0" w:type="dxa"/>
          </w:tblCellMar>
        </w:tblPrEx>
        <w:trPr>
          <w:tblHeader/>
        </w:trPr>
        <w:tc>
          <w:tcPr>
            <w:tcW w:w="33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Asset class</w:t>
            </w:r>
          </w:p>
        </w:tc>
        <w:tc>
          <w:tcPr>
            <w:tcW w:w="10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Cons.</w:t>
            </w:r>
          </w:p>
        </w:tc>
        <w:tc>
          <w:tcPr>
            <w:tcW w:w="10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Mod.</w:t>
            </w:r>
          </w:p>
        </w:tc>
        <w:tc>
          <w:tcPr>
            <w:tcW w:w="10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proofErr w:type="spellStart"/>
            <w:r>
              <w:rPr>
                <w:b/>
                <w:bCs/>
                <w:color w:val="FFFFFF"/>
                <w:sz w:val="20"/>
                <w:szCs w:val="20"/>
              </w:rPr>
              <w:t>Aggr</w:t>
            </w:r>
            <w:proofErr w:type="spellEnd"/>
            <w:r>
              <w:rPr>
                <w:b/>
                <w:bCs/>
                <w:color w:val="FFFFFF"/>
                <w:sz w:val="20"/>
                <w:szCs w:val="20"/>
              </w:rPr>
              <w:t>.</w:t>
            </w:r>
          </w:p>
        </w:tc>
        <w:tc>
          <w:tcPr>
            <w:tcW w:w="306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Role</w:t>
            </w:r>
          </w:p>
        </w:tc>
      </w:tr>
      <w:tr w:rsidR="00A5712E">
        <w:tblPrEx>
          <w:tblCellMar>
            <w:top w:w="0" w:type="dxa"/>
            <w:bottom w:w="0" w:type="dxa"/>
          </w:tblCellMar>
        </w:tblPrEx>
        <w:tc>
          <w:tcPr>
            <w:tcW w:w="33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Equity (domestic + international, MF + direct)</w:t>
            </w:r>
          </w:p>
        </w:tc>
        <w:tc>
          <w:tcPr>
            <w:tcW w:w="1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30%</w:t>
            </w:r>
          </w:p>
        </w:tc>
        <w:tc>
          <w:tcPr>
            <w:tcW w:w="1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60%</w:t>
            </w:r>
          </w:p>
        </w:tc>
        <w:tc>
          <w:tcPr>
            <w:tcW w:w="1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75%</w:t>
            </w:r>
          </w:p>
        </w:tc>
        <w:tc>
          <w:tcPr>
            <w:tcW w:w="30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Long-term growth, inflation-beating</w:t>
            </w:r>
          </w:p>
        </w:tc>
      </w:tr>
      <w:tr w:rsidR="00A5712E">
        <w:tblPrEx>
          <w:tblCellMar>
            <w:top w:w="0" w:type="dxa"/>
            <w:bottom w:w="0" w:type="dxa"/>
          </w:tblCellMar>
        </w:tblPrEx>
        <w:tc>
          <w:tcPr>
            <w:tcW w:w="33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Debt (EPF, PPF, NPS-G, debt MFs, FD)</w:t>
            </w:r>
          </w:p>
        </w:tc>
        <w:tc>
          <w:tcPr>
            <w:tcW w:w="1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55%</w:t>
            </w:r>
          </w:p>
        </w:tc>
        <w:tc>
          <w:tcPr>
            <w:tcW w:w="1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25%</w:t>
            </w:r>
          </w:p>
        </w:tc>
        <w:tc>
          <w:tcPr>
            <w:tcW w:w="1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15%</w:t>
            </w:r>
          </w:p>
        </w:tc>
        <w:tc>
          <w:tcPr>
            <w:tcW w:w="30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 xml:space="preserve">Capital protection, regular </w:t>
            </w:r>
            <w:proofErr w:type="spellStart"/>
            <w:r>
              <w:rPr>
                <w:color w:val="1F2937"/>
                <w:sz w:val="20"/>
                <w:szCs w:val="20"/>
              </w:rPr>
              <w:t>cashflow</w:t>
            </w:r>
            <w:proofErr w:type="spellEnd"/>
            <w:r>
              <w:rPr>
                <w:color w:val="1F2937"/>
                <w:sz w:val="20"/>
                <w:szCs w:val="20"/>
              </w:rPr>
              <w:t>, tax-efficient long savings</w:t>
            </w:r>
          </w:p>
        </w:tc>
      </w:tr>
      <w:tr w:rsidR="00A5712E">
        <w:tblPrEx>
          <w:tblCellMar>
            <w:top w:w="0" w:type="dxa"/>
            <w:bottom w:w="0" w:type="dxa"/>
          </w:tblCellMar>
        </w:tblPrEx>
        <w:tc>
          <w:tcPr>
            <w:tcW w:w="33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Real Estate (excl. primary home; REITs, rental)</w:t>
            </w:r>
          </w:p>
        </w:tc>
        <w:tc>
          <w:tcPr>
            <w:tcW w:w="1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10%</w:t>
            </w:r>
          </w:p>
        </w:tc>
        <w:tc>
          <w:tcPr>
            <w:tcW w:w="1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10%</w:t>
            </w:r>
          </w:p>
        </w:tc>
        <w:tc>
          <w:tcPr>
            <w:tcW w:w="1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5%</w:t>
            </w:r>
          </w:p>
        </w:tc>
        <w:tc>
          <w:tcPr>
            <w:tcW w:w="30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Inflation hedge, partial income, illiquidity premium</w:t>
            </w:r>
          </w:p>
        </w:tc>
      </w:tr>
      <w:tr w:rsidR="00A5712E">
        <w:tblPrEx>
          <w:tblCellMar>
            <w:top w:w="0" w:type="dxa"/>
            <w:bottom w:w="0" w:type="dxa"/>
          </w:tblCellMar>
        </w:tblPrEx>
        <w:tc>
          <w:tcPr>
            <w:tcW w:w="33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Metals (gold ETF, SGB, silver)</w:t>
            </w:r>
          </w:p>
        </w:tc>
        <w:tc>
          <w:tcPr>
            <w:tcW w:w="1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5%</w:t>
            </w:r>
          </w:p>
        </w:tc>
        <w:tc>
          <w:tcPr>
            <w:tcW w:w="1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5%</w:t>
            </w:r>
          </w:p>
        </w:tc>
        <w:tc>
          <w:tcPr>
            <w:tcW w:w="1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5%</w:t>
            </w:r>
          </w:p>
        </w:tc>
        <w:tc>
          <w:tcPr>
            <w:tcW w:w="30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Tail-risk hedge, currency depreciation hedge</w:t>
            </w:r>
          </w:p>
        </w:tc>
      </w:tr>
    </w:tbl>
    <w:p w:rsidR="00A5712E" w:rsidRDefault="00A5712E"/>
    <w:p w:rsidR="00A5712E" w:rsidRDefault="004009FE">
      <w:pPr>
        <w:pStyle w:val="Heading2"/>
      </w:pPr>
      <w:r>
        <w:lastRenderedPageBreak/>
        <w:t>Key treatment rules</w:t>
      </w:r>
    </w:p>
    <w:p w:rsidR="00A5712E" w:rsidRDefault="004009FE">
      <w:pPr>
        <w:spacing w:after="120"/>
        <w:jc w:val="both"/>
      </w:pPr>
      <w:r>
        <w:t>The primary residence is not in the allocation. The house the family lives in is a consumption asset, not an investment asset; including it inflates the real-estate slice and distorts every</w:t>
      </w:r>
      <w:r>
        <w:t xml:space="preserve"> rebalancing decision. Count only investment properties, REITs, and rental land in the real-estate sleeve.</w:t>
      </w:r>
    </w:p>
    <w:p w:rsidR="00A5712E" w:rsidRDefault="004009FE">
      <w:pPr>
        <w:spacing w:after="120"/>
        <w:jc w:val="both"/>
      </w:pPr>
      <w:r>
        <w:t>EPF, PPF, and NPS-Tier-1 G/C are debt. These are the spine of the Indian household's debt allocation and the only meaningfully tax-efficient long-ter</w:t>
      </w:r>
      <w:r>
        <w:t>m debt instruments available. They often already fill the debt target.</w:t>
      </w:r>
    </w:p>
    <w:p w:rsidR="00A5712E" w:rsidRDefault="004009FE">
      <w:pPr>
        <w:spacing w:after="120"/>
        <w:jc w:val="both"/>
      </w:pPr>
      <w:r>
        <w:t>NPS Tier-1 Equity is equity. The equity portion of NPS Tier-1 should be counted toward the equity sleeve, not the debt sleeve, when computing the household's true allocation.</w:t>
      </w:r>
    </w:p>
    <w:p w:rsidR="00A5712E" w:rsidRDefault="004009FE">
      <w:pPr>
        <w:spacing w:after="120"/>
        <w:jc w:val="both"/>
      </w:pPr>
      <w:r>
        <w:t>Gold jewel</w:t>
      </w:r>
      <w:r>
        <w:t>lery is not gold investment. Wearable jewellery has a making-charge cost of 10-25% that is permanently lost on resale. Count only gold ETFs, Sovereign Gold Bonds (SGBs), and digital gold in the metals sleeve.</w:t>
      </w:r>
    </w:p>
    <w:p w:rsidR="00A5712E" w:rsidRDefault="00A5712E"/>
    <w:p w:rsidR="00A5712E" w:rsidRDefault="004009FE">
      <w:pPr>
        <w:pStyle w:val="Heading1"/>
      </w:pPr>
      <w:r>
        <w:t>6. Equity Allocation - Inside the Equity Sleev</w:t>
      </w:r>
      <w:r>
        <w:t>e</w:t>
      </w:r>
    </w:p>
    <w:p w:rsidR="00A5712E" w:rsidRDefault="004009FE">
      <w:pPr>
        <w:spacing w:after="120"/>
        <w:jc w:val="both"/>
      </w:pPr>
      <w:r>
        <w:t>Once the equity envelope is sized, the next decision is the split within it. The framework below assumes a moderate-to-aggressive long-horizon household.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900"/>
        <w:gridCol w:w="2500"/>
        <w:gridCol w:w="2160"/>
      </w:tblGrid>
      <w:tr w:rsidR="00A5712E">
        <w:tblPrEx>
          <w:tblCellMar>
            <w:top w:w="0" w:type="dxa"/>
            <w:bottom w:w="0" w:type="dxa"/>
          </w:tblCellMar>
        </w:tblPrEx>
        <w:trPr>
          <w:tblHeader/>
        </w:trPr>
        <w:tc>
          <w:tcPr>
            <w:tcW w:w="28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Sub-sleeve</w:t>
            </w:r>
          </w:p>
        </w:tc>
        <w:tc>
          <w:tcPr>
            <w:tcW w:w="19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Allocation (% of equity)</w:t>
            </w:r>
          </w:p>
        </w:tc>
        <w:tc>
          <w:tcPr>
            <w:tcW w:w="25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Vehicle of choice</w:t>
            </w:r>
          </w:p>
        </w:tc>
        <w:tc>
          <w:tcPr>
            <w:tcW w:w="216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Notes</w:t>
            </w:r>
          </w:p>
        </w:tc>
      </w:tr>
      <w:tr w:rsidR="00A5712E">
        <w:tblPrEx>
          <w:tblCellMar>
            <w:top w:w="0" w:type="dxa"/>
            <w:bottom w:w="0" w:type="dxa"/>
          </w:tblCellMar>
        </w:tblPrEx>
        <w:tc>
          <w:tcPr>
            <w:tcW w:w="28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Large-cap / Index (Nifty 50, Sensex)</w:t>
            </w:r>
          </w:p>
        </w:tc>
        <w:tc>
          <w:tcPr>
            <w:tcW w:w="19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30-40%</w:t>
            </w:r>
          </w:p>
        </w:tc>
        <w:tc>
          <w:tcPr>
            <w:tcW w:w="2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Index funds or low-cost large-cap</w:t>
            </w:r>
          </w:p>
        </w:tc>
        <w:tc>
          <w:tcPr>
            <w:tcW w:w="21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Core. Boring is the feature, not the bug.</w:t>
            </w:r>
          </w:p>
        </w:tc>
      </w:tr>
      <w:tr w:rsidR="00A5712E">
        <w:tblPrEx>
          <w:tblCellMar>
            <w:top w:w="0" w:type="dxa"/>
            <w:bottom w:w="0" w:type="dxa"/>
          </w:tblCellMar>
        </w:tblPrEx>
        <w:tc>
          <w:tcPr>
            <w:tcW w:w="28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Flexi-cap / Multi-cap</w:t>
            </w:r>
          </w:p>
        </w:tc>
        <w:tc>
          <w:tcPr>
            <w:tcW w:w="19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20-30%</w:t>
            </w:r>
          </w:p>
        </w:tc>
        <w:tc>
          <w:tcPr>
            <w:tcW w:w="2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Active flexi-cap MF</w:t>
            </w:r>
          </w:p>
        </w:tc>
        <w:tc>
          <w:tcPr>
            <w:tcW w:w="21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proofErr w:type="spellStart"/>
            <w:r>
              <w:rPr>
                <w:color w:val="1F2937"/>
                <w:sz w:val="20"/>
                <w:szCs w:val="20"/>
              </w:rPr>
              <w:t>Lets</w:t>
            </w:r>
            <w:proofErr w:type="spellEnd"/>
            <w:r>
              <w:rPr>
                <w:color w:val="1F2937"/>
                <w:sz w:val="20"/>
                <w:szCs w:val="20"/>
              </w:rPr>
              <w:t xml:space="preserve"> the manager rotate across market cap.</w:t>
            </w:r>
          </w:p>
        </w:tc>
      </w:tr>
      <w:tr w:rsidR="00A5712E">
        <w:tblPrEx>
          <w:tblCellMar>
            <w:top w:w="0" w:type="dxa"/>
            <w:bottom w:w="0" w:type="dxa"/>
          </w:tblCellMar>
        </w:tblPrEx>
        <w:tc>
          <w:tcPr>
            <w:tcW w:w="28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Mid-cap</w:t>
            </w:r>
          </w:p>
        </w:tc>
        <w:tc>
          <w:tcPr>
            <w:tcW w:w="19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10-20%</w:t>
            </w:r>
          </w:p>
        </w:tc>
        <w:tc>
          <w:tcPr>
            <w:tcW w:w="2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Active mid-cap MF or mid-cap index</w:t>
            </w:r>
          </w:p>
        </w:tc>
        <w:tc>
          <w:tcPr>
            <w:tcW w:w="21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Higher growth, higher drawdown - discipline required.</w:t>
            </w:r>
          </w:p>
        </w:tc>
      </w:tr>
      <w:tr w:rsidR="00A5712E">
        <w:tblPrEx>
          <w:tblCellMar>
            <w:top w:w="0" w:type="dxa"/>
            <w:bottom w:w="0" w:type="dxa"/>
          </w:tblCellMar>
        </w:tblPrEx>
        <w:tc>
          <w:tcPr>
            <w:tcW w:w="28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Small-cap</w:t>
            </w:r>
          </w:p>
        </w:tc>
        <w:tc>
          <w:tcPr>
            <w:tcW w:w="19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5-15%</w:t>
            </w:r>
          </w:p>
        </w:tc>
        <w:tc>
          <w:tcPr>
            <w:tcW w:w="2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Active small-cap MF</w:t>
            </w:r>
          </w:p>
        </w:tc>
        <w:tc>
          <w:tcPr>
            <w:tcW w:w="21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Cap exposure at 15%; volatility is real.</w:t>
            </w:r>
          </w:p>
        </w:tc>
      </w:tr>
      <w:tr w:rsidR="00A5712E">
        <w:tblPrEx>
          <w:tblCellMar>
            <w:top w:w="0" w:type="dxa"/>
            <w:bottom w:w="0" w:type="dxa"/>
          </w:tblCellMar>
        </w:tblPrEx>
        <w:tc>
          <w:tcPr>
            <w:tcW w:w="28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International (US / global)</w:t>
            </w:r>
          </w:p>
        </w:tc>
        <w:tc>
          <w:tcPr>
            <w:tcW w:w="19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10-15%</w:t>
            </w:r>
          </w:p>
        </w:tc>
        <w:tc>
          <w:tcPr>
            <w:tcW w:w="2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 xml:space="preserve">Nasdaq 100 </w:t>
            </w:r>
            <w:proofErr w:type="spellStart"/>
            <w:r>
              <w:rPr>
                <w:color w:val="1F2937"/>
                <w:sz w:val="20"/>
                <w:szCs w:val="20"/>
              </w:rPr>
              <w:t>FoF</w:t>
            </w:r>
            <w:proofErr w:type="spellEnd"/>
            <w:r>
              <w:rPr>
                <w:color w:val="1F2937"/>
                <w:sz w:val="20"/>
                <w:szCs w:val="20"/>
              </w:rPr>
              <w:t xml:space="preserve"> or global equity </w:t>
            </w:r>
            <w:proofErr w:type="spellStart"/>
            <w:r>
              <w:rPr>
                <w:color w:val="1F2937"/>
                <w:sz w:val="20"/>
                <w:szCs w:val="20"/>
              </w:rPr>
              <w:t>FoF</w:t>
            </w:r>
            <w:proofErr w:type="spellEnd"/>
          </w:p>
        </w:tc>
        <w:tc>
          <w:tcPr>
            <w:tcW w:w="21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Currency and sector diversification (US tech, healthcare).</w:t>
            </w:r>
          </w:p>
        </w:tc>
      </w:tr>
      <w:tr w:rsidR="00A5712E">
        <w:tblPrEx>
          <w:tblCellMar>
            <w:top w:w="0" w:type="dxa"/>
            <w:bottom w:w="0" w:type="dxa"/>
          </w:tblCellMar>
        </w:tblPrEx>
        <w:tc>
          <w:tcPr>
            <w:tcW w:w="28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Direct equity / sector / thematic</w:t>
            </w:r>
          </w:p>
        </w:tc>
        <w:tc>
          <w:tcPr>
            <w:tcW w:w="19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0-10%</w:t>
            </w:r>
          </w:p>
        </w:tc>
        <w:tc>
          <w:tcPr>
            <w:tcW w:w="2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Direct stocks (if competent) or sector ETF</w:t>
            </w:r>
          </w:p>
        </w:tc>
        <w:tc>
          <w:tcPr>
            <w:tcW w:w="21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Optional satellite. Cap at 10%.</w:t>
            </w:r>
          </w:p>
        </w:tc>
      </w:tr>
    </w:tbl>
    <w:p w:rsidR="00A5712E" w:rsidRDefault="00A5712E"/>
    <w:p w:rsidR="00A5712E" w:rsidRDefault="004009FE">
      <w:pPr>
        <w:pStyle w:val="Heading2"/>
      </w:pPr>
      <w:r>
        <w:t>Direct equity vs mutual funds</w:t>
      </w:r>
    </w:p>
    <w:p w:rsidR="00A5712E" w:rsidRDefault="004009FE">
      <w:pPr>
        <w:spacing w:after="120"/>
        <w:jc w:val="both"/>
      </w:pPr>
      <w:r>
        <w:t>Direct equity is justified only for households wh</w:t>
      </w:r>
      <w:r>
        <w:t>ere someone has the time, temperament, and analytical skill to evaluate businesses. A common error is a concentrated direct-equity position (often one or two IT or PSU stocks inherited from a parent or accumulated through ESOPs) that represents 20-30% of n</w:t>
      </w:r>
      <w:r>
        <w:t>et worth in a single name. Such positions are concentration risk masquerading as confidence.</w:t>
      </w:r>
    </w:p>
    <w:p w:rsidR="00A5712E" w:rsidRDefault="004009FE">
      <w:pPr>
        <w:pStyle w:val="Heading2"/>
      </w:pPr>
      <w:r>
        <w:t>Direct plans vs regular plans</w:t>
      </w:r>
    </w:p>
    <w:p w:rsidR="00A5712E" w:rsidRDefault="004009FE">
      <w:pPr>
        <w:spacing w:after="120"/>
        <w:jc w:val="both"/>
      </w:pPr>
      <w:r>
        <w:lastRenderedPageBreak/>
        <w:t>Always prefer Direct plans of mutual funds over Regular plans when the household is managing through a fee-based or automated platform. The expense-ratio differential (typically 0.7-1.2 percentage points per annum) compounds into 15-25% of additional corpu</w:t>
      </w:r>
      <w:r>
        <w:t>s over a 20-year SIP. The only justification for Regular plans is when the client receives genuine ongoing advice from the distributor.</w:t>
      </w:r>
    </w:p>
    <w:p w:rsidR="00A5712E" w:rsidRDefault="00A5712E"/>
    <w:p w:rsidR="00A5712E" w:rsidRDefault="004009FE">
      <w:pPr>
        <w:pStyle w:val="Heading1"/>
      </w:pPr>
      <w:r>
        <w:t>7. Debt Allocation - The Indian Debt Instrument Hierarchy FY 2025-26</w:t>
      </w:r>
    </w:p>
    <w:p w:rsidR="00A5712E" w:rsidRDefault="004009FE">
      <w:pPr>
        <w:spacing w:after="120"/>
        <w:jc w:val="both"/>
      </w:pPr>
      <w:r>
        <w:t>Debt is where Indian portfolios most often underpe</w:t>
      </w:r>
      <w:r>
        <w:t>rform - not because of selection error, but because households default to bank FDs (post-tax yield 4-5% for top-bracket earners) when far more efficient instruments are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2000"/>
        <w:gridCol w:w="2660"/>
        <w:gridCol w:w="2000"/>
      </w:tblGrid>
      <w:tr w:rsidR="00A5712E">
        <w:tblPrEx>
          <w:tblCellMar>
            <w:top w:w="0" w:type="dxa"/>
            <w:bottom w:w="0" w:type="dxa"/>
          </w:tblCellMar>
        </w:tblPrEx>
        <w:trPr>
          <w:tblHeader/>
        </w:trPr>
        <w:tc>
          <w:tcPr>
            <w:tcW w:w="27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Instrument</w:t>
            </w:r>
          </w:p>
        </w:tc>
        <w:tc>
          <w:tcPr>
            <w:tcW w:w="20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Indicative rate (Q1 FY 26-27)</w:t>
            </w:r>
          </w:p>
        </w:tc>
        <w:tc>
          <w:tcPr>
            <w:tcW w:w="266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Tax treatment</w:t>
            </w:r>
          </w:p>
        </w:tc>
        <w:tc>
          <w:tcPr>
            <w:tcW w:w="20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Best used for</w:t>
            </w:r>
          </w:p>
        </w:tc>
      </w:tr>
      <w:tr w:rsidR="00A5712E">
        <w:tblPrEx>
          <w:tblCellMar>
            <w:top w:w="0" w:type="dxa"/>
            <w:bottom w:w="0" w:type="dxa"/>
          </w:tblCellMar>
        </w:tblPrEx>
        <w:tc>
          <w:tcPr>
            <w:tcW w:w="27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EPF (E</w:t>
            </w:r>
            <w:r>
              <w:rPr>
                <w:color w:val="1F2937"/>
                <w:sz w:val="20"/>
                <w:szCs w:val="20"/>
              </w:rPr>
              <w:t>mployees Provident Fund)</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8.0-8.25% declared annually</w:t>
            </w:r>
          </w:p>
        </w:tc>
        <w:tc>
          <w:tcPr>
            <w:tcW w:w="26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EEE up to interest cap; mandatory for salaried</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Retirement debt floor</w:t>
            </w:r>
          </w:p>
        </w:tc>
      </w:tr>
      <w:tr w:rsidR="00A5712E">
        <w:tblPrEx>
          <w:tblCellMar>
            <w:top w:w="0" w:type="dxa"/>
            <w:bottom w:w="0" w:type="dxa"/>
          </w:tblCellMar>
        </w:tblPrEx>
        <w:tc>
          <w:tcPr>
            <w:tcW w:w="27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PPF (Public Provident Fund)</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7.1%</w:t>
            </w:r>
          </w:p>
        </w:tc>
        <w:tc>
          <w:tcPr>
            <w:tcW w:w="26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EEE; Rs.1.5L per individual per year under 80C (old regime)</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Long-horizon tax-free debt</w:t>
            </w:r>
          </w:p>
        </w:tc>
      </w:tr>
      <w:tr w:rsidR="00A5712E">
        <w:tblPrEx>
          <w:tblCellMar>
            <w:top w:w="0" w:type="dxa"/>
            <w:bottom w:w="0" w:type="dxa"/>
          </w:tblCellMar>
        </w:tblPrEx>
        <w:tc>
          <w:tcPr>
            <w:tcW w:w="27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proofErr w:type="spellStart"/>
            <w:r>
              <w:rPr>
                <w:color w:val="1F2937"/>
                <w:sz w:val="20"/>
                <w:szCs w:val="20"/>
              </w:rPr>
              <w:t>Sukanya</w:t>
            </w:r>
            <w:proofErr w:type="spellEnd"/>
            <w:r>
              <w:rPr>
                <w:color w:val="1F2937"/>
                <w:sz w:val="20"/>
                <w:szCs w:val="20"/>
              </w:rPr>
              <w:t xml:space="preserve"> </w:t>
            </w:r>
            <w:proofErr w:type="spellStart"/>
            <w:r>
              <w:rPr>
                <w:color w:val="1F2937"/>
                <w:sz w:val="20"/>
                <w:szCs w:val="20"/>
              </w:rPr>
              <w:t>Samriddhi</w:t>
            </w:r>
            <w:proofErr w:type="spellEnd"/>
            <w:r>
              <w:rPr>
                <w:color w:val="1F2937"/>
                <w:sz w:val="20"/>
                <w:szCs w:val="20"/>
              </w:rPr>
              <w:t xml:space="preserve"> </w:t>
            </w:r>
            <w:proofErr w:type="spellStart"/>
            <w:r>
              <w:rPr>
                <w:color w:val="1F2937"/>
                <w:sz w:val="20"/>
                <w:szCs w:val="20"/>
              </w:rPr>
              <w:t>Yojana</w:t>
            </w:r>
            <w:proofErr w:type="spellEnd"/>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8.2%</w:t>
            </w:r>
          </w:p>
        </w:tc>
        <w:tc>
          <w:tcPr>
            <w:tcW w:w="26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EEE; for girl-child below 10</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Girl-child education and marriage funding</w:t>
            </w:r>
          </w:p>
        </w:tc>
      </w:tr>
      <w:tr w:rsidR="00A5712E">
        <w:tblPrEx>
          <w:tblCellMar>
            <w:top w:w="0" w:type="dxa"/>
            <w:bottom w:w="0" w:type="dxa"/>
          </w:tblCellMar>
        </w:tblPrEx>
        <w:tc>
          <w:tcPr>
            <w:tcW w:w="27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NPS Tier-1 (G + C blend)</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Market-linked, approximately 7-9% historical</w:t>
            </w:r>
          </w:p>
        </w:tc>
        <w:tc>
          <w:tcPr>
            <w:tcW w:w="26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Partial tax-free at 60; annuity portion taxable</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Retirement debt plus equity blend</w:t>
            </w:r>
          </w:p>
        </w:tc>
      </w:tr>
      <w:tr w:rsidR="00A5712E">
        <w:tblPrEx>
          <w:tblCellMar>
            <w:top w:w="0" w:type="dxa"/>
            <w:bottom w:w="0" w:type="dxa"/>
          </w:tblCellMar>
        </w:tblPrEx>
        <w:tc>
          <w:tcPr>
            <w:tcW w:w="27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NSC (National Savings Certificate)</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7.7%</w:t>
            </w:r>
          </w:p>
        </w:tc>
        <w:tc>
          <w:tcPr>
            <w:tcW w:w="26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Interest taxable but reinvested counts under 80C</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5-year locked debt under old regime</w:t>
            </w:r>
          </w:p>
        </w:tc>
      </w:tr>
      <w:tr w:rsidR="00A5712E">
        <w:tblPrEx>
          <w:tblCellMar>
            <w:top w:w="0" w:type="dxa"/>
            <w:bottom w:w="0" w:type="dxa"/>
          </w:tblCellMar>
        </w:tblPrEx>
        <w:tc>
          <w:tcPr>
            <w:tcW w:w="27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SCSS (Senior Citizen Savings Scheme)</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8.2%</w:t>
            </w:r>
          </w:p>
        </w:tc>
        <w:tc>
          <w:tcPr>
            <w:tcW w:w="26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 xml:space="preserve">Interest fully taxable; quarterly </w:t>
            </w:r>
            <w:proofErr w:type="spellStart"/>
            <w:r>
              <w:rPr>
                <w:color w:val="1F2937"/>
                <w:sz w:val="20"/>
                <w:szCs w:val="20"/>
              </w:rPr>
              <w:t>payout</w:t>
            </w:r>
            <w:proofErr w:type="spellEnd"/>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Post-retirement income for age 60+</w:t>
            </w:r>
          </w:p>
        </w:tc>
      </w:tr>
      <w:tr w:rsidR="00A5712E">
        <w:tblPrEx>
          <w:tblCellMar>
            <w:top w:w="0" w:type="dxa"/>
            <w:bottom w:w="0" w:type="dxa"/>
          </w:tblCellMar>
        </w:tblPrEx>
        <w:tc>
          <w:tcPr>
            <w:tcW w:w="27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Bank FD (5-</w:t>
            </w:r>
            <w:r>
              <w:rPr>
                <w:color w:val="1F2937"/>
                <w:sz w:val="20"/>
                <w:szCs w:val="20"/>
              </w:rPr>
              <w:t>year tax-saver)</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6.5-7.5% varies</w:t>
            </w:r>
          </w:p>
        </w:tc>
        <w:tc>
          <w:tcPr>
            <w:tcW w:w="26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Interest fully taxable at slab</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Liquidity and 80C parking under old regime</w:t>
            </w:r>
          </w:p>
        </w:tc>
      </w:tr>
      <w:tr w:rsidR="00A5712E">
        <w:tblPrEx>
          <w:tblCellMar>
            <w:top w:w="0" w:type="dxa"/>
            <w:bottom w:w="0" w:type="dxa"/>
          </w:tblCellMar>
        </w:tblPrEx>
        <w:tc>
          <w:tcPr>
            <w:tcW w:w="27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Debt mutual funds (post Apr 2023)</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Market, approximately 6-8%</w:t>
            </w:r>
          </w:p>
        </w:tc>
        <w:tc>
          <w:tcPr>
            <w:tcW w:w="26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Taxed at slab; no LTCG benefit</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Better than FD only if held in low-tax-bracket years</w:t>
            </w:r>
          </w:p>
        </w:tc>
      </w:tr>
      <w:tr w:rsidR="00A5712E">
        <w:tblPrEx>
          <w:tblCellMar>
            <w:top w:w="0" w:type="dxa"/>
            <w:bottom w:w="0" w:type="dxa"/>
          </w:tblCellMar>
        </w:tblPrEx>
        <w:tc>
          <w:tcPr>
            <w:tcW w:w="27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Corporate and G-Sec bonds (direct)</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7-8.5%</w:t>
            </w:r>
          </w:p>
        </w:tc>
        <w:tc>
          <w:tcPr>
            <w:tcW w:w="26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Interest at slab; LTCG on sale at 12.5%</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Yield pickup for HNI debt sleeve</w:t>
            </w:r>
          </w:p>
        </w:tc>
      </w:tr>
    </w:tbl>
    <w:p w:rsidR="00A5712E" w:rsidRDefault="00A5712E"/>
    <w:p w:rsidR="00A5712E" w:rsidRDefault="004009FE">
      <w:pPr>
        <w:pStyle w:val="Heading2"/>
      </w:pPr>
      <w:r>
        <w:t>The senior advisor's debt heuristic</w:t>
      </w:r>
    </w:p>
    <w:p w:rsidR="00A5712E" w:rsidRDefault="004009FE">
      <w:pPr>
        <w:spacing w:after="120"/>
        <w:jc w:val="both"/>
      </w:pPr>
      <w:r>
        <w:t>Build the debt sleeve in this order: (1) EPF (already deducted, costs no discipline); (2) PPF up to Rs.</w:t>
      </w:r>
      <w:r>
        <w:t xml:space="preserve">1.5 lakh per earner per year - the only post-tax 7%+ instrument in the system; (3) NPS Tier-1 for the additional </w:t>
      </w:r>
      <w:proofErr w:type="gramStart"/>
      <w:r>
        <w:t>Rs.50,000</w:t>
      </w:r>
      <w:proofErr w:type="gramEnd"/>
      <w:r>
        <w:t xml:space="preserve"> deduction under old regime; (4) SCSS for any household member aged 60+; (5) </w:t>
      </w:r>
      <w:proofErr w:type="spellStart"/>
      <w:r>
        <w:t>Sukanya</w:t>
      </w:r>
      <w:proofErr w:type="spellEnd"/>
      <w:r>
        <w:t xml:space="preserve"> </w:t>
      </w:r>
      <w:proofErr w:type="spellStart"/>
      <w:r>
        <w:t>Samriddhi</w:t>
      </w:r>
      <w:proofErr w:type="spellEnd"/>
      <w:r>
        <w:t xml:space="preserve"> if there is a daughter under 10; (6) ba</w:t>
      </w:r>
      <w:r>
        <w:t>nk FDs and debt MFs only for the remainder. The first five alone will typically fill the debt allocation of a moderate household and they all yield more, after tax, than a bank FD.</w:t>
      </w:r>
    </w:p>
    <w:p w:rsidR="00A5712E" w:rsidRDefault="00A5712E"/>
    <w:p w:rsidR="00A5712E" w:rsidRDefault="004009FE">
      <w:pPr>
        <w:pStyle w:val="Heading1"/>
      </w:pPr>
      <w:r>
        <w:t>8. Real Estate and Metals - The Smaller Sleeves</w:t>
      </w:r>
    </w:p>
    <w:p w:rsidR="00A5712E" w:rsidRDefault="004009FE">
      <w:pPr>
        <w:pStyle w:val="Heading2"/>
      </w:pPr>
      <w:r>
        <w:t>Real estate - what counts and what does not</w:t>
      </w:r>
    </w:p>
    <w:p w:rsidR="00A5712E" w:rsidRDefault="004009FE">
      <w:pPr>
        <w:spacing w:after="120"/>
        <w:jc w:val="both"/>
      </w:pPr>
      <w:r>
        <w:t>The Indian household's emotional attachment to real estate routinely produces portfolios that are 60-70% in property. This is concentration risk in illiquid form. The primary residence is excluded - it is a consu</w:t>
      </w:r>
      <w:r>
        <w:t>mption asset, not an investment asset. Land, second flats, and commercial property count at conservative mark-to-market. REITs (listed Real Estate Investment Trusts) are real estate too and offer real-estate exposure with liquidity. If the household's prim</w:t>
      </w:r>
      <w:r>
        <w:t>ary residence plus second property exceeds 50% of net worth, the next decade's investment plan should add zero rupees to real estate.</w:t>
      </w:r>
    </w:p>
    <w:p w:rsidR="00A5712E" w:rsidRDefault="004009FE">
      <w:pPr>
        <w:pStyle w:val="Heading2"/>
      </w:pPr>
      <w:r>
        <w:t>Metals - vehicles for the metals sleeve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3700"/>
        <w:gridCol w:w="3160"/>
      </w:tblGrid>
      <w:tr w:rsidR="00A5712E">
        <w:tblPrEx>
          <w:tblCellMar>
            <w:top w:w="0" w:type="dxa"/>
            <w:bottom w:w="0" w:type="dxa"/>
          </w:tblCellMar>
        </w:tblPrEx>
        <w:trPr>
          <w:tblHeader/>
        </w:trPr>
        <w:tc>
          <w:tcPr>
            <w:tcW w:w="25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Vehicle</w:t>
            </w:r>
          </w:p>
        </w:tc>
        <w:tc>
          <w:tcPr>
            <w:tcW w:w="37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Pros</w:t>
            </w:r>
          </w:p>
        </w:tc>
        <w:tc>
          <w:tcPr>
            <w:tcW w:w="316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Cons</w:t>
            </w:r>
          </w:p>
        </w:tc>
      </w:tr>
      <w:tr w:rsidR="00A5712E">
        <w:tblPrEx>
          <w:tblCellMar>
            <w:top w:w="0" w:type="dxa"/>
            <w:bottom w:w="0" w:type="dxa"/>
          </w:tblCellMar>
        </w:tblPrEx>
        <w:tc>
          <w:tcPr>
            <w:tcW w:w="2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Sovereign Gold Bonds (SGBs)</w:t>
            </w:r>
          </w:p>
        </w:tc>
        <w:tc>
          <w:tcPr>
            <w:tcW w:w="37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2.5% annual coupon on top of gold p</w:t>
            </w:r>
            <w:r>
              <w:rPr>
                <w:color w:val="1F2937"/>
                <w:sz w:val="20"/>
                <w:szCs w:val="20"/>
              </w:rPr>
              <w:t>rice; capital-gains-tax-free if held to 8-year maturity</w:t>
            </w:r>
          </w:p>
        </w:tc>
        <w:tc>
          <w:tcPr>
            <w:tcW w:w="31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8-year lock-in (early-exit possible after 5 years); fresh issuances paused at times</w:t>
            </w:r>
          </w:p>
        </w:tc>
      </w:tr>
      <w:tr w:rsidR="00A5712E">
        <w:tblPrEx>
          <w:tblCellMar>
            <w:top w:w="0" w:type="dxa"/>
            <w:bottom w:w="0" w:type="dxa"/>
          </w:tblCellMar>
        </w:tblPrEx>
        <w:tc>
          <w:tcPr>
            <w:tcW w:w="2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Gold ETFs</w:t>
            </w:r>
          </w:p>
        </w:tc>
        <w:tc>
          <w:tcPr>
            <w:tcW w:w="37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 xml:space="preserve">Highly liquid; tracks gold price closely; </w:t>
            </w:r>
            <w:proofErr w:type="spellStart"/>
            <w:r>
              <w:rPr>
                <w:color w:val="1F2937"/>
                <w:sz w:val="20"/>
                <w:szCs w:val="20"/>
              </w:rPr>
              <w:t>demat</w:t>
            </w:r>
            <w:proofErr w:type="spellEnd"/>
            <w:r>
              <w:rPr>
                <w:color w:val="1F2937"/>
                <w:sz w:val="20"/>
                <w:szCs w:val="20"/>
              </w:rPr>
              <w:t>-held; expense ratio 0.3-0.7%</w:t>
            </w:r>
          </w:p>
        </w:tc>
        <w:tc>
          <w:tcPr>
            <w:tcW w:w="31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No coupon; taxed as per current MF rules (LTCG after 24 months at 12.5%)</w:t>
            </w:r>
          </w:p>
        </w:tc>
      </w:tr>
      <w:tr w:rsidR="00A5712E">
        <w:tblPrEx>
          <w:tblCellMar>
            <w:top w:w="0" w:type="dxa"/>
            <w:bottom w:w="0" w:type="dxa"/>
          </w:tblCellMar>
        </w:tblPrEx>
        <w:tc>
          <w:tcPr>
            <w:tcW w:w="2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Digital gold (apps)</w:t>
            </w:r>
          </w:p>
        </w:tc>
        <w:tc>
          <w:tcPr>
            <w:tcW w:w="37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Easy purchase, small ticket</w:t>
            </w:r>
          </w:p>
        </w:tc>
        <w:tc>
          <w:tcPr>
            <w:tcW w:w="31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Counterparty risk, spread cost, not regulated like MFs</w:t>
            </w:r>
          </w:p>
        </w:tc>
      </w:tr>
      <w:tr w:rsidR="00A5712E">
        <w:tblPrEx>
          <w:tblCellMar>
            <w:top w:w="0" w:type="dxa"/>
            <w:bottom w:w="0" w:type="dxa"/>
          </w:tblCellMar>
        </w:tblPrEx>
        <w:tc>
          <w:tcPr>
            <w:tcW w:w="2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Physical gold (jewellery)</w:t>
            </w:r>
          </w:p>
        </w:tc>
        <w:tc>
          <w:tcPr>
            <w:tcW w:w="37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Cultural use</w:t>
            </w:r>
          </w:p>
        </w:tc>
        <w:tc>
          <w:tcPr>
            <w:tcW w:w="31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Making charges 10-25%; storage and puri</w:t>
            </w:r>
            <w:r>
              <w:rPr>
                <w:color w:val="1F2937"/>
                <w:sz w:val="20"/>
                <w:szCs w:val="20"/>
              </w:rPr>
              <w:t>ty risk; not a sound investment vehicle</w:t>
            </w:r>
          </w:p>
        </w:tc>
      </w:tr>
    </w:tbl>
    <w:p w:rsidR="00A5712E" w:rsidRDefault="00A5712E"/>
    <w:p w:rsidR="00A5712E" w:rsidRDefault="004009FE">
      <w:pPr>
        <w:spacing w:after="120"/>
        <w:jc w:val="both"/>
      </w:pPr>
      <w:r>
        <w:t>Senior advisor preference: SGBs for the bulk of the metals sleeve when issuances are available (the 2.5% coupon plus tax-free maturity is unique among gold vehicles); gold ETFs for liquidity and rebalancing flexibi</w:t>
      </w:r>
      <w:r>
        <w:t>lity.</w:t>
      </w:r>
    </w:p>
    <w:p w:rsidR="00A5712E" w:rsidRDefault="00A5712E"/>
    <w:p w:rsidR="00A5712E" w:rsidRDefault="004009FE">
      <w:pPr>
        <w:pStyle w:val="Heading1"/>
      </w:pPr>
      <w:r>
        <w:t>9. Indian Tax Regime AY 2026-27 (FY 2025-26)</w:t>
      </w:r>
    </w:p>
    <w:p w:rsidR="00A5712E" w:rsidRDefault="004009FE">
      <w:pPr>
        <w:spacing w:after="120"/>
        <w:jc w:val="both"/>
      </w:pPr>
      <w:r>
        <w:t xml:space="preserve">From AY 2024-25 the New Regime is the default. Salaried and individual taxpayers must actively opt for the Old Regime if they prefer it. The slabs below apply to income earned in FY 2025-26, filed in AY 2026-27. The Income Tax Act 2025 takes effect from 1 </w:t>
      </w:r>
      <w:r>
        <w:t>April 2026 and does not change the slab rates for AY 2026-27.</w:t>
      </w:r>
    </w:p>
    <w:p w:rsidR="00A5712E" w:rsidRDefault="004009FE">
      <w:pPr>
        <w:pStyle w:val="Heading2"/>
      </w:pPr>
      <w:r>
        <w:t>New Regime slabs FY 2025-26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0"/>
        <w:gridCol w:w="3360"/>
      </w:tblGrid>
      <w:tr w:rsidR="00A5712E">
        <w:tblPrEx>
          <w:tblCellMar>
            <w:top w:w="0" w:type="dxa"/>
            <w:bottom w:w="0" w:type="dxa"/>
          </w:tblCellMar>
        </w:tblPrEx>
        <w:trPr>
          <w:tblHeader/>
        </w:trPr>
        <w:tc>
          <w:tcPr>
            <w:tcW w:w="60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Income range</w:t>
            </w:r>
          </w:p>
        </w:tc>
        <w:tc>
          <w:tcPr>
            <w:tcW w:w="336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Tax rate</w:t>
            </w:r>
          </w:p>
        </w:tc>
      </w:tr>
      <w:tr w:rsidR="00A5712E">
        <w:tblPrEx>
          <w:tblCellMar>
            <w:top w:w="0" w:type="dxa"/>
            <w:bottom w:w="0" w:type="dxa"/>
          </w:tblCellMar>
        </w:tblPrEx>
        <w:tc>
          <w:tcPr>
            <w:tcW w:w="6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Up to Rs.4,00,000</w:t>
            </w:r>
          </w:p>
        </w:tc>
        <w:tc>
          <w:tcPr>
            <w:tcW w:w="33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Nil</w:t>
            </w:r>
          </w:p>
        </w:tc>
      </w:tr>
      <w:tr w:rsidR="00A5712E">
        <w:tblPrEx>
          <w:tblCellMar>
            <w:top w:w="0" w:type="dxa"/>
            <w:bottom w:w="0" w:type="dxa"/>
          </w:tblCellMar>
        </w:tblPrEx>
        <w:tc>
          <w:tcPr>
            <w:tcW w:w="6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Rs.4,00,001 to Rs.8,00,000</w:t>
            </w:r>
          </w:p>
        </w:tc>
        <w:tc>
          <w:tcPr>
            <w:tcW w:w="33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5%</w:t>
            </w:r>
          </w:p>
        </w:tc>
      </w:tr>
      <w:tr w:rsidR="00A5712E">
        <w:tblPrEx>
          <w:tblCellMar>
            <w:top w:w="0" w:type="dxa"/>
            <w:bottom w:w="0" w:type="dxa"/>
          </w:tblCellMar>
        </w:tblPrEx>
        <w:tc>
          <w:tcPr>
            <w:tcW w:w="6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Rs.8,00,001 to Rs.12,00,000</w:t>
            </w:r>
          </w:p>
        </w:tc>
        <w:tc>
          <w:tcPr>
            <w:tcW w:w="33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10%</w:t>
            </w:r>
          </w:p>
        </w:tc>
      </w:tr>
      <w:tr w:rsidR="00A5712E">
        <w:tblPrEx>
          <w:tblCellMar>
            <w:top w:w="0" w:type="dxa"/>
            <w:bottom w:w="0" w:type="dxa"/>
          </w:tblCellMar>
        </w:tblPrEx>
        <w:tc>
          <w:tcPr>
            <w:tcW w:w="6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Rs.12,00,001 to Rs.16,00,000</w:t>
            </w:r>
          </w:p>
        </w:tc>
        <w:tc>
          <w:tcPr>
            <w:tcW w:w="33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15%</w:t>
            </w:r>
          </w:p>
        </w:tc>
      </w:tr>
      <w:tr w:rsidR="00A5712E">
        <w:tblPrEx>
          <w:tblCellMar>
            <w:top w:w="0" w:type="dxa"/>
            <w:bottom w:w="0" w:type="dxa"/>
          </w:tblCellMar>
        </w:tblPrEx>
        <w:tc>
          <w:tcPr>
            <w:tcW w:w="6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Rs.16,00,001 to Rs.20,00,000</w:t>
            </w:r>
          </w:p>
        </w:tc>
        <w:tc>
          <w:tcPr>
            <w:tcW w:w="33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20%</w:t>
            </w:r>
          </w:p>
        </w:tc>
      </w:tr>
      <w:tr w:rsidR="00A5712E">
        <w:tblPrEx>
          <w:tblCellMar>
            <w:top w:w="0" w:type="dxa"/>
            <w:bottom w:w="0" w:type="dxa"/>
          </w:tblCellMar>
        </w:tblPrEx>
        <w:tc>
          <w:tcPr>
            <w:tcW w:w="6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lastRenderedPageBreak/>
              <w:t>Rs.20,00,001 to Rs.24,00,000</w:t>
            </w:r>
          </w:p>
        </w:tc>
        <w:tc>
          <w:tcPr>
            <w:tcW w:w="33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25%</w:t>
            </w:r>
          </w:p>
        </w:tc>
      </w:tr>
      <w:tr w:rsidR="00A5712E">
        <w:tblPrEx>
          <w:tblCellMar>
            <w:top w:w="0" w:type="dxa"/>
            <w:bottom w:w="0" w:type="dxa"/>
          </w:tblCellMar>
        </w:tblPrEx>
        <w:tc>
          <w:tcPr>
            <w:tcW w:w="6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Above Rs.24,00,000</w:t>
            </w:r>
          </w:p>
        </w:tc>
        <w:tc>
          <w:tcPr>
            <w:tcW w:w="33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30%</w:t>
            </w:r>
          </w:p>
        </w:tc>
      </w:tr>
    </w:tbl>
    <w:p w:rsidR="00A5712E" w:rsidRDefault="00A5712E"/>
    <w:p w:rsidR="00A5712E" w:rsidRDefault="004009FE">
      <w:pPr>
        <w:spacing w:after="120"/>
        <w:jc w:val="both"/>
      </w:pPr>
      <w:r>
        <w:t xml:space="preserve">Section 87A rebate (New Regime): taxable income up to Rs.12,00,000 attracts a rebate of up to </w:t>
      </w:r>
      <w:proofErr w:type="gramStart"/>
      <w:r>
        <w:t>Rs.60,000</w:t>
      </w:r>
      <w:proofErr w:type="gramEnd"/>
      <w:r>
        <w:t xml:space="preserve">, making the effective tax liability zero. For salaried taxpayers, the </w:t>
      </w:r>
      <w:proofErr w:type="gramStart"/>
      <w:r>
        <w:t>Rs.75,000</w:t>
      </w:r>
      <w:proofErr w:type="gramEnd"/>
      <w:r>
        <w:t xml:space="preserve"> standard deduction lifts the effectively tax-free gross-salary ceiling t</w:t>
      </w:r>
      <w:r>
        <w:t>o roughly Rs.12,75,000.</w:t>
      </w:r>
    </w:p>
    <w:p w:rsidR="00A5712E" w:rsidRDefault="004009FE">
      <w:pPr>
        <w:spacing w:after="120"/>
        <w:jc w:val="both"/>
      </w:pPr>
      <w:r>
        <w:t xml:space="preserve">Standard deduction (New Regime): </w:t>
      </w:r>
      <w:proofErr w:type="gramStart"/>
      <w:r>
        <w:t>Rs.75,000</w:t>
      </w:r>
      <w:proofErr w:type="gramEnd"/>
      <w:r>
        <w:t xml:space="preserve"> for salaried income. Health and Education Cess: 4% on tax plus surcharge. Surcharge under New Regime is capped at 25% (versus 37% under the Old Regime), applied above income thresholds of R</w:t>
      </w:r>
      <w:r>
        <w:t xml:space="preserve">s.50 </w:t>
      </w:r>
      <w:proofErr w:type="gramStart"/>
      <w:r>
        <w:t>lakh</w:t>
      </w:r>
      <w:proofErr w:type="gramEnd"/>
      <w:r>
        <w:t>, Rs.1 crore, and Rs.2 crore.</w:t>
      </w:r>
    </w:p>
    <w:p w:rsidR="00A5712E" w:rsidRDefault="004009FE">
      <w:pPr>
        <w:pStyle w:val="Heading2"/>
      </w:pPr>
      <w:r>
        <w:t>Old Regime slabs FY 2025-26 individuals below 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0"/>
        <w:gridCol w:w="3360"/>
      </w:tblGrid>
      <w:tr w:rsidR="00A5712E">
        <w:tblPrEx>
          <w:tblCellMar>
            <w:top w:w="0" w:type="dxa"/>
            <w:bottom w:w="0" w:type="dxa"/>
          </w:tblCellMar>
        </w:tblPrEx>
        <w:trPr>
          <w:tblHeader/>
        </w:trPr>
        <w:tc>
          <w:tcPr>
            <w:tcW w:w="60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Income range</w:t>
            </w:r>
          </w:p>
        </w:tc>
        <w:tc>
          <w:tcPr>
            <w:tcW w:w="336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Tax rate</w:t>
            </w:r>
          </w:p>
        </w:tc>
      </w:tr>
      <w:tr w:rsidR="00A5712E">
        <w:tblPrEx>
          <w:tblCellMar>
            <w:top w:w="0" w:type="dxa"/>
            <w:bottom w:w="0" w:type="dxa"/>
          </w:tblCellMar>
        </w:tblPrEx>
        <w:tc>
          <w:tcPr>
            <w:tcW w:w="6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Up to Rs.2,50,000</w:t>
            </w:r>
          </w:p>
        </w:tc>
        <w:tc>
          <w:tcPr>
            <w:tcW w:w="33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Nil</w:t>
            </w:r>
          </w:p>
        </w:tc>
      </w:tr>
      <w:tr w:rsidR="00A5712E">
        <w:tblPrEx>
          <w:tblCellMar>
            <w:top w:w="0" w:type="dxa"/>
            <w:bottom w:w="0" w:type="dxa"/>
          </w:tblCellMar>
        </w:tblPrEx>
        <w:tc>
          <w:tcPr>
            <w:tcW w:w="6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Rs.2,50,001 to Rs.5,00,000</w:t>
            </w:r>
          </w:p>
        </w:tc>
        <w:tc>
          <w:tcPr>
            <w:tcW w:w="33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5%</w:t>
            </w:r>
          </w:p>
        </w:tc>
      </w:tr>
      <w:tr w:rsidR="00A5712E">
        <w:tblPrEx>
          <w:tblCellMar>
            <w:top w:w="0" w:type="dxa"/>
            <w:bottom w:w="0" w:type="dxa"/>
          </w:tblCellMar>
        </w:tblPrEx>
        <w:tc>
          <w:tcPr>
            <w:tcW w:w="6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Rs.5,00,001 to Rs.10,00,000</w:t>
            </w:r>
          </w:p>
        </w:tc>
        <w:tc>
          <w:tcPr>
            <w:tcW w:w="33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20%</w:t>
            </w:r>
          </w:p>
        </w:tc>
      </w:tr>
      <w:tr w:rsidR="00A5712E">
        <w:tblPrEx>
          <w:tblCellMar>
            <w:top w:w="0" w:type="dxa"/>
            <w:bottom w:w="0" w:type="dxa"/>
          </w:tblCellMar>
        </w:tblPrEx>
        <w:tc>
          <w:tcPr>
            <w:tcW w:w="6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Above Rs.10,00,000</w:t>
            </w:r>
          </w:p>
        </w:tc>
        <w:tc>
          <w:tcPr>
            <w:tcW w:w="33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30%</w:t>
            </w:r>
          </w:p>
        </w:tc>
      </w:tr>
    </w:tbl>
    <w:p w:rsidR="00A5712E" w:rsidRDefault="00A5712E"/>
    <w:p w:rsidR="00A5712E" w:rsidRDefault="004009FE">
      <w:pPr>
        <w:spacing w:after="120"/>
        <w:jc w:val="both"/>
      </w:pPr>
      <w:r>
        <w:t xml:space="preserve">Section 87A rebate (Old Regime): taxable income up to Rs.5,00,000 attracts a rebate up to </w:t>
      </w:r>
      <w:proofErr w:type="gramStart"/>
      <w:r>
        <w:t>Rs.12,500</w:t>
      </w:r>
      <w:proofErr w:type="gramEnd"/>
      <w:r>
        <w:t xml:space="preserve">. Standard deduction: </w:t>
      </w:r>
      <w:proofErr w:type="gramStart"/>
      <w:r>
        <w:t>Rs.50,000</w:t>
      </w:r>
      <w:proofErr w:type="gramEnd"/>
      <w:r>
        <w:t xml:space="preserve"> for salaried. Senior citizens aged 60 to 80 have a Rs.3,00,000 basic </w:t>
      </w:r>
      <w:proofErr w:type="gramStart"/>
      <w:r>
        <w:t>exemption</w:t>
      </w:r>
      <w:proofErr w:type="gramEnd"/>
      <w:r>
        <w:t>; super-senior aged 80+ have Rs.5,00,000. The O</w:t>
      </w:r>
      <w:r>
        <w:t>ld Regime preserves access to a wide range of deductions including 80C, 80D, HRA, and home-loan interest.</w:t>
      </w:r>
    </w:p>
    <w:p w:rsidR="00A5712E" w:rsidRDefault="00A5712E"/>
    <w:p w:rsidR="00A5712E" w:rsidRDefault="004009FE">
      <w:pPr>
        <w:pStyle w:val="Heading1"/>
      </w:pPr>
      <w:r>
        <w:t>10. Choosing the Tax Regime - When Old Beats New</w:t>
      </w:r>
    </w:p>
    <w:p w:rsidR="00A5712E" w:rsidRDefault="004009FE">
      <w:pPr>
        <w:spacing w:after="120"/>
        <w:jc w:val="both"/>
      </w:pPr>
      <w:r>
        <w:t>The New Regime wins for anyone whose total Old-Regime-eligible deductions are modest. The Old Regime</w:t>
      </w:r>
      <w:r>
        <w:t xml:space="preserve"> wins for anyone with a heavy deduction stack - typically a salaried professional in a metro city with HRA, home loan interest, and a full Section 80C utilization.</w:t>
      </w:r>
    </w:p>
    <w:p w:rsidR="00A5712E" w:rsidRDefault="004009FE">
      <w:pPr>
        <w:pStyle w:val="Heading2"/>
      </w:pPr>
      <w:r>
        <w:t>The deduction inventory that matters under the Old Regime</w:t>
      </w:r>
    </w:p>
    <w:p w:rsidR="00A5712E" w:rsidRDefault="004009FE">
      <w:pPr>
        <w:pStyle w:val="ListParagraph"/>
        <w:numPr>
          <w:ilvl w:val="0"/>
          <w:numId w:val="2"/>
        </w:numPr>
        <w:spacing w:after="80"/>
      </w:pPr>
      <w:r>
        <w:t>Section 80C: up to Rs.1,50,000 (EP</w:t>
      </w:r>
      <w:r>
        <w:t>F, PPF, ELSS, life insurance premium, principal repayment on home loan, tuition fees for up to 2 children, NSC, 5-year tax-saver FD).</w:t>
      </w:r>
    </w:p>
    <w:p w:rsidR="00A5712E" w:rsidRDefault="004009FE">
      <w:pPr>
        <w:pStyle w:val="ListParagraph"/>
        <w:numPr>
          <w:ilvl w:val="0"/>
          <w:numId w:val="2"/>
        </w:numPr>
        <w:spacing w:after="80"/>
      </w:pPr>
      <w:r>
        <w:t xml:space="preserve">Section 80CCD(1B): additional </w:t>
      </w:r>
      <w:proofErr w:type="gramStart"/>
      <w:r>
        <w:t>Rs.50,000</w:t>
      </w:r>
      <w:proofErr w:type="gramEnd"/>
      <w:r>
        <w:t xml:space="preserve"> for NPS Tier-1.</w:t>
      </w:r>
    </w:p>
    <w:p w:rsidR="00A5712E" w:rsidRDefault="004009FE">
      <w:pPr>
        <w:pStyle w:val="ListParagraph"/>
        <w:numPr>
          <w:ilvl w:val="0"/>
          <w:numId w:val="2"/>
        </w:numPr>
        <w:spacing w:after="80"/>
      </w:pPr>
      <w:r>
        <w:t xml:space="preserve">Section 80D: </w:t>
      </w:r>
      <w:proofErr w:type="gramStart"/>
      <w:r>
        <w:t>Rs.25,000</w:t>
      </w:r>
      <w:proofErr w:type="gramEnd"/>
      <w:r>
        <w:t xml:space="preserve"> health insurance premium for self and family (Rs.50,000 if aged 60+); additional Rs.25,000 (Rs.50,000 if aged 60+) for parents.</w:t>
      </w:r>
    </w:p>
    <w:p w:rsidR="00A5712E" w:rsidRDefault="004009FE">
      <w:pPr>
        <w:pStyle w:val="ListParagraph"/>
        <w:numPr>
          <w:ilvl w:val="0"/>
          <w:numId w:val="2"/>
        </w:numPr>
        <w:spacing w:after="80"/>
      </w:pPr>
      <w:r>
        <w:t>HRA exemption: least of actual HRA received, 50% or 40% of basic salary (metro or non-metro), or rent pai</w:t>
      </w:r>
      <w:r>
        <w:t>d minus 10% of basic salary.</w:t>
      </w:r>
    </w:p>
    <w:p w:rsidR="00A5712E" w:rsidRDefault="004009FE">
      <w:pPr>
        <w:pStyle w:val="ListParagraph"/>
        <w:numPr>
          <w:ilvl w:val="0"/>
          <w:numId w:val="2"/>
        </w:numPr>
        <w:spacing w:after="80"/>
      </w:pPr>
      <w:r>
        <w:t>Section 24(b): up to Rs.2,00,000 home-loan interest on self-occupied property.</w:t>
      </w:r>
    </w:p>
    <w:p w:rsidR="00A5712E" w:rsidRDefault="004009FE">
      <w:pPr>
        <w:pStyle w:val="ListParagraph"/>
        <w:numPr>
          <w:ilvl w:val="0"/>
          <w:numId w:val="2"/>
        </w:numPr>
        <w:spacing w:after="80"/>
      </w:pPr>
      <w:r>
        <w:t xml:space="preserve">Standard deduction: </w:t>
      </w:r>
      <w:proofErr w:type="gramStart"/>
      <w:r>
        <w:t>Rs.50,000</w:t>
      </w:r>
      <w:proofErr w:type="gramEnd"/>
      <w:r>
        <w:t xml:space="preserve"> (vs Rs.75,000 in New Regime).</w:t>
      </w:r>
    </w:p>
    <w:p w:rsidR="00A5712E" w:rsidRDefault="004009FE">
      <w:pPr>
        <w:pStyle w:val="Heading2"/>
      </w:pPr>
      <w:r>
        <w:t>Approximate break-even for salaried single earner</w:t>
      </w:r>
    </w:p>
    <w:p w:rsidR="00A5712E" w:rsidRDefault="004009FE">
      <w:pPr>
        <w:spacing w:after="120"/>
        <w:jc w:val="both"/>
      </w:pPr>
      <w:r>
        <w:t>As a working rule, the Old Regime starts to dominate the New Regime when total Old-Regime deductions exceed roughly Rs.4,25,000 to Rs.4,75,000 for a salaried taxpayer in the Rs.15-</w:t>
      </w:r>
      <w:r>
        <w:lastRenderedPageBreak/>
        <w:t>25 lakh gross salary band. Below that, the New Regime's lower slab rates and</w:t>
      </w:r>
      <w:r>
        <w:t xml:space="preserve"> </w:t>
      </w:r>
      <w:proofErr w:type="gramStart"/>
      <w:r>
        <w:t>Rs.75,000</w:t>
      </w:r>
      <w:proofErr w:type="gramEnd"/>
      <w:r>
        <w:t xml:space="preserve"> standard deduction usually produce lower tax.</w:t>
      </w:r>
    </w:p>
    <w:p w:rsidR="00A5712E" w:rsidRDefault="004009FE">
      <w:pPr>
        <w:pStyle w:val="Heading2"/>
      </w:pPr>
      <w:r>
        <w:t>Households where the New Regime almost always wins</w:t>
      </w:r>
    </w:p>
    <w:p w:rsidR="00A5712E" w:rsidRDefault="004009FE">
      <w:pPr>
        <w:spacing w:after="120"/>
        <w:jc w:val="both"/>
      </w:pPr>
      <w:r>
        <w:t>Renters with no home loan, families without elderly dependents, business owners or freelancers without an HRA structure, households whose Section 80</w:t>
      </w:r>
      <w:r>
        <w:t>C is filled passively only by EPF deduction. For these households, the New Regime simplifies filing and reduces tax.</w:t>
      </w:r>
    </w:p>
    <w:p w:rsidR="00A5712E" w:rsidRDefault="00A5712E"/>
    <w:p w:rsidR="00A5712E" w:rsidRDefault="004009FE">
      <w:pPr>
        <w:pStyle w:val="Heading1"/>
      </w:pPr>
      <w:r>
        <w:t>11. Capital Gains Taxation FY 2025-26</w:t>
      </w:r>
    </w:p>
    <w:p w:rsidR="00A5712E" w:rsidRDefault="004009FE">
      <w:pPr>
        <w:spacing w:after="120"/>
        <w:jc w:val="both"/>
      </w:pPr>
      <w:r>
        <w:t>The Finance (No. 2) Act 2024 significantly restructured capital gains taxation with effect from 23 J</w:t>
      </w:r>
      <w:r>
        <w:t>uly 2024. The rules below apply in full to FY 2025-26 transactions.</w:t>
      </w:r>
    </w:p>
    <w:p w:rsidR="00A5712E" w:rsidRDefault="004009FE">
      <w:pPr>
        <w:pStyle w:val="Heading2"/>
      </w:pPr>
      <w:r>
        <w:t>Equity-oriented assets - listed equity, equity MFs, units of business trusts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2000"/>
        <w:gridCol w:w="1000"/>
        <w:gridCol w:w="3860"/>
      </w:tblGrid>
      <w:tr w:rsidR="00A5712E">
        <w:tblPrEx>
          <w:tblCellMar>
            <w:top w:w="0" w:type="dxa"/>
            <w:bottom w:w="0" w:type="dxa"/>
          </w:tblCellMar>
        </w:tblPrEx>
        <w:trPr>
          <w:tblHeader/>
        </w:trPr>
        <w:tc>
          <w:tcPr>
            <w:tcW w:w="25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Type</w:t>
            </w:r>
          </w:p>
        </w:tc>
        <w:tc>
          <w:tcPr>
            <w:tcW w:w="20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Holding period</w:t>
            </w:r>
          </w:p>
        </w:tc>
        <w:tc>
          <w:tcPr>
            <w:tcW w:w="10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Rate</w:t>
            </w:r>
          </w:p>
        </w:tc>
        <w:tc>
          <w:tcPr>
            <w:tcW w:w="386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Exemption and notes</w:t>
            </w:r>
          </w:p>
        </w:tc>
      </w:tr>
      <w:tr w:rsidR="00A5712E">
        <w:tblPrEx>
          <w:tblCellMar>
            <w:top w:w="0" w:type="dxa"/>
            <w:bottom w:w="0" w:type="dxa"/>
          </w:tblCellMar>
        </w:tblPrEx>
        <w:tc>
          <w:tcPr>
            <w:tcW w:w="2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STCG (Section 111A)</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Up to 12 months</w:t>
            </w:r>
          </w:p>
        </w:tc>
        <w:tc>
          <w:tcPr>
            <w:tcW w:w="1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20%</w:t>
            </w:r>
          </w:p>
        </w:tc>
        <w:tc>
          <w:tcPr>
            <w:tcW w:w="38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No exemption threshold. Increased from 15% effective 23 Jul 2024.</w:t>
            </w:r>
          </w:p>
        </w:tc>
      </w:tr>
      <w:tr w:rsidR="00A5712E">
        <w:tblPrEx>
          <w:tblCellMar>
            <w:top w:w="0" w:type="dxa"/>
            <w:bottom w:w="0" w:type="dxa"/>
          </w:tblCellMar>
        </w:tblPrEx>
        <w:tc>
          <w:tcPr>
            <w:tcW w:w="2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LTCG (Section 112A)</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More than 12 months</w:t>
            </w:r>
          </w:p>
        </w:tc>
        <w:tc>
          <w:tcPr>
            <w:tcW w:w="1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12.5%</w:t>
            </w:r>
          </w:p>
        </w:tc>
        <w:tc>
          <w:tcPr>
            <w:tcW w:w="38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First Rs.1,25,000 of LTCG per financial year is exempt.</w:t>
            </w:r>
          </w:p>
        </w:tc>
      </w:tr>
    </w:tbl>
    <w:p w:rsidR="00A5712E" w:rsidRDefault="00A5712E"/>
    <w:p w:rsidR="00A5712E" w:rsidRDefault="004009FE">
      <w:pPr>
        <w:pStyle w:val="Heading2"/>
      </w:pPr>
      <w:r>
        <w:t>Other capital assets - debt MFs, gold, property, unlisted shares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2000"/>
        <w:gridCol w:w="1500"/>
        <w:gridCol w:w="2860"/>
      </w:tblGrid>
      <w:tr w:rsidR="00A5712E">
        <w:tblPrEx>
          <w:tblCellMar>
            <w:top w:w="0" w:type="dxa"/>
            <w:bottom w:w="0" w:type="dxa"/>
          </w:tblCellMar>
        </w:tblPrEx>
        <w:trPr>
          <w:tblHeader/>
        </w:trPr>
        <w:tc>
          <w:tcPr>
            <w:tcW w:w="30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Asset</w:t>
            </w:r>
          </w:p>
        </w:tc>
        <w:tc>
          <w:tcPr>
            <w:tcW w:w="20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Holding period for LTCG</w:t>
            </w:r>
          </w:p>
        </w:tc>
        <w:tc>
          <w:tcPr>
            <w:tcW w:w="15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Rate</w:t>
            </w:r>
          </w:p>
        </w:tc>
        <w:tc>
          <w:tcPr>
            <w:tcW w:w="286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Notes</w:t>
            </w:r>
          </w:p>
        </w:tc>
      </w:tr>
      <w:tr w:rsidR="00A5712E">
        <w:tblPrEx>
          <w:tblCellMar>
            <w:top w:w="0" w:type="dxa"/>
            <w:bottom w:w="0" w:type="dxa"/>
          </w:tblCellMar>
        </w:tblPrEx>
        <w:tc>
          <w:tcPr>
            <w:tcW w:w="3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Debt mutual funds purchased after 1 Apr 2023</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N/A - always slab rate</w:t>
            </w:r>
          </w:p>
        </w:tc>
        <w:tc>
          <w:tcPr>
            <w:tcW w:w="1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Slab rate</w:t>
            </w:r>
          </w:p>
        </w:tc>
        <w:tc>
          <w:tcPr>
            <w:tcW w:w="28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No LTCG benefit. Taxed as ordinary income.</w:t>
            </w:r>
          </w:p>
        </w:tc>
      </w:tr>
      <w:tr w:rsidR="00A5712E">
        <w:tblPrEx>
          <w:tblCellMar>
            <w:top w:w="0" w:type="dxa"/>
            <w:bottom w:w="0" w:type="dxa"/>
          </w:tblCellMar>
        </w:tblPrEx>
        <w:tc>
          <w:tcPr>
            <w:tcW w:w="3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Gold ETF, physical gold, digital gold</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More than 24 months</w:t>
            </w:r>
          </w:p>
        </w:tc>
        <w:tc>
          <w:tcPr>
            <w:tcW w:w="1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12.5%</w:t>
            </w:r>
          </w:p>
        </w:tc>
        <w:tc>
          <w:tcPr>
            <w:tcW w:w="28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Indexation removed post 23 Jul 2024.</w:t>
            </w:r>
          </w:p>
        </w:tc>
      </w:tr>
      <w:tr w:rsidR="00A5712E">
        <w:tblPrEx>
          <w:tblCellMar>
            <w:top w:w="0" w:type="dxa"/>
            <w:bottom w:w="0" w:type="dxa"/>
          </w:tblCellMar>
        </w:tblPrEx>
        <w:tc>
          <w:tcPr>
            <w:tcW w:w="3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Sovereign Gold Bonds (SGB) held to maturity</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8 years full term</w:t>
            </w:r>
          </w:p>
        </w:tc>
        <w:tc>
          <w:tcPr>
            <w:tcW w:w="1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Exempt</w:t>
            </w:r>
          </w:p>
        </w:tc>
        <w:tc>
          <w:tcPr>
            <w:tcW w:w="28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Capital gains on redemption are tax-free.</w:t>
            </w:r>
          </w:p>
        </w:tc>
      </w:tr>
      <w:tr w:rsidR="00A5712E">
        <w:tblPrEx>
          <w:tblCellMar>
            <w:top w:w="0" w:type="dxa"/>
            <w:bottom w:w="0" w:type="dxa"/>
          </w:tblCellMar>
        </w:tblPrEx>
        <w:tc>
          <w:tcPr>
            <w:tcW w:w="3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Real estate (immovable property)</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More than 24 months</w:t>
            </w:r>
          </w:p>
        </w:tc>
        <w:tc>
          <w:tcPr>
            <w:tcW w:w="1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12.5% no indexation</w:t>
            </w:r>
          </w:p>
        </w:tc>
        <w:tc>
          <w:tcPr>
            <w:tcW w:w="28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Property acquired before 23 Jul 2024 may opt for 20% with indexation.</w:t>
            </w:r>
          </w:p>
        </w:tc>
      </w:tr>
      <w:tr w:rsidR="00A5712E">
        <w:tblPrEx>
          <w:tblCellMar>
            <w:top w:w="0" w:type="dxa"/>
            <w:bottom w:w="0" w:type="dxa"/>
          </w:tblCellMar>
        </w:tblPrEx>
        <w:tc>
          <w:tcPr>
            <w:tcW w:w="3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Unlisted shares</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More than 24 months</w:t>
            </w:r>
          </w:p>
        </w:tc>
        <w:tc>
          <w:tcPr>
            <w:tcW w:w="1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12.5%</w:t>
            </w:r>
          </w:p>
        </w:tc>
        <w:tc>
          <w:tcPr>
            <w:tcW w:w="28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Indexation removed.</w:t>
            </w:r>
          </w:p>
        </w:tc>
      </w:tr>
      <w:tr w:rsidR="00A5712E">
        <w:tblPrEx>
          <w:tblCellMar>
            <w:top w:w="0" w:type="dxa"/>
            <w:bottom w:w="0" w:type="dxa"/>
          </w:tblCellMar>
        </w:tblPrEx>
        <w:tc>
          <w:tcPr>
            <w:tcW w:w="3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Listed bonds and debentures</w:t>
            </w:r>
          </w:p>
        </w:tc>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More than 12 months</w:t>
            </w:r>
          </w:p>
        </w:tc>
        <w:tc>
          <w:tcPr>
            <w:tcW w:w="1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12.5%</w:t>
            </w:r>
          </w:p>
        </w:tc>
        <w:tc>
          <w:tcPr>
            <w:tcW w:w="28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Slab rate if short-term.</w:t>
            </w:r>
          </w:p>
        </w:tc>
      </w:tr>
    </w:tbl>
    <w:p w:rsidR="00A5712E" w:rsidRDefault="00A5712E"/>
    <w:p w:rsidR="00A5712E" w:rsidRDefault="004009FE">
      <w:pPr>
        <w:pStyle w:val="Heading2"/>
      </w:pPr>
      <w:r>
        <w:t>Planning implications</w:t>
      </w:r>
    </w:p>
    <w:p w:rsidR="00A5712E" w:rsidRDefault="004009FE">
      <w:pPr>
        <w:spacing w:after="120"/>
        <w:jc w:val="both"/>
      </w:pPr>
      <w:r>
        <w:t>Tax-harvest the Rs.1.25 lakh equity LTCG exemption every year: sell and immediately rebuy equity-MF units to realise up to Rs.1.25 lakh of long-term gains tax-free annually, resetting the cost basis upward. Stagger large equity redemptions across financial</w:t>
      </w:r>
      <w:r>
        <w:t xml:space="preserve"> years to spread the Rs.1.25 lakh exemption. For goals 12 to 24 months out, equity is now doubly penalised: STCG </w:t>
      </w:r>
      <w:r>
        <w:lastRenderedPageBreak/>
        <w:t>at 20% and no LTCG benefit until 12 months. Debt MFs lost their tax edge over FDs after April 2023 and are now broadly equivalent for taxable h</w:t>
      </w:r>
      <w:r>
        <w:t>ouseholds.</w:t>
      </w:r>
    </w:p>
    <w:p w:rsidR="00A5712E" w:rsidRDefault="00A5712E"/>
    <w:p w:rsidR="00A5712E" w:rsidRDefault="004009FE">
      <w:pPr>
        <w:pStyle w:val="Heading1"/>
      </w:pPr>
      <w:r>
        <w:t>12. Key Deductions When Choosing the Old Regime</w:t>
      </w:r>
    </w:p>
    <w:p w:rsidR="00A5712E" w:rsidRDefault="004009FE">
      <w:pPr>
        <w:spacing w:after="120"/>
        <w:jc w:val="both"/>
      </w:pPr>
      <w:r>
        <w:t>Under the Old Regime, the following deductions remain available for FY 2025-26. They are not available under the New Regime (except the standard deduction, which exists in both regimes).</w:t>
      </w:r>
    </w:p>
    <w:p w:rsidR="00A5712E" w:rsidRDefault="004009FE">
      <w:pPr>
        <w:pStyle w:val="Heading2"/>
      </w:pPr>
      <w:r>
        <w:t>Section 80C - overall cap Rs.1,50,000 per annum</w:t>
      </w:r>
    </w:p>
    <w:p w:rsidR="00A5712E" w:rsidRDefault="004009FE">
      <w:pPr>
        <w:pStyle w:val="ListParagraph"/>
        <w:numPr>
          <w:ilvl w:val="0"/>
          <w:numId w:val="2"/>
        </w:numPr>
        <w:spacing w:after="80"/>
      </w:pPr>
      <w:r>
        <w:t>Employee contribution to EPF</w:t>
      </w:r>
    </w:p>
    <w:p w:rsidR="00A5712E" w:rsidRDefault="004009FE">
      <w:pPr>
        <w:pStyle w:val="ListParagraph"/>
        <w:numPr>
          <w:ilvl w:val="0"/>
          <w:numId w:val="2"/>
        </w:numPr>
        <w:spacing w:after="80"/>
      </w:pPr>
      <w:r>
        <w:t>PPF contribution (maximum Rs.1,50,000 per individual)</w:t>
      </w:r>
    </w:p>
    <w:p w:rsidR="00A5712E" w:rsidRDefault="004009FE">
      <w:pPr>
        <w:pStyle w:val="ListParagraph"/>
        <w:numPr>
          <w:ilvl w:val="0"/>
          <w:numId w:val="2"/>
        </w:numPr>
        <w:spacing w:after="80"/>
      </w:pPr>
      <w:r>
        <w:t>ELSS mutual fund investment (3-year lock-in)</w:t>
      </w:r>
    </w:p>
    <w:p w:rsidR="00A5712E" w:rsidRDefault="004009FE">
      <w:pPr>
        <w:pStyle w:val="ListParagraph"/>
        <w:numPr>
          <w:ilvl w:val="0"/>
          <w:numId w:val="2"/>
        </w:numPr>
        <w:spacing w:after="80"/>
      </w:pPr>
      <w:r>
        <w:t>Life insurance premium (subject to sum-assured vs premium ratio rules)</w:t>
      </w:r>
    </w:p>
    <w:p w:rsidR="00A5712E" w:rsidRDefault="004009FE">
      <w:pPr>
        <w:pStyle w:val="ListParagraph"/>
        <w:numPr>
          <w:ilvl w:val="0"/>
          <w:numId w:val="2"/>
        </w:numPr>
        <w:spacing w:after="80"/>
      </w:pPr>
      <w:r>
        <w:t>Principal</w:t>
      </w:r>
      <w:r>
        <w:t xml:space="preserve"> repayment on home loan</w:t>
      </w:r>
    </w:p>
    <w:p w:rsidR="00A5712E" w:rsidRDefault="004009FE">
      <w:pPr>
        <w:pStyle w:val="ListParagraph"/>
        <w:numPr>
          <w:ilvl w:val="0"/>
          <w:numId w:val="2"/>
        </w:numPr>
        <w:spacing w:after="80"/>
      </w:pPr>
      <w:r>
        <w:t>Tuition fees for up to 2 children (school or college; not coaching)</w:t>
      </w:r>
    </w:p>
    <w:p w:rsidR="00A5712E" w:rsidRDefault="004009FE">
      <w:pPr>
        <w:pStyle w:val="ListParagraph"/>
        <w:numPr>
          <w:ilvl w:val="0"/>
          <w:numId w:val="2"/>
        </w:numPr>
        <w:spacing w:after="80"/>
      </w:pPr>
      <w:r>
        <w:t>5-year tax-saver bank FD</w:t>
      </w:r>
    </w:p>
    <w:p w:rsidR="00A5712E" w:rsidRDefault="004009FE">
      <w:pPr>
        <w:pStyle w:val="ListParagraph"/>
        <w:numPr>
          <w:ilvl w:val="0"/>
          <w:numId w:val="2"/>
        </w:numPr>
        <w:spacing w:after="80"/>
      </w:pPr>
      <w:r>
        <w:t xml:space="preserve">NSC, </w:t>
      </w:r>
      <w:proofErr w:type="spellStart"/>
      <w:r>
        <w:t>Sukanya</w:t>
      </w:r>
      <w:proofErr w:type="spellEnd"/>
      <w:r>
        <w:t xml:space="preserve"> </w:t>
      </w:r>
      <w:proofErr w:type="spellStart"/>
      <w:r>
        <w:t>Samriddhi</w:t>
      </w:r>
      <w:proofErr w:type="spellEnd"/>
      <w:r>
        <w:t xml:space="preserve"> </w:t>
      </w:r>
      <w:proofErr w:type="spellStart"/>
      <w:r>
        <w:t>Yojana</w:t>
      </w:r>
      <w:proofErr w:type="spellEnd"/>
    </w:p>
    <w:p w:rsidR="00A5712E" w:rsidRDefault="004009FE">
      <w:pPr>
        <w:spacing w:after="120"/>
        <w:jc w:val="both"/>
      </w:pPr>
      <w:r>
        <w:t xml:space="preserve">Advisor order of preference for filling the Rs.1.5 lakh Section 80C bucket: (1) EPF (already automatic), (2) </w:t>
      </w:r>
      <w:r>
        <w:t>PPF up to the limit, (3) ELSS for any remaining gap. ELSS uniquely combines tax deduction with equity returns and the shortest lock-in of 3 years among 80C options. Avoid endowment life insurance as an 80C filler; the post-tax IRR rarely exceeds 5%.</w:t>
      </w:r>
    </w:p>
    <w:p w:rsidR="00A5712E" w:rsidRDefault="004009FE">
      <w:pPr>
        <w:pStyle w:val="Heading2"/>
      </w:pPr>
      <w:r>
        <w:t>Sectio</w:t>
      </w:r>
      <w:r>
        <w:t xml:space="preserve">n 80CCD(1B) - additional </w:t>
      </w:r>
      <w:proofErr w:type="gramStart"/>
      <w:r>
        <w:t>Rs.50,000</w:t>
      </w:r>
      <w:proofErr w:type="gramEnd"/>
      <w:r>
        <w:t xml:space="preserve"> for NPS</w:t>
      </w:r>
    </w:p>
    <w:p w:rsidR="00A5712E" w:rsidRDefault="004009FE">
      <w:pPr>
        <w:spacing w:after="120"/>
        <w:jc w:val="both"/>
      </w:pPr>
      <w:r>
        <w:t>A standalone deduction over and above the Rs.1.5 lakh of 80C. For taxpayers in the 20% or 30% bracket, this is one of the highest-yield deductions available. The constraint is that NPS Tier-1 has a long lock-in an</w:t>
      </w:r>
      <w:r>
        <w:t>d partially taxable maturity - appropriate only for genuine retirement money.</w:t>
      </w:r>
    </w:p>
    <w:p w:rsidR="00A5712E" w:rsidRDefault="004009FE">
      <w:pPr>
        <w:pStyle w:val="Heading2"/>
      </w:pPr>
      <w:r>
        <w:t>Section 80D - Health Insurance</w:t>
      </w:r>
    </w:p>
    <w:p w:rsidR="00A5712E" w:rsidRDefault="004009FE">
      <w:pPr>
        <w:spacing w:after="120"/>
        <w:jc w:val="both"/>
      </w:pPr>
      <w:proofErr w:type="gramStart"/>
      <w:r>
        <w:t>Rs.25,000</w:t>
      </w:r>
      <w:proofErr w:type="gramEnd"/>
      <w:r>
        <w:t xml:space="preserve"> for self, spouse, and dependent children. Additional </w:t>
      </w:r>
      <w:proofErr w:type="gramStart"/>
      <w:r>
        <w:t>Rs.25,000</w:t>
      </w:r>
      <w:proofErr w:type="gramEnd"/>
      <w:r>
        <w:t xml:space="preserve"> for parents (Rs.50,000 if parents are aged 60+). If the taxpayer is aged 6</w:t>
      </w:r>
      <w:r>
        <w:t xml:space="preserve">0+, the </w:t>
      </w:r>
      <w:proofErr w:type="spellStart"/>
      <w:r>
        <w:t>self limit</w:t>
      </w:r>
      <w:proofErr w:type="spellEnd"/>
      <w:r>
        <w:t xml:space="preserve"> also rises to </w:t>
      </w:r>
      <w:proofErr w:type="gramStart"/>
      <w:r>
        <w:t>Rs.50,000</w:t>
      </w:r>
      <w:proofErr w:type="gramEnd"/>
      <w:r>
        <w:t xml:space="preserve">. Preventive health check-up of up to </w:t>
      </w:r>
      <w:proofErr w:type="gramStart"/>
      <w:r>
        <w:t>Rs.5,000</w:t>
      </w:r>
      <w:proofErr w:type="gramEnd"/>
      <w:r>
        <w:t xml:space="preserve"> is included within these limits.</w:t>
      </w:r>
    </w:p>
    <w:p w:rsidR="00A5712E" w:rsidRDefault="004009FE">
      <w:pPr>
        <w:pStyle w:val="Heading2"/>
      </w:pPr>
      <w:r>
        <w:t>Section 24(b) - Home Loan Interest</w:t>
      </w:r>
    </w:p>
    <w:p w:rsidR="00A5712E" w:rsidRDefault="004009FE">
      <w:pPr>
        <w:spacing w:after="120"/>
        <w:jc w:val="both"/>
      </w:pPr>
      <w:r>
        <w:t xml:space="preserve">Up to Rs.2,00,000 interest deduction per year on a self-occupied property. For a let-out property, the deduction is unrestricted but the overall loss-from-house-property set-off is capped at Rs.2 </w:t>
      </w:r>
      <w:proofErr w:type="gramStart"/>
      <w:r>
        <w:t>lakh</w:t>
      </w:r>
      <w:proofErr w:type="gramEnd"/>
      <w:r>
        <w:t xml:space="preserve"> against other heads of income; excess carries forward.</w:t>
      </w:r>
    </w:p>
    <w:p w:rsidR="00A5712E" w:rsidRDefault="004009FE">
      <w:pPr>
        <w:pStyle w:val="Heading2"/>
      </w:pPr>
      <w:r>
        <w:t>HRA Exemption Section 10(13A)</w:t>
      </w:r>
    </w:p>
    <w:p w:rsidR="00A5712E" w:rsidRDefault="004009FE">
      <w:pPr>
        <w:spacing w:after="120"/>
        <w:jc w:val="both"/>
      </w:pPr>
      <w:r>
        <w:t>Available only to salaried employees with an HRA component. Exempt amount is the least of: (a) actual HRA received, (b) 50% of basic salary in metro cities or 40% elsewhere, (c) rent paid minus 10% of basic salary. Often the s</w:t>
      </w:r>
      <w:r>
        <w:t>ingle largest deduction. Its absence is the most common reason a non-metro or own-home household finds the Old Regime no longer pays.</w:t>
      </w:r>
    </w:p>
    <w:p w:rsidR="00A5712E" w:rsidRDefault="00A5712E"/>
    <w:p w:rsidR="00A5712E" w:rsidRDefault="004009FE">
      <w:pPr>
        <w:pStyle w:val="Heading1"/>
      </w:pPr>
      <w:r>
        <w:t>13. Insurance - Sizing Protection Correctly</w:t>
      </w:r>
    </w:p>
    <w:p w:rsidR="00A5712E" w:rsidRDefault="004009FE">
      <w:pPr>
        <w:spacing w:after="120"/>
        <w:jc w:val="both"/>
      </w:pPr>
      <w:r>
        <w:lastRenderedPageBreak/>
        <w:t>Most Indian households are simultaneously over-insured (holding several endow</w:t>
      </w:r>
      <w:r>
        <w:t>ment and ULIP policies) and under-protected (term cover well below the income they need to replace).</w:t>
      </w:r>
    </w:p>
    <w:p w:rsidR="00A5712E" w:rsidRDefault="004009FE">
      <w:pPr>
        <w:pStyle w:val="Heading2"/>
      </w:pPr>
      <w:r>
        <w:t>Life cover - the Human Life Value method</w:t>
      </w:r>
    </w:p>
    <w:p w:rsidR="00A5712E" w:rsidRDefault="004009FE">
      <w:pPr>
        <w:spacing w:after="120"/>
        <w:jc w:val="both"/>
      </w:pPr>
      <w:r>
        <w:t>Term cover for an earner should equal approximately: (Annual income multiplied by remaining working years) + outst</w:t>
      </w:r>
      <w:r>
        <w:t xml:space="preserve">anding liabilities + lump-sum goals (children's education, marriage) minus existing liquid assets and existing term cover. For a 35-year-old earning Rs.15 </w:t>
      </w:r>
      <w:proofErr w:type="gramStart"/>
      <w:r>
        <w:t>lakh</w:t>
      </w:r>
      <w:proofErr w:type="gramEnd"/>
      <w:r>
        <w:t xml:space="preserve"> per annum with 25 working years remaining, a Rs.50 lakh home loan, and a Rs.50 lakh education go</w:t>
      </w:r>
      <w:r>
        <w:t>al, the appropriate cover is in the range of Rs.3.5-4 crore. Most households at this profile carry Rs.1 crore or less.</w:t>
      </w:r>
    </w:p>
    <w:p w:rsidR="00A5712E" w:rsidRDefault="004009FE">
      <w:pPr>
        <w:pStyle w:val="Heading2"/>
      </w:pPr>
      <w:r>
        <w:t>Health cover sizing</w:t>
      </w:r>
    </w:p>
    <w:p w:rsidR="00A5712E" w:rsidRDefault="004009FE">
      <w:pPr>
        <w:pStyle w:val="ListParagraph"/>
        <w:numPr>
          <w:ilvl w:val="0"/>
          <w:numId w:val="2"/>
        </w:numPr>
        <w:spacing w:after="80"/>
      </w:pPr>
      <w:r>
        <w:t>A family floater of Rs.10-20 lakh is the minimum for an urban household; metro hospitals routinely run Rs.4-8 lakh pe</w:t>
      </w:r>
      <w:r>
        <w:t>r ICU episode.</w:t>
      </w:r>
    </w:p>
    <w:p w:rsidR="00A5712E" w:rsidRDefault="004009FE">
      <w:pPr>
        <w:pStyle w:val="ListParagraph"/>
        <w:numPr>
          <w:ilvl w:val="0"/>
          <w:numId w:val="2"/>
        </w:numPr>
        <w:spacing w:after="80"/>
      </w:pPr>
      <w:r>
        <w:t>If only a corporate health policy exists, supplement with a personal policy - corporate cover ends with the job.</w:t>
      </w:r>
    </w:p>
    <w:p w:rsidR="00A5712E" w:rsidRDefault="004009FE">
      <w:pPr>
        <w:pStyle w:val="ListParagraph"/>
        <w:numPr>
          <w:ilvl w:val="0"/>
          <w:numId w:val="2"/>
        </w:numPr>
        <w:spacing w:after="80"/>
      </w:pPr>
      <w:r>
        <w:t>Include parents on a separate senior-citizen policy; adding them to the floater inflates the premium disproportionately.</w:t>
      </w:r>
    </w:p>
    <w:p w:rsidR="00A5712E" w:rsidRDefault="004009FE">
      <w:pPr>
        <w:pStyle w:val="ListParagraph"/>
        <w:numPr>
          <w:ilvl w:val="0"/>
          <w:numId w:val="2"/>
        </w:numPr>
        <w:spacing w:after="80"/>
      </w:pPr>
      <w:r>
        <w:t xml:space="preserve">Consider a super top-up (e.g. Rs.50 lakh cover with Rs.10 </w:t>
      </w:r>
      <w:proofErr w:type="gramStart"/>
      <w:r>
        <w:t>lakh</w:t>
      </w:r>
      <w:proofErr w:type="gramEnd"/>
      <w:r>
        <w:t xml:space="preserve"> deductible) - premium is small relative to the cover.</w:t>
      </w:r>
    </w:p>
    <w:p w:rsidR="00A5712E" w:rsidRDefault="004009FE">
      <w:pPr>
        <w:pStyle w:val="Heading2"/>
      </w:pPr>
      <w:r>
        <w:t xml:space="preserve">Endowment and ULIP - the common </w:t>
      </w:r>
      <w:proofErr w:type="spellStart"/>
      <w:r>
        <w:t>mis</w:t>
      </w:r>
      <w:proofErr w:type="spellEnd"/>
      <w:r>
        <w:t>-sale</w:t>
      </w:r>
    </w:p>
    <w:p w:rsidR="00A5712E" w:rsidRDefault="004009FE">
      <w:pPr>
        <w:spacing w:after="120"/>
        <w:jc w:val="both"/>
      </w:pPr>
      <w:r>
        <w:t>Endowment and ULIP policies combine insurance with investment. Their typical post-tax IRR is 4-6%,</w:t>
      </w:r>
      <w:r>
        <w:t xml:space="preserve"> well below what a separate term-plus-mutual-fund combination delivers. Triage each policy: if the policy is less than 3 years in, the loss from surrender is usually less than the opportunity cost of continuing - surrender. If the policy is past its surren</w:t>
      </w:r>
      <w:r>
        <w:t>der-cost trough (typically 5+ years) but yielding below 6%, convert to paid-up. If the policy is close to maturity (2-3 years to go), complete it. Never surrender a term policy - it has zero investment component and lapsing only forfeits future protection.</w:t>
      </w:r>
    </w:p>
    <w:p w:rsidR="00A5712E" w:rsidRDefault="00A5712E"/>
    <w:p w:rsidR="00A5712E" w:rsidRDefault="004009FE">
      <w:pPr>
        <w:pStyle w:val="Heading1"/>
      </w:pPr>
      <w:r>
        <w:t>14. Emergency Fund and Liquidity</w:t>
      </w:r>
    </w:p>
    <w:p w:rsidR="00A5712E" w:rsidRDefault="004009FE">
      <w:pPr>
        <w:spacing w:after="120"/>
        <w:jc w:val="both"/>
      </w:pPr>
      <w:r>
        <w:t>Every other element of the plan depends on the household never being forced to sell long-term assets to pay for a short-term shock. The emergency fund guarantees that.</w:t>
      </w:r>
    </w:p>
    <w:p w:rsidR="00A5712E" w:rsidRDefault="004009FE">
      <w:pPr>
        <w:pStyle w:val="Heading2"/>
      </w:pPr>
      <w:r>
        <w:t>Sizing the emergency fund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500"/>
        <w:gridCol w:w="3860"/>
      </w:tblGrid>
      <w:tr w:rsidR="00A5712E">
        <w:tblPrEx>
          <w:tblCellMar>
            <w:top w:w="0" w:type="dxa"/>
            <w:bottom w:w="0" w:type="dxa"/>
          </w:tblCellMar>
        </w:tblPrEx>
        <w:trPr>
          <w:tblHeader/>
        </w:trPr>
        <w:tc>
          <w:tcPr>
            <w:tcW w:w="55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Household profile</w:t>
            </w:r>
          </w:p>
        </w:tc>
        <w:tc>
          <w:tcPr>
            <w:tcW w:w="386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Recommend</w:t>
            </w:r>
            <w:r>
              <w:rPr>
                <w:b/>
                <w:bCs/>
                <w:color w:val="FFFFFF"/>
                <w:sz w:val="20"/>
                <w:szCs w:val="20"/>
              </w:rPr>
              <w:t>ed emergency fund</w:t>
            </w:r>
          </w:p>
        </w:tc>
      </w:tr>
      <w:tr w:rsidR="00A5712E">
        <w:tblPrEx>
          <w:tblCellMar>
            <w:top w:w="0" w:type="dxa"/>
            <w:bottom w:w="0" w:type="dxa"/>
          </w:tblCellMar>
        </w:tblPrEx>
        <w:tc>
          <w:tcPr>
            <w:tcW w:w="5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Dual-income, salaried, stable jobs, no dependents</w:t>
            </w:r>
          </w:p>
        </w:tc>
        <w:tc>
          <w:tcPr>
            <w:tcW w:w="38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3-4 months of essential expenses</w:t>
            </w:r>
          </w:p>
        </w:tc>
      </w:tr>
      <w:tr w:rsidR="00A5712E">
        <w:tblPrEx>
          <w:tblCellMar>
            <w:top w:w="0" w:type="dxa"/>
            <w:bottom w:w="0" w:type="dxa"/>
          </w:tblCellMar>
        </w:tblPrEx>
        <w:tc>
          <w:tcPr>
            <w:tcW w:w="5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Single-income, salaried, with dependents</w:t>
            </w:r>
          </w:p>
        </w:tc>
        <w:tc>
          <w:tcPr>
            <w:tcW w:w="38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6 months of essential expenses</w:t>
            </w:r>
          </w:p>
        </w:tc>
      </w:tr>
      <w:tr w:rsidR="00A5712E">
        <w:tblPrEx>
          <w:tblCellMar>
            <w:top w:w="0" w:type="dxa"/>
            <w:bottom w:w="0" w:type="dxa"/>
          </w:tblCellMar>
        </w:tblPrEx>
        <w:tc>
          <w:tcPr>
            <w:tcW w:w="5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Self-employed or business income or variable income</w:t>
            </w:r>
          </w:p>
        </w:tc>
        <w:tc>
          <w:tcPr>
            <w:tcW w:w="38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9-12 months of essential expenses</w:t>
            </w:r>
          </w:p>
        </w:tc>
      </w:tr>
      <w:tr w:rsidR="00A5712E">
        <w:tblPrEx>
          <w:tblCellMar>
            <w:top w:w="0" w:type="dxa"/>
            <w:bottom w:w="0" w:type="dxa"/>
          </w:tblCellMar>
        </w:tblPrEx>
        <w:tc>
          <w:tcPr>
            <w:tcW w:w="5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Recently retired or pre-retired</w:t>
            </w:r>
          </w:p>
        </w:tc>
        <w:tc>
          <w:tcPr>
            <w:tcW w:w="38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12-24 months of essential expenses, in laddered debt</w:t>
            </w:r>
          </w:p>
        </w:tc>
      </w:tr>
    </w:tbl>
    <w:p w:rsidR="00A5712E" w:rsidRDefault="00A5712E"/>
    <w:p w:rsidR="00A5712E" w:rsidRDefault="004009FE">
      <w:pPr>
        <w:spacing w:after="120"/>
        <w:jc w:val="both"/>
      </w:pPr>
      <w:r>
        <w:t xml:space="preserve">Essential expenses </w:t>
      </w:r>
      <w:proofErr w:type="gramStart"/>
      <w:r>
        <w:t>means</w:t>
      </w:r>
      <w:proofErr w:type="gramEnd"/>
      <w:r>
        <w:t>: household running cost (groceries, utilities, fuel, maids, school transport) + all EMIs + insurance premiums</w:t>
      </w:r>
      <w:r>
        <w:t xml:space="preserve"> + school fees + minimum medical buffer. Exclude restaurant meals, travel, discretionary shopping, and SIPs (which can be paused, not defaulted on).</w:t>
      </w:r>
    </w:p>
    <w:p w:rsidR="00A5712E" w:rsidRDefault="004009FE">
      <w:pPr>
        <w:pStyle w:val="Heading2"/>
      </w:pPr>
      <w:r>
        <w:lastRenderedPageBreak/>
        <w:t>Where to park the emergency fund</w:t>
      </w:r>
    </w:p>
    <w:p w:rsidR="00A5712E" w:rsidRDefault="004009FE">
      <w:pPr>
        <w:pStyle w:val="ListParagraph"/>
        <w:numPr>
          <w:ilvl w:val="0"/>
          <w:numId w:val="2"/>
        </w:numPr>
        <w:spacing w:after="80"/>
      </w:pPr>
      <w:r>
        <w:t>Sweep-in savings account or liquid FD for the first month: instant access,</w:t>
      </w:r>
      <w:r>
        <w:t xml:space="preserve"> low yield 3-4%, but the right place for true emergency liquidity.</w:t>
      </w:r>
    </w:p>
    <w:p w:rsidR="00A5712E" w:rsidRDefault="004009FE">
      <w:pPr>
        <w:pStyle w:val="ListParagraph"/>
        <w:numPr>
          <w:ilvl w:val="0"/>
          <w:numId w:val="2"/>
        </w:numPr>
        <w:spacing w:after="80"/>
      </w:pPr>
      <w:r>
        <w:t>Liquid mutual fund for months 2-3: T+1 redemption, yield typically 6-7%, no exit load after 7 days.</w:t>
      </w:r>
    </w:p>
    <w:p w:rsidR="00A5712E" w:rsidRDefault="004009FE">
      <w:pPr>
        <w:pStyle w:val="ListParagraph"/>
        <w:numPr>
          <w:ilvl w:val="0"/>
          <w:numId w:val="2"/>
        </w:numPr>
        <w:spacing w:after="80"/>
      </w:pPr>
      <w:r>
        <w:t>Ultra-short or low-duration debt fund for the deeper tier (months 4-6): slightly higher yield, marginal volatility, T+1 redemption.</w:t>
      </w:r>
    </w:p>
    <w:p w:rsidR="00A5712E" w:rsidRDefault="004009FE">
      <w:pPr>
        <w:pStyle w:val="ListParagraph"/>
        <w:numPr>
          <w:ilvl w:val="0"/>
          <w:numId w:val="2"/>
        </w:numPr>
        <w:spacing w:after="80"/>
      </w:pPr>
      <w:r>
        <w:t>Never in equity mutual funds, ELSS, or property. An emergency in a market drawdown becomes a permanent capital loss.</w:t>
      </w:r>
    </w:p>
    <w:p w:rsidR="00A5712E" w:rsidRDefault="00A5712E"/>
    <w:p w:rsidR="00A5712E" w:rsidRDefault="004009FE">
      <w:pPr>
        <w:pStyle w:val="Heading1"/>
      </w:pPr>
      <w:r>
        <w:t>15. Mu</w:t>
      </w:r>
      <w:r>
        <w:t>tual Fund Selection Heuristics</w:t>
      </w:r>
    </w:p>
    <w:p w:rsidR="00A5712E" w:rsidRDefault="004009FE">
      <w:pPr>
        <w:pStyle w:val="Heading2"/>
      </w:pPr>
      <w:r>
        <w:t>First-pass filters</w:t>
      </w:r>
    </w:p>
    <w:p w:rsidR="00A5712E" w:rsidRDefault="004009FE">
      <w:pPr>
        <w:pStyle w:val="ListParagraph"/>
        <w:numPr>
          <w:ilvl w:val="0"/>
          <w:numId w:val="2"/>
        </w:numPr>
        <w:spacing w:after="80"/>
      </w:pPr>
      <w:r>
        <w:t>Fund age 5 years or more: a fund that has not lived through one full market cycle is untested.</w:t>
      </w:r>
    </w:p>
    <w:p w:rsidR="00A5712E" w:rsidRDefault="004009FE">
      <w:pPr>
        <w:pStyle w:val="ListParagraph"/>
        <w:numPr>
          <w:ilvl w:val="0"/>
          <w:numId w:val="2"/>
        </w:numPr>
        <w:spacing w:after="80"/>
      </w:pPr>
      <w:r>
        <w:t>AUM in the right band: for large-cap and flexi-cap 5,000 crore+ shows scale and stability. For mid and small-ca</w:t>
      </w:r>
      <w:r>
        <w:t xml:space="preserve">p, AUM above </w:t>
      </w:r>
      <w:proofErr w:type="gramStart"/>
      <w:r>
        <w:t>Rs.25,000</w:t>
      </w:r>
      <w:proofErr w:type="gramEnd"/>
      <w:r>
        <w:t>-30,000 crore can begin to drag performance.</w:t>
      </w:r>
    </w:p>
    <w:p w:rsidR="00A5712E" w:rsidRDefault="004009FE">
      <w:pPr>
        <w:pStyle w:val="ListParagraph"/>
        <w:numPr>
          <w:ilvl w:val="0"/>
          <w:numId w:val="2"/>
        </w:numPr>
        <w:spacing w:after="80"/>
      </w:pPr>
      <w:r>
        <w:t>Expense ratio below category median: a 0.5-1.0 percentage point edge per annum compounds materially over 15 years.</w:t>
      </w:r>
    </w:p>
    <w:p w:rsidR="00A5712E" w:rsidRDefault="004009FE">
      <w:pPr>
        <w:pStyle w:val="ListParagraph"/>
        <w:numPr>
          <w:ilvl w:val="0"/>
          <w:numId w:val="2"/>
        </w:numPr>
        <w:spacing w:after="80"/>
      </w:pPr>
      <w:r>
        <w:t>Fund manager tenure 3 years or more: returns belong to the manager, not th</w:t>
      </w:r>
      <w:r>
        <w:t>e AMC. A recent manager change resets the track record.</w:t>
      </w:r>
    </w:p>
    <w:p w:rsidR="00A5712E" w:rsidRDefault="004009FE">
      <w:pPr>
        <w:pStyle w:val="Heading2"/>
      </w:pPr>
      <w:r>
        <w:t>Performance evaluation - use rolling not point-to-point</w:t>
      </w:r>
    </w:p>
    <w:p w:rsidR="00A5712E" w:rsidRDefault="004009FE">
      <w:pPr>
        <w:spacing w:after="120"/>
        <w:jc w:val="both"/>
      </w:pPr>
      <w:r>
        <w:t>The most common fund-comparison mistake is reading the 1-year, 3-year, 5-year trailing returns on a fact sheet. These are point-to-point and acu</w:t>
      </w:r>
      <w:r>
        <w:t>tely sensitive to start and end date. Rolling returns (e.g. 3-year rolling over the last 10 years) reveal consistency. A fund that delivers 14% rolling 3-year median with a 10-18% range is preferable to one that delivers 16% median with a 2-28% range.</w:t>
      </w:r>
    </w:p>
    <w:p w:rsidR="00A5712E" w:rsidRDefault="004009FE">
      <w:pPr>
        <w:pStyle w:val="Heading2"/>
      </w:pPr>
      <w:r>
        <w:t>Risk</w:t>
      </w:r>
      <w:r>
        <w:t xml:space="preserve"> metrics worth reading</w:t>
      </w:r>
    </w:p>
    <w:p w:rsidR="00A5712E" w:rsidRDefault="004009FE">
      <w:pPr>
        <w:pStyle w:val="ListParagraph"/>
        <w:numPr>
          <w:ilvl w:val="0"/>
          <w:numId w:val="2"/>
        </w:numPr>
        <w:spacing w:after="80"/>
      </w:pPr>
      <w:r>
        <w:t>Standard deviation: the fund's own volatility.</w:t>
      </w:r>
    </w:p>
    <w:p w:rsidR="00A5712E" w:rsidRDefault="004009FE">
      <w:pPr>
        <w:pStyle w:val="ListParagraph"/>
        <w:numPr>
          <w:ilvl w:val="0"/>
          <w:numId w:val="2"/>
        </w:numPr>
        <w:spacing w:after="80"/>
      </w:pPr>
      <w:r>
        <w:t>Beta less than 1 means the fund moves less than its benchmark (useful in large-cap).</w:t>
      </w:r>
    </w:p>
    <w:p w:rsidR="00A5712E" w:rsidRDefault="004009FE">
      <w:pPr>
        <w:pStyle w:val="ListParagraph"/>
        <w:numPr>
          <w:ilvl w:val="0"/>
          <w:numId w:val="2"/>
        </w:numPr>
        <w:spacing w:after="80"/>
      </w:pPr>
      <w:r>
        <w:t>Sharpe ratio above 1 indicates returns are earning their risk.</w:t>
      </w:r>
    </w:p>
    <w:p w:rsidR="00A5712E" w:rsidRDefault="004009FE">
      <w:pPr>
        <w:pStyle w:val="ListParagraph"/>
        <w:numPr>
          <w:ilvl w:val="0"/>
          <w:numId w:val="2"/>
        </w:numPr>
        <w:spacing w:after="80"/>
      </w:pPr>
      <w:r>
        <w:t>Maximum drawdown over 5-10 years: woul</w:t>
      </w:r>
      <w:r>
        <w:t>d the client have held through that drawdown?</w:t>
      </w:r>
    </w:p>
    <w:p w:rsidR="00A5712E" w:rsidRDefault="004009FE">
      <w:pPr>
        <w:pStyle w:val="Heading2"/>
      </w:pPr>
      <w:r>
        <w:t>ELSS special considerations</w:t>
      </w:r>
    </w:p>
    <w:p w:rsidR="00A5712E" w:rsidRDefault="004009FE">
      <w:pPr>
        <w:spacing w:after="120"/>
        <w:jc w:val="both"/>
      </w:pPr>
      <w:r>
        <w:t>ELSS funds carry a 3-year lock-in per tranche (each SIP instalment locks separately). Use ELSS only if the household is filing under the Old Regime and has unfilled 80C capacity. Und</w:t>
      </w:r>
      <w:r>
        <w:t>er the New Regime, ELSS provides no tax benefit and a regular diversified equity fund is the better vehicle.</w:t>
      </w:r>
    </w:p>
    <w:p w:rsidR="00A5712E" w:rsidRDefault="004009FE">
      <w:pPr>
        <w:pStyle w:val="Heading2"/>
      </w:pPr>
      <w:r>
        <w:t>When to exit a fund</w:t>
      </w:r>
    </w:p>
    <w:p w:rsidR="00A5712E" w:rsidRDefault="004009FE">
      <w:pPr>
        <w:spacing w:after="120"/>
        <w:jc w:val="both"/>
      </w:pPr>
      <w:r>
        <w:t>Sustained underperformance versus benchmark and category peers over a rolling 3-year window, mandate drift, a manager change wi</w:t>
      </w:r>
      <w:r>
        <w:t>thout continuity of process, or AUM bloat all justify exit. Switch slowly over 2-3 months to avoid tax-event concentration and timing risk.</w:t>
      </w:r>
    </w:p>
    <w:p w:rsidR="00A5712E" w:rsidRDefault="00A5712E"/>
    <w:p w:rsidR="00A5712E" w:rsidRDefault="004009FE">
      <w:pPr>
        <w:pStyle w:val="Heading1"/>
      </w:pPr>
      <w:r>
        <w:t>16. Rebalancing - Calendar, Threshold, and Tax-Aware</w:t>
      </w:r>
    </w:p>
    <w:p w:rsidR="00A5712E" w:rsidRDefault="004009FE">
      <w:pPr>
        <w:spacing w:after="120"/>
        <w:jc w:val="both"/>
      </w:pPr>
      <w:r>
        <w:t>Asset allocation drifts. A portfolio built at 60/30/5/5 Equity</w:t>
      </w:r>
      <w:r>
        <w:t>/Debt/RE/Metals will, after a 25% equity rally, look more like 68/24/4/4 - meaning the household is now carrying more risk than they signed up for. Rebalancing restores the original weights.</w:t>
      </w:r>
    </w:p>
    <w:p w:rsidR="00A5712E" w:rsidRDefault="004009FE">
      <w:pPr>
        <w:pStyle w:val="Heading2"/>
      </w:pPr>
      <w:r>
        <w:t>Three rebalancing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800"/>
        <w:gridCol w:w="2500"/>
        <w:gridCol w:w="2060"/>
      </w:tblGrid>
      <w:tr w:rsidR="00A5712E">
        <w:tblPrEx>
          <w:tblCellMar>
            <w:top w:w="0" w:type="dxa"/>
            <w:bottom w:w="0" w:type="dxa"/>
          </w:tblCellMar>
        </w:tblPrEx>
        <w:trPr>
          <w:tblHeader/>
        </w:trPr>
        <w:tc>
          <w:tcPr>
            <w:tcW w:w="20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Method</w:t>
            </w:r>
          </w:p>
        </w:tc>
        <w:tc>
          <w:tcPr>
            <w:tcW w:w="28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Trigger</w:t>
            </w:r>
          </w:p>
        </w:tc>
        <w:tc>
          <w:tcPr>
            <w:tcW w:w="250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Pros</w:t>
            </w:r>
          </w:p>
        </w:tc>
        <w:tc>
          <w:tcPr>
            <w:tcW w:w="2060" w:type="dxa"/>
            <w:tcBorders>
              <w:top w:val="single" w:sz="1" w:space="0" w:color="C7D7E8"/>
              <w:left w:val="single" w:sz="1" w:space="0" w:color="C7D7E8"/>
              <w:bottom w:val="single" w:sz="1" w:space="0" w:color="C7D7E8"/>
              <w:right w:val="single" w:sz="1" w:space="0" w:color="C7D7E8"/>
            </w:tcBorders>
            <w:shd w:val="clear" w:color="auto" w:fill="0B2545"/>
            <w:tcMar>
              <w:top w:w="80" w:type="dxa"/>
              <w:left w:w="120" w:type="dxa"/>
              <w:bottom w:w="80" w:type="dxa"/>
              <w:right w:w="120" w:type="dxa"/>
            </w:tcMar>
          </w:tcPr>
          <w:p w:rsidR="00A5712E" w:rsidRDefault="004009FE">
            <w:r>
              <w:rPr>
                <w:b/>
                <w:bCs/>
                <w:color w:val="FFFFFF"/>
                <w:sz w:val="20"/>
                <w:szCs w:val="20"/>
              </w:rPr>
              <w:t>Cons</w:t>
            </w:r>
          </w:p>
        </w:tc>
      </w:tr>
      <w:tr w:rsidR="00A5712E">
        <w:tblPrEx>
          <w:tblCellMar>
            <w:top w:w="0" w:type="dxa"/>
            <w:bottom w:w="0" w:type="dxa"/>
          </w:tblCellMar>
        </w:tblPrEx>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Calendar</w:t>
            </w:r>
          </w:p>
        </w:tc>
        <w:tc>
          <w:tcPr>
            <w:tcW w:w="28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Fixed schedule (e.g. once a year, end-of-FY)</w:t>
            </w:r>
          </w:p>
        </w:tc>
        <w:tc>
          <w:tcPr>
            <w:tcW w:w="2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Simple, predictable, easy to delegate</w:t>
            </w:r>
          </w:p>
        </w:tc>
        <w:tc>
          <w:tcPr>
            <w:tcW w:w="20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Misses inter-year drift; may trigger unnecessary tax events</w:t>
            </w:r>
          </w:p>
        </w:tc>
      </w:tr>
      <w:tr w:rsidR="00A5712E">
        <w:tblPrEx>
          <w:tblCellMar>
            <w:top w:w="0" w:type="dxa"/>
            <w:bottom w:w="0" w:type="dxa"/>
          </w:tblCellMar>
        </w:tblPrEx>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Threshold</w:t>
            </w:r>
          </w:p>
        </w:tc>
        <w:tc>
          <w:tcPr>
            <w:tcW w:w="28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When any class drifts more than 5 percentage points from target</w:t>
            </w:r>
          </w:p>
        </w:tc>
        <w:tc>
          <w:tcPr>
            <w:tcW w:w="2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Responds to actual market moves; skips quiet years</w:t>
            </w:r>
          </w:p>
        </w:tc>
        <w:tc>
          <w:tcPr>
            <w:tcW w:w="20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Requires monitoring; can cluster trades in volatile periods</w:t>
            </w:r>
          </w:p>
        </w:tc>
      </w:tr>
      <w:tr w:rsidR="00A5712E">
        <w:tblPrEx>
          <w:tblCellMar>
            <w:top w:w="0" w:type="dxa"/>
            <w:bottom w:w="0" w:type="dxa"/>
          </w:tblCellMar>
        </w:tblPrEx>
        <w:tc>
          <w:tcPr>
            <w:tcW w:w="20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Hybrid (recommended)</w:t>
            </w:r>
          </w:p>
        </w:tc>
        <w:tc>
          <w:tcPr>
            <w:tcW w:w="28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Annual check plus threshold override</w:t>
            </w:r>
          </w:p>
        </w:tc>
        <w:tc>
          <w:tcPr>
            <w:tcW w:w="250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Captures the merits of both; default in practice</w:t>
            </w:r>
          </w:p>
        </w:tc>
        <w:tc>
          <w:tcPr>
            <w:tcW w:w="2060" w:type="dxa"/>
            <w:tcBorders>
              <w:top w:val="single" w:sz="1" w:space="0" w:color="C7D7E8"/>
              <w:left w:val="single" w:sz="1" w:space="0" w:color="C7D7E8"/>
              <w:bottom w:val="single" w:sz="1" w:space="0" w:color="C7D7E8"/>
              <w:right w:val="single" w:sz="1" w:space="0" w:color="C7D7E8"/>
            </w:tcBorders>
            <w:tcMar>
              <w:top w:w="80" w:type="dxa"/>
              <w:left w:w="120" w:type="dxa"/>
              <w:bottom w:w="80" w:type="dxa"/>
              <w:right w:w="120" w:type="dxa"/>
            </w:tcMar>
          </w:tcPr>
          <w:p w:rsidR="00A5712E" w:rsidRDefault="004009FE">
            <w:r>
              <w:rPr>
                <w:color w:val="1F2937"/>
                <w:sz w:val="20"/>
                <w:szCs w:val="20"/>
              </w:rPr>
              <w:t>Slightly more complex to articulate</w:t>
            </w:r>
          </w:p>
        </w:tc>
      </w:tr>
    </w:tbl>
    <w:p w:rsidR="00A5712E" w:rsidRDefault="00A5712E"/>
    <w:p w:rsidR="00A5712E" w:rsidRDefault="004009FE">
      <w:pPr>
        <w:pStyle w:val="Heading2"/>
      </w:pPr>
      <w:r>
        <w:t>Tax-aware rebalancing</w:t>
      </w:r>
    </w:p>
    <w:p w:rsidR="00A5712E" w:rsidRDefault="004009FE">
      <w:pPr>
        <w:pStyle w:val="ListParagraph"/>
        <w:numPr>
          <w:ilvl w:val="0"/>
          <w:numId w:val="2"/>
        </w:numPr>
        <w:spacing w:after="80"/>
      </w:pPr>
      <w:r>
        <w:t>Rebalance using fresh flows first: direct new SIP contributions toward the under-weight class - no tax event triggered.</w:t>
      </w:r>
    </w:p>
    <w:p w:rsidR="00A5712E" w:rsidRDefault="004009FE">
      <w:pPr>
        <w:pStyle w:val="ListParagraph"/>
        <w:numPr>
          <w:ilvl w:val="0"/>
          <w:numId w:val="2"/>
        </w:numPr>
        <w:spacing w:after="80"/>
      </w:pPr>
      <w:r>
        <w:t>Harvest the Rs.1.25 lakh LTCG exemption in the process: if equity must be sold, prefer long-held lots and time the redemption to use the annual exemption in full.</w:t>
      </w:r>
    </w:p>
    <w:p w:rsidR="00A5712E" w:rsidRDefault="004009FE">
      <w:pPr>
        <w:pStyle w:val="ListParagraph"/>
        <w:numPr>
          <w:ilvl w:val="0"/>
          <w:numId w:val="2"/>
        </w:numPr>
        <w:spacing w:after="80"/>
      </w:pPr>
      <w:r>
        <w:t xml:space="preserve">Avoid selling within 12 months of purchase unless absolutely necessary; STCG at 20% destroys </w:t>
      </w:r>
      <w:r>
        <w:t>most of the rebalancing benefit.</w:t>
      </w:r>
    </w:p>
    <w:p w:rsidR="00A5712E" w:rsidRDefault="004009FE">
      <w:pPr>
        <w:pStyle w:val="ListParagraph"/>
        <w:numPr>
          <w:ilvl w:val="0"/>
          <w:numId w:val="2"/>
        </w:numPr>
        <w:spacing w:after="80"/>
      </w:pPr>
      <w:r>
        <w:t>For Indian salaried households, EPF and PPF contributions are de facto debt rebalancing - they automatically increase the debt sleeve every month.</w:t>
      </w:r>
    </w:p>
    <w:p w:rsidR="00A5712E" w:rsidRDefault="004009FE">
      <w:pPr>
        <w:pStyle w:val="Heading2"/>
      </w:pPr>
      <w:r>
        <w:t>The one rule clients should obey above all</w:t>
      </w:r>
    </w:p>
    <w:p w:rsidR="00A5712E" w:rsidRDefault="004009FE">
      <w:pPr>
        <w:spacing w:after="120"/>
        <w:jc w:val="both"/>
      </w:pPr>
      <w:r>
        <w:t>Rebalance after large moves, even</w:t>
      </w:r>
      <w:r>
        <w:t xml:space="preserve"> if it feels wrong. The instinct after a 30% equity rally is to let it run. The instinct after a 25% correction is to wait until it recovers. Both instincts erode the discipline that makes rebalancing valuable. The point of rebalancing is to do what feels </w:t>
      </w:r>
      <w:r>
        <w:t>uncomfortable at the time and is structurally correct in hindsight.</w:t>
      </w:r>
    </w:p>
    <w:p w:rsidR="00A5712E" w:rsidRDefault="00A5712E"/>
    <w:p w:rsidR="00A5712E" w:rsidRDefault="004009FE">
      <w:pPr>
        <w:pStyle w:val="Heading1"/>
      </w:pPr>
      <w:r>
        <w:t>17. Retirement Corpus - The Math</w:t>
      </w:r>
    </w:p>
    <w:p w:rsidR="00A5712E" w:rsidRDefault="004009FE">
      <w:pPr>
        <w:spacing w:after="120"/>
        <w:jc w:val="both"/>
      </w:pPr>
      <w:r>
        <w:t>Retirement is the largest financial goal most Indian households ever fund. It is also the goal most consistently under-estimated, because it requires comp</w:t>
      </w:r>
      <w:r>
        <w:t>ounding three uncertainties - life expectancy, inflation, and post-retirement returns - into a single number that must be right.</w:t>
      </w:r>
    </w:p>
    <w:p w:rsidR="00A5712E" w:rsidRDefault="004009FE">
      <w:pPr>
        <w:pStyle w:val="Heading2"/>
      </w:pPr>
      <w:r>
        <w:t>The corpus equation</w:t>
      </w:r>
    </w:p>
    <w:p w:rsidR="00A5712E" w:rsidRDefault="004009FE">
      <w:pPr>
        <w:spacing w:after="120"/>
        <w:jc w:val="both"/>
      </w:pPr>
      <w:r>
        <w:t>Required corpus at retirement is approximately: Annual expenses at retirement multiplied by a withdrawal mu</w:t>
      </w:r>
      <w:r>
        <w:t>ltiple. For an Indian household with a 25-</w:t>
      </w:r>
      <w:proofErr w:type="gramStart"/>
      <w:r>
        <w:t>30 year</w:t>
      </w:r>
      <w:proofErr w:type="gramEnd"/>
      <w:r>
        <w:t xml:space="preserve"> retirement horizon, a </w:t>
      </w:r>
      <w:r>
        <w:lastRenderedPageBreak/>
        <w:t>withdrawal-multiple of 30x to 33x annual expenses is the practitioner's range. This corresponds to a real (inflation-adjusted) withdrawal rate of roughly 3.0-3.5% per annum. This is mo</w:t>
      </w:r>
      <w:r>
        <w:t>re conservative than the US-derived 4% rule because Indian inflation is structurally higher.</w:t>
      </w:r>
    </w:p>
    <w:p w:rsidR="00A5712E" w:rsidRDefault="004009FE">
      <w:pPr>
        <w:pStyle w:val="Heading2"/>
      </w:pPr>
      <w:r>
        <w:t>Worked example</w:t>
      </w:r>
    </w:p>
    <w:p w:rsidR="00A5712E" w:rsidRDefault="004009FE">
      <w:pPr>
        <w:spacing w:after="120"/>
        <w:jc w:val="both"/>
      </w:pPr>
      <w:r>
        <w:t xml:space="preserve">A couple currently spending </w:t>
      </w:r>
      <w:proofErr w:type="gramStart"/>
      <w:r>
        <w:t>Rs.80,000</w:t>
      </w:r>
      <w:proofErr w:type="gramEnd"/>
      <w:r>
        <w:t xml:space="preserve"> per month (Rs.9.6 lakh per year) in today's rupees expects to retire in 17 years. At 6% inflation, their annua</w:t>
      </w:r>
      <w:r>
        <w:t>l expense at retirement is roughly Rs.9.6 lakh multiplied by (1.06 to the power of 17) which equals approximately Rs.25.9 lakh. Required corpus at 30x multiple is approximately Rs.25.9 lakh multiplied by 30 equals approximately Rs.7.8 crore.</w:t>
      </w:r>
    </w:p>
    <w:p w:rsidR="00A5712E" w:rsidRDefault="004009FE">
      <w:pPr>
        <w:pStyle w:val="Heading2"/>
      </w:pPr>
      <w:r>
        <w:t>Sources of the</w:t>
      </w:r>
      <w:r>
        <w:t xml:space="preserve"> retirement corpus</w:t>
      </w:r>
    </w:p>
    <w:p w:rsidR="00A5712E" w:rsidRDefault="004009FE">
      <w:pPr>
        <w:pStyle w:val="ListParagraph"/>
        <w:numPr>
          <w:ilvl w:val="0"/>
          <w:numId w:val="2"/>
        </w:numPr>
        <w:spacing w:after="80"/>
      </w:pPr>
      <w:r>
        <w:t xml:space="preserve">EPF: compulsory for salaried; at retirement typically Rs.50 </w:t>
      </w:r>
      <w:proofErr w:type="gramStart"/>
      <w:r>
        <w:t>lakh</w:t>
      </w:r>
      <w:proofErr w:type="gramEnd"/>
      <w:r>
        <w:t xml:space="preserve"> to Rs.2 crore depending on career trajectory.</w:t>
      </w:r>
    </w:p>
    <w:p w:rsidR="00A5712E" w:rsidRDefault="004009FE">
      <w:pPr>
        <w:pStyle w:val="ListParagraph"/>
        <w:numPr>
          <w:ilvl w:val="0"/>
          <w:numId w:val="2"/>
        </w:numPr>
        <w:spacing w:after="80"/>
      </w:pPr>
      <w:r>
        <w:t>PPF: Rs.1.5 lakh per earner per year, fully utilised and held to maturity, yields Rs.40-60 lakh per individual over 25 years a</w:t>
      </w:r>
      <w:r>
        <w:t>t 7.1%.</w:t>
      </w:r>
    </w:p>
    <w:p w:rsidR="00A5712E" w:rsidRDefault="004009FE">
      <w:pPr>
        <w:pStyle w:val="ListParagraph"/>
        <w:numPr>
          <w:ilvl w:val="0"/>
          <w:numId w:val="2"/>
        </w:numPr>
        <w:spacing w:after="80"/>
      </w:pPr>
      <w:r>
        <w:t xml:space="preserve">NPS Tier-1: the additional 80CCD(1B) </w:t>
      </w:r>
      <w:proofErr w:type="gramStart"/>
      <w:r>
        <w:t>Rs.50,000</w:t>
      </w:r>
      <w:proofErr w:type="gramEnd"/>
      <w:r>
        <w:t xml:space="preserve"> plus any employer NPS contribution; partially tax-free at 60.</w:t>
      </w:r>
    </w:p>
    <w:p w:rsidR="00A5712E" w:rsidRDefault="004009FE">
      <w:pPr>
        <w:pStyle w:val="ListParagraph"/>
        <w:numPr>
          <w:ilvl w:val="0"/>
          <w:numId w:val="2"/>
        </w:numPr>
        <w:spacing w:after="80"/>
      </w:pPr>
      <w:r>
        <w:t>Equity mutual funds (SIP): long-horizon equity at 11-12% CAGR pre-tax has historically been the single most effective retirement vehicle in</w:t>
      </w:r>
      <w:r>
        <w:t xml:space="preserve"> India.</w:t>
      </w:r>
    </w:p>
    <w:p w:rsidR="00A5712E" w:rsidRDefault="004009FE">
      <w:pPr>
        <w:pStyle w:val="ListParagraph"/>
        <w:numPr>
          <w:ilvl w:val="0"/>
          <w:numId w:val="2"/>
        </w:numPr>
        <w:spacing w:after="80"/>
      </w:pPr>
      <w:r>
        <w:t xml:space="preserve">Real estate rental income: useful for </w:t>
      </w:r>
      <w:proofErr w:type="spellStart"/>
      <w:r>
        <w:t>cashflow</w:t>
      </w:r>
      <w:proofErr w:type="spellEnd"/>
      <w:r>
        <w:t xml:space="preserve"> in retirement; risky as the primary corpus because it is illiquid.</w:t>
      </w:r>
    </w:p>
    <w:p w:rsidR="00A5712E" w:rsidRDefault="004009FE">
      <w:pPr>
        <w:pStyle w:val="Heading2"/>
      </w:pPr>
      <w:r>
        <w:t>De-risking glide path for retirement</w:t>
      </w:r>
    </w:p>
    <w:p w:rsidR="00A5712E" w:rsidRDefault="004009FE">
      <w:pPr>
        <w:spacing w:after="120"/>
        <w:jc w:val="both"/>
      </w:pPr>
      <w:r>
        <w:t>From horizon T-5 (5 years before retirement), begin shifting roughly 10 percentage points per yea</w:t>
      </w:r>
      <w:r>
        <w:t>r from equity to short-duration debt. By T-0 (retirement), the corpus should be roughly 30/70 equity/debt and explicitly structured for monthly withdrawal via an SWP from a debt fund or a laddered FD and SCSS combination.</w:t>
      </w:r>
    </w:p>
    <w:p w:rsidR="00A5712E" w:rsidRDefault="00A5712E"/>
    <w:p w:rsidR="00A5712E" w:rsidRDefault="004009FE">
      <w:pPr>
        <w:pStyle w:val="Heading1"/>
      </w:pPr>
      <w:r>
        <w:t>18. Common Red Flags in Indian Ho</w:t>
      </w:r>
      <w:r>
        <w:t>usehold Portfolios</w:t>
      </w:r>
    </w:p>
    <w:p w:rsidR="00A5712E" w:rsidRDefault="004009FE">
      <w:pPr>
        <w:spacing w:after="120"/>
        <w:jc w:val="both"/>
      </w:pPr>
      <w:r>
        <w:t>Most household plans fail not because the advisor missed a clever product but because one of the following structural problems went unaddressed.</w:t>
      </w:r>
    </w:p>
    <w:p w:rsidR="00A5712E" w:rsidRDefault="004009FE">
      <w:pPr>
        <w:pStyle w:val="Heading2"/>
      </w:pPr>
      <w:r>
        <w:t>Red flag 1 - EMI-to-income above 50%</w:t>
      </w:r>
    </w:p>
    <w:p w:rsidR="00A5712E" w:rsidRDefault="004009FE">
      <w:pPr>
        <w:spacing w:after="120"/>
        <w:jc w:val="both"/>
      </w:pPr>
      <w:r>
        <w:t>When total EMIs consume more than half of net monthly i</w:t>
      </w:r>
      <w:r>
        <w:t>ncome, the household has no genuine investment capacity. The plan begins with deleveraging - prepaying personal and car loans first, then partial home-loan prepayment - not with starting SIPs.</w:t>
      </w:r>
    </w:p>
    <w:p w:rsidR="00A5712E" w:rsidRDefault="004009FE">
      <w:pPr>
        <w:pStyle w:val="Heading2"/>
      </w:pPr>
      <w:r>
        <w:t>Red flag 2 - Concentration in a single direct equity name</w:t>
      </w:r>
    </w:p>
    <w:p w:rsidR="00A5712E" w:rsidRDefault="004009FE">
      <w:pPr>
        <w:spacing w:after="120"/>
        <w:jc w:val="both"/>
      </w:pPr>
      <w:r>
        <w:t>Often</w:t>
      </w:r>
      <w:r>
        <w:t xml:space="preserve"> an ESOP or inherited holding worth 20-40% of net worth in a single company. Trim systematically over 12-24 months, harvesting LTCG exemption each year, redeploying into a diversified equity portfolio.</w:t>
      </w:r>
    </w:p>
    <w:p w:rsidR="00A5712E" w:rsidRDefault="004009FE">
      <w:pPr>
        <w:pStyle w:val="Heading2"/>
      </w:pPr>
      <w:r>
        <w:t>Red flag 3 - Endowment and ULIP stack over 5% of income</w:t>
      </w:r>
    </w:p>
    <w:p w:rsidR="00A5712E" w:rsidRDefault="004009FE">
      <w:pPr>
        <w:spacing w:after="120"/>
        <w:jc w:val="both"/>
      </w:pPr>
      <w:r>
        <w:t xml:space="preserve">Multiple endowment and ULIP policies consuming 5-10% of annual income in premiums for combined cover that is inadequate. Triage each policy: surrender, convert to paid-up, or complete; redeploy the freed-up </w:t>
      </w:r>
      <w:proofErr w:type="spellStart"/>
      <w:r>
        <w:t>cashflow</w:t>
      </w:r>
      <w:proofErr w:type="spellEnd"/>
      <w:r>
        <w:t xml:space="preserve"> into term insurance and diversified equi</w:t>
      </w:r>
      <w:r>
        <w:t>ty.</w:t>
      </w:r>
    </w:p>
    <w:p w:rsidR="00A5712E" w:rsidRDefault="004009FE">
      <w:pPr>
        <w:pStyle w:val="Heading2"/>
      </w:pPr>
      <w:r>
        <w:lastRenderedPageBreak/>
        <w:t>Red flag 4 - Inadequate term cover for primary earner</w:t>
      </w:r>
    </w:p>
    <w:p w:rsidR="00A5712E" w:rsidRDefault="004009FE">
      <w:pPr>
        <w:spacing w:after="120"/>
        <w:jc w:val="both"/>
      </w:pPr>
      <w:r>
        <w:t>Almost every household on first intake holds less term cover than the Human Life Value formula recommends. Remedy: a pure term plan to fill the gap, before any further investment discussion.</w:t>
      </w:r>
    </w:p>
    <w:p w:rsidR="00A5712E" w:rsidRDefault="004009FE">
      <w:pPr>
        <w:pStyle w:val="Heading2"/>
      </w:pPr>
      <w:r>
        <w:t>Red fla</w:t>
      </w:r>
      <w:r>
        <w:t>g 5 - Equity in a goal under 3 years away</w:t>
      </w:r>
    </w:p>
    <w:p w:rsidR="00A5712E" w:rsidRDefault="004009FE">
      <w:pPr>
        <w:spacing w:after="120"/>
        <w:jc w:val="both"/>
      </w:pPr>
      <w:r>
        <w:t>A household with a child entering college in 2 years and the education corpus still sitting in equity mutual funds is one 20% correction away from a deferred admission. Glide the imminent goal to short-duration deb</w:t>
      </w:r>
      <w:r>
        <w:t>t at least 24-36 months out.</w:t>
      </w:r>
    </w:p>
    <w:p w:rsidR="00A5712E" w:rsidRDefault="004009FE">
      <w:pPr>
        <w:pStyle w:val="Heading2"/>
      </w:pPr>
      <w:r>
        <w:t>Red flag 6 - No emergency fund with full SIP commitment</w:t>
      </w:r>
    </w:p>
    <w:p w:rsidR="00A5712E" w:rsidRDefault="004009FE">
      <w:pPr>
        <w:spacing w:after="120"/>
        <w:jc w:val="both"/>
      </w:pPr>
      <w:r>
        <w:t xml:space="preserve">A household running a </w:t>
      </w:r>
      <w:proofErr w:type="gramStart"/>
      <w:r>
        <w:t>Rs.50,000</w:t>
      </w:r>
      <w:proofErr w:type="gramEnd"/>
      <w:r>
        <w:t xml:space="preserve"> per month SIP with Rs.30,000 in a savings account is one job loss away from a forced equity redemption at the worst possible time. Pause SI</w:t>
      </w:r>
      <w:r>
        <w:t>Ps, build the emergency fund first, then resume.</w:t>
      </w:r>
    </w:p>
    <w:p w:rsidR="00A5712E" w:rsidRDefault="004009FE">
      <w:pPr>
        <w:pStyle w:val="Heading2"/>
      </w:pPr>
      <w:r>
        <w:t>Red flag 7 - All debt allocation in bank FDs</w:t>
      </w:r>
    </w:p>
    <w:p w:rsidR="00A5712E" w:rsidRDefault="004009FE">
      <w:pPr>
        <w:spacing w:after="120"/>
        <w:jc w:val="both"/>
      </w:pPr>
      <w:r>
        <w:t>Post-tax yield on a 7% FD for a 30% bracket investor is roughly 4.9%. The same investor moving the bulk of that to PPF (7.1%, tax-free) and EPF or NPS earns 200-3</w:t>
      </w:r>
      <w:r>
        <w:t>00 basis points more per annum after tax for the same risk profile.</w:t>
      </w:r>
    </w:p>
    <w:p w:rsidR="00A5712E" w:rsidRDefault="004009FE">
      <w:pPr>
        <w:pStyle w:val="Heading2"/>
      </w:pPr>
      <w:r>
        <w:t>Red flag 8 - Real estate above 60% of net worth</w:t>
      </w:r>
    </w:p>
    <w:p w:rsidR="00A5712E" w:rsidRDefault="004009FE">
      <w:pPr>
        <w:spacing w:after="120"/>
        <w:jc w:val="both"/>
      </w:pPr>
      <w:r>
        <w:t>Common in the 45-60 age band. The next decade's investment plan should add zero rupees to real estate. New flows go entirely to financial as</w:t>
      </w:r>
      <w:r>
        <w:t>sets until the share rebalances naturally.</w:t>
      </w:r>
    </w:p>
    <w:p w:rsidR="00A5712E" w:rsidRDefault="00A5712E"/>
    <w:p w:rsidR="00A5712E" w:rsidRDefault="00A5712E">
      <w:bookmarkStart w:id="0" w:name="_GoBack"/>
      <w:bookmarkEnd w:id="0"/>
    </w:p>
    <w:p w:rsidR="00A5712E" w:rsidRDefault="004009FE">
      <w:pPr>
        <w:spacing w:after="120"/>
        <w:jc w:val="both"/>
      </w:pPr>
      <w:r>
        <w:t>Disclaimer: This playbook is general guidance compiled for use as a reference corpus in an AI-driven advisor</w:t>
      </w:r>
      <w:r>
        <w:t>y platform RAG pipeline. It does not constitute SEBI-registered investment advice for any specific individual. All figures are current as of FY 2025-26 and should be updated after each Union Budget and quarterly small-savings rate notification.</w:t>
      </w:r>
    </w:p>
    <w:sectPr w:rsidR="00A5712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567B1C"/>
    <w:multiLevelType w:val="hybridMultilevel"/>
    <w:tmpl w:val="7F624AD2"/>
    <w:lvl w:ilvl="0" w:tplc="D25C9892">
      <w:start w:val="1"/>
      <w:numFmt w:val="bullet"/>
      <w:lvlText w:val="•"/>
      <w:lvlJc w:val="left"/>
      <w:pPr>
        <w:ind w:left="720" w:hanging="360"/>
      </w:pPr>
    </w:lvl>
    <w:lvl w:ilvl="1" w:tplc="A7C22D04">
      <w:numFmt w:val="decimal"/>
      <w:lvlText w:val=""/>
      <w:lvlJc w:val="left"/>
    </w:lvl>
    <w:lvl w:ilvl="2" w:tplc="609E29D8">
      <w:numFmt w:val="decimal"/>
      <w:lvlText w:val=""/>
      <w:lvlJc w:val="left"/>
    </w:lvl>
    <w:lvl w:ilvl="3" w:tplc="AEBE3BAA">
      <w:numFmt w:val="decimal"/>
      <w:lvlText w:val=""/>
      <w:lvlJc w:val="left"/>
    </w:lvl>
    <w:lvl w:ilvl="4" w:tplc="3ED86A98">
      <w:numFmt w:val="decimal"/>
      <w:lvlText w:val=""/>
      <w:lvlJc w:val="left"/>
    </w:lvl>
    <w:lvl w:ilvl="5" w:tplc="DC5C308E">
      <w:numFmt w:val="decimal"/>
      <w:lvlText w:val=""/>
      <w:lvlJc w:val="left"/>
    </w:lvl>
    <w:lvl w:ilvl="6" w:tplc="18664AEC">
      <w:numFmt w:val="decimal"/>
      <w:lvlText w:val=""/>
      <w:lvlJc w:val="left"/>
    </w:lvl>
    <w:lvl w:ilvl="7" w:tplc="CE30AF3C">
      <w:numFmt w:val="decimal"/>
      <w:lvlText w:val=""/>
      <w:lvlJc w:val="left"/>
    </w:lvl>
    <w:lvl w:ilvl="8" w:tplc="3BD26618">
      <w:numFmt w:val="decimal"/>
      <w:lvlText w:val=""/>
      <w:lvlJc w:val="left"/>
    </w:lvl>
  </w:abstractNum>
  <w:abstractNum w:abstractNumId="1" w15:restartNumberingAfterBreak="0">
    <w:nsid w:val="54F460B3"/>
    <w:multiLevelType w:val="hybridMultilevel"/>
    <w:tmpl w:val="FFD8C9F0"/>
    <w:lvl w:ilvl="0" w:tplc="AE904708">
      <w:start w:val="1"/>
      <w:numFmt w:val="bullet"/>
      <w:lvlText w:val="●"/>
      <w:lvlJc w:val="left"/>
      <w:pPr>
        <w:ind w:left="720" w:hanging="360"/>
      </w:pPr>
    </w:lvl>
    <w:lvl w:ilvl="1" w:tplc="89AE37A8">
      <w:start w:val="1"/>
      <w:numFmt w:val="bullet"/>
      <w:lvlText w:val="○"/>
      <w:lvlJc w:val="left"/>
      <w:pPr>
        <w:ind w:left="1440" w:hanging="360"/>
      </w:pPr>
    </w:lvl>
    <w:lvl w:ilvl="2" w:tplc="9162FB9E">
      <w:start w:val="1"/>
      <w:numFmt w:val="bullet"/>
      <w:lvlText w:val="■"/>
      <w:lvlJc w:val="left"/>
      <w:pPr>
        <w:ind w:left="2160" w:hanging="360"/>
      </w:pPr>
    </w:lvl>
    <w:lvl w:ilvl="3" w:tplc="96B63D28">
      <w:start w:val="1"/>
      <w:numFmt w:val="bullet"/>
      <w:lvlText w:val="●"/>
      <w:lvlJc w:val="left"/>
      <w:pPr>
        <w:ind w:left="2880" w:hanging="360"/>
      </w:pPr>
    </w:lvl>
    <w:lvl w:ilvl="4" w:tplc="9DF66FEC">
      <w:start w:val="1"/>
      <w:numFmt w:val="bullet"/>
      <w:lvlText w:val="○"/>
      <w:lvlJc w:val="left"/>
      <w:pPr>
        <w:ind w:left="3600" w:hanging="360"/>
      </w:pPr>
    </w:lvl>
    <w:lvl w:ilvl="5" w:tplc="2188A4A6">
      <w:start w:val="1"/>
      <w:numFmt w:val="bullet"/>
      <w:lvlText w:val="■"/>
      <w:lvlJc w:val="left"/>
      <w:pPr>
        <w:ind w:left="4320" w:hanging="360"/>
      </w:pPr>
    </w:lvl>
    <w:lvl w:ilvl="6" w:tplc="1B529532">
      <w:start w:val="1"/>
      <w:numFmt w:val="bullet"/>
      <w:lvlText w:val="●"/>
      <w:lvlJc w:val="left"/>
      <w:pPr>
        <w:ind w:left="5040" w:hanging="360"/>
      </w:pPr>
    </w:lvl>
    <w:lvl w:ilvl="7" w:tplc="02FCF50A">
      <w:start w:val="1"/>
      <w:numFmt w:val="bullet"/>
      <w:lvlText w:val="●"/>
      <w:lvlJc w:val="left"/>
      <w:pPr>
        <w:ind w:left="5760" w:hanging="360"/>
      </w:pPr>
    </w:lvl>
    <w:lvl w:ilvl="8" w:tplc="3C64138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12E"/>
    <w:rsid w:val="004009FE"/>
    <w:rsid w:val="00A571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D06CF"/>
  <w15:docId w15:val="{D5B4F005-CDA9-4CA1-BEC9-9E297C52A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0B2545"/>
      <w:sz w:val="32"/>
      <w:szCs w:val="32"/>
    </w:rPr>
  </w:style>
  <w:style w:type="paragraph" w:styleId="Heading2">
    <w:name w:val="heading 2"/>
    <w:qFormat/>
    <w:pPr>
      <w:spacing w:before="240" w:after="80"/>
      <w:outlineLvl w:val="1"/>
    </w:pPr>
    <w:rPr>
      <w:b/>
      <w:bCs/>
      <w:color w:val="0B254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5209</Words>
  <Characters>29694</Characters>
  <Application>Microsoft Office Word</Application>
  <DocSecurity>0</DocSecurity>
  <Lines>247</Lines>
  <Paragraphs>69</Paragraphs>
  <ScaleCrop>false</ScaleCrop>
  <Company/>
  <LinksUpToDate>false</LinksUpToDate>
  <CharactersWithSpaces>34834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cp:lastModifiedBy>
  <cp:revision>2</cp:revision>
  <dcterms:created xsi:type="dcterms:W3CDTF">2026-05-30T02:26:00Z</dcterms:created>
  <dcterms:modified xsi:type="dcterms:W3CDTF">2026-05-30T02:30:00Z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9cecf984-38f8-4c6d-91fd-4aefa39a3950</vt:lpwstr>
  </property>
</Properties>
</file>