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6CEC" w14:textId="332C9D25" w:rsidR="00936A3E" w:rsidRPr="008A0A8D" w:rsidRDefault="00323230" w:rsidP="00936A3E">
      <w:pPr>
        <w:pStyle w:val="NoSpacing"/>
        <w:jc w:val="center"/>
        <w:rPr>
          <w:rFonts w:asciiTheme="majorHAnsi" w:hAnsiTheme="majorHAnsi" w:cstheme="majorHAnsi"/>
          <w:sz w:val="32"/>
          <w:szCs w:val="32"/>
          <w:u w:val="single"/>
        </w:rPr>
      </w:pPr>
      <w:r>
        <w:rPr>
          <w:rFonts w:asciiTheme="majorHAnsi" w:hAnsiTheme="majorHAnsi" w:cstheme="majorHAnsi"/>
          <w:sz w:val="32"/>
          <w:szCs w:val="32"/>
          <w:u w:val="single"/>
        </w:rPr>
        <w:t>Analysing Singapore’s First 100 Covid-19 Cases</w:t>
      </w:r>
    </w:p>
    <w:p w14:paraId="3F1A81A9" w14:textId="77777777" w:rsidR="00936A3E" w:rsidRPr="008A0A8D" w:rsidRDefault="00936A3E" w:rsidP="00936A3E">
      <w:pPr>
        <w:pStyle w:val="NoSpacing"/>
        <w:jc w:val="center"/>
        <w:rPr>
          <w:rFonts w:asciiTheme="majorHAnsi" w:hAnsiTheme="majorHAnsi" w:cstheme="majorHAnsi"/>
          <w:sz w:val="32"/>
          <w:szCs w:val="32"/>
          <w:u w:val="single"/>
        </w:rPr>
      </w:pPr>
      <w:r w:rsidRPr="008A0A8D">
        <w:rPr>
          <w:rFonts w:asciiTheme="majorHAnsi" w:hAnsiTheme="majorHAnsi" w:cstheme="majorHAnsi"/>
          <w:sz w:val="32"/>
          <w:szCs w:val="32"/>
          <w:u w:val="single"/>
        </w:rPr>
        <w:t>Ravneet Kaur</w:t>
      </w:r>
    </w:p>
    <w:p w14:paraId="76ED07C2" w14:textId="77777777" w:rsidR="00936A3E" w:rsidRDefault="00936A3E" w:rsidP="00936A3E">
      <w:pPr>
        <w:pStyle w:val="NoSpacing"/>
        <w:jc w:val="center"/>
        <w:rPr>
          <w:rFonts w:asciiTheme="majorHAnsi" w:hAnsiTheme="majorHAnsi" w:cstheme="majorHAnsi"/>
          <w:sz w:val="32"/>
          <w:szCs w:val="32"/>
          <w:u w:val="single"/>
        </w:rPr>
      </w:pPr>
      <w:r w:rsidRPr="008A0A8D">
        <w:rPr>
          <w:rFonts w:asciiTheme="majorHAnsi" w:hAnsiTheme="majorHAnsi" w:cstheme="majorHAnsi"/>
          <w:sz w:val="32"/>
          <w:szCs w:val="32"/>
          <w:u w:val="single"/>
        </w:rPr>
        <w:t>A0194965J</w:t>
      </w:r>
    </w:p>
    <w:p w14:paraId="4C2B83CF" w14:textId="6B28762B" w:rsidR="003B30E2" w:rsidRDefault="003B30E2"/>
    <w:p w14:paraId="0DA72FA5" w14:textId="586D9305" w:rsidR="00577C0E" w:rsidRDefault="00577C0E">
      <w:pPr>
        <w:rPr>
          <w:sz w:val="28"/>
          <w:szCs w:val="28"/>
          <w:u w:val="single"/>
        </w:rPr>
      </w:pPr>
      <w:r w:rsidRPr="00577C0E">
        <w:rPr>
          <w:sz w:val="28"/>
          <w:szCs w:val="28"/>
          <w:u w:val="single"/>
        </w:rPr>
        <w:t>Description of Dataset</w:t>
      </w:r>
      <w:r>
        <w:rPr>
          <w:sz w:val="28"/>
          <w:szCs w:val="28"/>
          <w:u w:val="single"/>
        </w:rPr>
        <w:t>:</w:t>
      </w:r>
    </w:p>
    <w:tbl>
      <w:tblPr>
        <w:tblStyle w:val="TableGrid"/>
        <w:tblW w:w="0" w:type="auto"/>
        <w:tblLook w:val="04A0" w:firstRow="1" w:lastRow="0" w:firstColumn="1" w:lastColumn="0" w:noHBand="0" w:noVBand="1"/>
      </w:tblPr>
      <w:tblGrid>
        <w:gridCol w:w="2122"/>
        <w:gridCol w:w="1842"/>
        <w:gridCol w:w="5052"/>
      </w:tblGrid>
      <w:tr w:rsidR="00984C85" w14:paraId="2074D932" w14:textId="77777777" w:rsidTr="005F0B8D">
        <w:tc>
          <w:tcPr>
            <w:tcW w:w="2122" w:type="dxa"/>
          </w:tcPr>
          <w:p w14:paraId="4A882D93" w14:textId="3C79E422" w:rsidR="00984C85" w:rsidRPr="00984C85" w:rsidRDefault="00984C85">
            <w:pPr>
              <w:rPr>
                <w:b/>
                <w:bCs/>
                <w:sz w:val="24"/>
                <w:szCs w:val="24"/>
              </w:rPr>
            </w:pPr>
            <w:r w:rsidRPr="00984C85">
              <w:rPr>
                <w:b/>
                <w:bCs/>
                <w:sz w:val="24"/>
                <w:szCs w:val="24"/>
              </w:rPr>
              <w:t>Column Name</w:t>
            </w:r>
          </w:p>
        </w:tc>
        <w:tc>
          <w:tcPr>
            <w:tcW w:w="1842" w:type="dxa"/>
          </w:tcPr>
          <w:p w14:paraId="6549391E" w14:textId="509B46D6" w:rsidR="00984C85" w:rsidRPr="00984C85" w:rsidRDefault="00984C85">
            <w:pPr>
              <w:rPr>
                <w:b/>
                <w:bCs/>
                <w:sz w:val="24"/>
                <w:szCs w:val="24"/>
              </w:rPr>
            </w:pPr>
            <w:r w:rsidRPr="00984C85">
              <w:rPr>
                <w:b/>
                <w:bCs/>
                <w:sz w:val="24"/>
                <w:szCs w:val="24"/>
              </w:rPr>
              <w:t>Attribute Type</w:t>
            </w:r>
          </w:p>
        </w:tc>
        <w:tc>
          <w:tcPr>
            <w:tcW w:w="5052" w:type="dxa"/>
          </w:tcPr>
          <w:p w14:paraId="45211023" w14:textId="1A119D89" w:rsidR="00984C85" w:rsidRPr="00984C85" w:rsidRDefault="00984C85">
            <w:pPr>
              <w:rPr>
                <w:b/>
                <w:bCs/>
                <w:sz w:val="24"/>
                <w:szCs w:val="24"/>
              </w:rPr>
            </w:pPr>
            <w:r w:rsidRPr="00984C85">
              <w:rPr>
                <w:b/>
                <w:bCs/>
                <w:sz w:val="24"/>
                <w:szCs w:val="24"/>
              </w:rPr>
              <w:t>Description</w:t>
            </w:r>
          </w:p>
        </w:tc>
      </w:tr>
      <w:tr w:rsidR="00984C85" w14:paraId="034AD5FD" w14:textId="77777777" w:rsidTr="005F0B8D">
        <w:tc>
          <w:tcPr>
            <w:tcW w:w="2122" w:type="dxa"/>
          </w:tcPr>
          <w:p w14:paraId="3DBD1BC5" w14:textId="0CF5821C" w:rsidR="00984C85" w:rsidRDefault="00B454F4">
            <w:pPr>
              <w:rPr>
                <w:sz w:val="24"/>
                <w:szCs w:val="24"/>
              </w:rPr>
            </w:pPr>
            <w:r>
              <w:rPr>
                <w:sz w:val="24"/>
                <w:szCs w:val="24"/>
              </w:rPr>
              <w:t>Confirmed Case ID</w:t>
            </w:r>
          </w:p>
        </w:tc>
        <w:tc>
          <w:tcPr>
            <w:tcW w:w="1842" w:type="dxa"/>
          </w:tcPr>
          <w:p w14:paraId="1ADF2EC8" w14:textId="1000743C" w:rsidR="00984C85" w:rsidRDefault="005F0B8D">
            <w:pPr>
              <w:rPr>
                <w:sz w:val="24"/>
                <w:szCs w:val="24"/>
              </w:rPr>
            </w:pPr>
            <w:r>
              <w:rPr>
                <w:sz w:val="24"/>
                <w:szCs w:val="24"/>
              </w:rPr>
              <w:t>Categorial</w:t>
            </w:r>
          </w:p>
        </w:tc>
        <w:tc>
          <w:tcPr>
            <w:tcW w:w="5052" w:type="dxa"/>
          </w:tcPr>
          <w:p w14:paraId="7F127CCE" w14:textId="79159547" w:rsidR="00984C85" w:rsidRDefault="00B454F4">
            <w:pPr>
              <w:rPr>
                <w:sz w:val="24"/>
                <w:szCs w:val="24"/>
              </w:rPr>
            </w:pPr>
            <w:r>
              <w:rPr>
                <w:sz w:val="24"/>
                <w:szCs w:val="24"/>
              </w:rPr>
              <w:t>ID number of the case</w:t>
            </w:r>
          </w:p>
        </w:tc>
      </w:tr>
      <w:tr w:rsidR="00984C85" w14:paraId="0ECDE9E1" w14:textId="77777777" w:rsidTr="005F0B8D">
        <w:tc>
          <w:tcPr>
            <w:tcW w:w="2122" w:type="dxa"/>
          </w:tcPr>
          <w:p w14:paraId="68FFF4CB" w14:textId="42226F3B" w:rsidR="00984C85" w:rsidRDefault="00B454F4">
            <w:pPr>
              <w:rPr>
                <w:sz w:val="24"/>
                <w:szCs w:val="24"/>
              </w:rPr>
            </w:pPr>
            <w:r>
              <w:rPr>
                <w:sz w:val="24"/>
                <w:szCs w:val="24"/>
              </w:rPr>
              <w:t>Date of Arrival in Singapore</w:t>
            </w:r>
          </w:p>
        </w:tc>
        <w:tc>
          <w:tcPr>
            <w:tcW w:w="1842" w:type="dxa"/>
          </w:tcPr>
          <w:p w14:paraId="3E5EFE31" w14:textId="341D9B95" w:rsidR="00984C85" w:rsidRDefault="005F0B8D">
            <w:pPr>
              <w:rPr>
                <w:sz w:val="24"/>
                <w:szCs w:val="24"/>
              </w:rPr>
            </w:pPr>
            <w:r>
              <w:rPr>
                <w:sz w:val="24"/>
                <w:szCs w:val="24"/>
              </w:rPr>
              <w:t>Quantitative</w:t>
            </w:r>
          </w:p>
        </w:tc>
        <w:tc>
          <w:tcPr>
            <w:tcW w:w="5052" w:type="dxa"/>
          </w:tcPr>
          <w:p w14:paraId="5D4A849A" w14:textId="38772B1D" w:rsidR="00984C85" w:rsidRDefault="00B454F4">
            <w:pPr>
              <w:rPr>
                <w:sz w:val="24"/>
                <w:szCs w:val="24"/>
              </w:rPr>
            </w:pPr>
            <w:r>
              <w:rPr>
                <w:sz w:val="24"/>
                <w:szCs w:val="24"/>
              </w:rPr>
              <w:t>Date when the patient arrived. Value can be empty incase the case was already residing in Singapore</w:t>
            </w:r>
          </w:p>
        </w:tc>
      </w:tr>
      <w:tr w:rsidR="00984C85" w14:paraId="4DBC5EA6" w14:textId="77777777" w:rsidTr="005F0B8D">
        <w:tc>
          <w:tcPr>
            <w:tcW w:w="2122" w:type="dxa"/>
          </w:tcPr>
          <w:p w14:paraId="0C921FBA" w14:textId="5FC6371A" w:rsidR="00984C85" w:rsidRDefault="00B454F4">
            <w:pPr>
              <w:rPr>
                <w:sz w:val="24"/>
                <w:szCs w:val="24"/>
              </w:rPr>
            </w:pPr>
            <w:r>
              <w:rPr>
                <w:sz w:val="24"/>
                <w:szCs w:val="24"/>
              </w:rPr>
              <w:t>Date Announced by MoH</w:t>
            </w:r>
          </w:p>
        </w:tc>
        <w:tc>
          <w:tcPr>
            <w:tcW w:w="1842" w:type="dxa"/>
          </w:tcPr>
          <w:p w14:paraId="5CD7E4E1" w14:textId="58F57D84" w:rsidR="00984C85" w:rsidRDefault="005F0B8D">
            <w:pPr>
              <w:rPr>
                <w:sz w:val="24"/>
                <w:szCs w:val="24"/>
              </w:rPr>
            </w:pPr>
            <w:r>
              <w:rPr>
                <w:sz w:val="24"/>
                <w:szCs w:val="24"/>
              </w:rPr>
              <w:t>Quantitative</w:t>
            </w:r>
          </w:p>
        </w:tc>
        <w:tc>
          <w:tcPr>
            <w:tcW w:w="5052" w:type="dxa"/>
          </w:tcPr>
          <w:p w14:paraId="6174826C" w14:textId="7D0083E1" w:rsidR="00984C85" w:rsidRDefault="00B454F4">
            <w:pPr>
              <w:rPr>
                <w:sz w:val="24"/>
                <w:szCs w:val="24"/>
              </w:rPr>
            </w:pPr>
            <w:r>
              <w:rPr>
                <w:sz w:val="24"/>
                <w:szCs w:val="24"/>
              </w:rPr>
              <w:t>Date of press release by MoH of the case (Ministry of Health)</w:t>
            </w:r>
          </w:p>
        </w:tc>
      </w:tr>
      <w:tr w:rsidR="00984C85" w14:paraId="11194E01" w14:textId="77777777" w:rsidTr="005F0B8D">
        <w:tc>
          <w:tcPr>
            <w:tcW w:w="2122" w:type="dxa"/>
          </w:tcPr>
          <w:p w14:paraId="4E87D1FB" w14:textId="02D00530" w:rsidR="00984C85" w:rsidRDefault="00B454F4">
            <w:pPr>
              <w:rPr>
                <w:sz w:val="24"/>
                <w:szCs w:val="24"/>
              </w:rPr>
            </w:pPr>
            <w:r>
              <w:rPr>
                <w:sz w:val="24"/>
                <w:szCs w:val="24"/>
              </w:rPr>
              <w:t>Date of Symptoms</w:t>
            </w:r>
          </w:p>
        </w:tc>
        <w:tc>
          <w:tcPr>
            <w:tcW w:w="1842" w:type="dxa"/>
          </w:tcPr>
          <w:p w14:paraId="4B8F758E" w14:textId="5CDD1F79" w:rsidR="00984C85" w:rsidRDefault="005F0B8D">
            <w:pPr>
              <w:rPr>
                <w:sz w:val="24"/>
                <w:szCs w:val="24"/>
              </w:rPr>
            </w:pPr>
            <w:r>
              <w:rPr>
                <w:sz w:val="24"/>
                <w:szCs w:val="24"/>
              </w:rPr>
              <w:t>Quantitative</w:t>
            </w:r>
          </w:p>
        </w:tc>
        <w:tc>
          <w:tcPr>
            <w:tcW w:w="5052" w:type="dxa"/>
          </w:tcPr>
          <w:p w14:paraId="599DAD97" w14:textId="34B8CB25" w:rsidR="00984C85" w:rsidRDefault="00B454F4">
            <w:pPr>
              <w:rPr>
                <w:sz w:val="24"/>
                <w:szCs w:val="24"/>
              </w:rPr>
            </w:pPr>
            <w:r>
              <w:rPr>
                <w:sz w:val="24"/>
                <w:szCs w:val="24"/>
              </w:rPr>
              <w:t>Date when the patient first experienced symptoms.</w:t>
            </w:r>
          </w:p>
        </w:tc>
      </w:tr>
      <w:tr w:rsidR="00984C85" w14:paraId="4E2E50F9" w14:textId="77777777" w:rsidTr="005F0B8D">
        <w:tc>
          <w:tcPr>
            <w:tcW w:w="2122" w:type="dxa"/>
          </w:tcPr>
          <w:p w14:paraId="12D22F2B" w14:textId="02B2D445" w:rsidR="00984C85" w:rsidRDefault="00B454F4">
            <w:pPr>
              <w:rPr>
                <w:sz w:val="24"/>
                <w:szCs w:val="24"/>
              </w:rPr>
            </w:pPr>
            <w:r>
              <w:rPr>
                <w:sz w:val="24"/>
                <w:szCs w:val="24"/>
              </w:rPr>
              <w:t>Date of Admission to Hospital</w:t>
            </w:r>
          </w:p>
        </w:tc>
        <w:tc>
          <w:tcPr>
            <w:tcW w:w="1842" w:type="dxa"/>
          </w:tcPr>
          <w:p w14:paraId="24683DF1" w14:textId="4B71B168" w:rsidR="00984C85" w:rsidRDefault="00B454F4">
            <w:pPr>
              <w:rPr>
                <w:sz w:val="24"/>
                <w:szCs w:val="24"/>
              </w:rPr>
            </w:pPr>
            <w:r>
              <w:rPr>
                <w:sz w:val="24"/>
                <w:szCs w:val="24"/>
              </w:rPr>
              <w:t>Quantitative</w:t>
            </w:r>
          </w:p>
        </w:tc>
        <w:tc>
          <w:tcPr>
            <w:tcW w:w="5052" w:type="dxa"/>
          </w:tcPr>
          <w:p w14:paraId="4E1D1EAA" w14:textId="5B075CF2" w:rsidR="00984C85" w:rsidRDefault="00B454F4">
            <w:pPr>
              <w:rPr>
                <w:sz w:val="24"/>
                <w:szCs w:val="24"/>
              </w:rPr>
            </w:pPr>
            <w:r>
              <w:rPr>
                <w:sz w:val="24"/>
                <w:szCs w:val="24"/>
              </w:rPr>
              <w:t>Date of patient admission to the hospital</w:t>
            </w:r>
          </w:p>
        </w:tc>
      </w:tr>
      <w:tr w:rsidR="00B454F4" w14:paraId="7AF11741" w14:textId="77777777" w:rsidTr="005F0B8D">
        <w:tc>
          <w:tcPr>
            <w:tcW w:w="2122" w:type="dxa"/>
          </w:tcPr>
          <w:p w14:paraId="2ACD5BE0" w14:textId="33DA69BC" w:rsidR="00B454F4" w:rsidRDefault="00B454F4">
            <w:pPr>
              <w:rPr>
                <w:sz w:val="24"/>
                <w:szCs w:val="24"/>
              </w:rPr>
            </w:pPr>
            <w:r>
              <w:rPr>
                <w:sz w:val="24"/>
                <w:szCs w:val="24"/>
              </w:rPr>
              <w:t>Date Confirmed Positive</w:t>
            </w:r>
          </w:p>
        </w:tc>
        <w:tc>
          <w:tcPr>
            <w:tcW w:w="1842" w:type="dxa"/>
          </w:tcPr>
          <w:p w14:paraId="234A7499" w14:textId="2225765D" w:rsidR="00B454F4" w:rsidRDefault="00B454F4">
            <w:pPr>
              <w:rPr>
                <w:sz w:val="24"/>
                <w:szCs w:val="24"/>
              </w:rPr>
            </w:pPr>
            <w:r>
              <w:rPr>
                <w:sz w:val="24"/>
                <w:szCs w:val="24"/>
              </w:rPr>
              <w:t>Quantitative</w:t>
            </w:r>
          </w:p>
        </w:tc>
        <w:tc>
          <w:tcPr>
            <w:tcW w:w="5052" w:type="dxa"/>
          </w:tcPr>
          <w:p w14:paraId="7A67CB59" w14:textId="43B2DC90" w:rsidR="00B454F4" w:rsidRDefault="00B454F4">
            <w:pPr>
              <w:rPr>
                <w:sz w:val="24"/>
                <w:szCs w:val="24"/>
              </w:rPr>
            </w:pPr>
            <w:r>
              <w:rPr>
                <w:sz w:val="24"/>
                <w:szCs w:val="24"/>
              </w:rPr>
              <w:t>Date of Covid19 confirmation</w:t>
            </w:r>
          </w:p>
        </w:tc>
      </w:tr>
      <w:tr w:rsidR="00B454F4" w14:paraId="6FE9CE5C" w14:textId="77777777" w:rsidTr="005F0B8D">
        <w:tc>
          <w:tcPr>
            <w:tcW w:w="2122" w:type="dxa"/>
          </w:tcPr>
          <w:p w14:paraId="59C36654" w14:textId="50E8C813" w:rsidR="00B454F4" w:rsidRDefault="00B454F4">
            <w:pPr>
              <w:rPr>
                <w:sz w:val="24"/>
                <w:szCs w:val="24"/>
              </w:rPr>
            </w:pPr>
            <w:r>
              <w:rPr>
                <w:sz w:val="24"/>
                <w:szCs w:val="24"/>
              </w:rPr>
              <w:t>Date Discharged</w:t>
            </w:r>
          </w:p>
        </w:tc>
        <w:tc>
          <w:tcPr>
            <w:tcW w:w="1842" w:type="dxa"/>
          </w:tcPr>
          <w:p w14:paraId="38398E17" w14:textId="123A9DF6" w:rsidR="00B454F4" w:rsidRDefault="00B454F4">
            <w:pPr>
              <w:rPr>
                <w:sz w:val="24"/>
                <w:szCs w:val="24"/>
              </w:rPr>
            </w:pPr>
            <w:r>
              <w:rPr>
                <w:sz w:val="24"/>
                <w:szCs w:val="24"/>
              </w:rPr>
              <w:t>Quantitative</w:t>
            </w:r>
          </w:p>
        </w:tc>
        <w:tc>
          <w:tcPr>
            <w:tcW w:w="5052" w:type="dxa"/>
          </w:tcPr>
          <w:p w14:paraId="130CDF93" w14:textId="261A64EC" w:rsidR="00B454F4" w:rsidRDefault="00B454F4">
            <w:pPr>
              <w:rPr>
                <w:sz w:val="24"/>
                <w:szCs w:val="24"/>
              </w:rPr>
            </w:pPr>
            <w:r>
              <w:rPr>
                <w:sz w:val="24"/>
                <w:szCs w:val="24"/>
              </w:rPr>
              <w:t>Date when the patient was discharged</w:t>
            </w:r>
          </w:p>
        </w:tc>
      </w:tr>
      <w:tr w:rsidR="00B454F4" w14:paraId="3C1B2821" w14:textId="77777777" w:rsidTr="005F0B8D">
        <w:tc>
          <w:tcPr>
            <w:tcW w:w="2122" w:type="dxa"/>
          </w:tcPr>
          <w:p w14:paraId="5CF6A338" w14:textId="4105C19C" w:rsidR="00B454F4" w:rsidRDefault="00B454F4">
            <w:pPr>
              <w:rPr>
                <w:sz w:val="24"/>
                <w:szCs w:val="24"/>
              </w:rPr>
            </w:pPr>
            <w:r>
              <w:rPr>
                <w:sz w:val="24"/>
                <w:szCs w:val="24"/>
              </w:rPr>
              <w:t>Category</w:t>
            </w:r>
          </w:p>
        </w:tc>
        <w:tc>
          <w:tcPr>
            <w:tcW w:w="1842" w:type="dxa"/>
          </w:tcPr>
          <w:p w14:paraId="7CE08404" w14:textId="644264AE" w:rsidR="00B454F4" w:rsidRDefault="00B454F4">
            <w:pPr>
              <w:rPr>
                <w:sz w:val="24"/>
                <w:szCs w:val="24"/>
              </w:rPr>
            </w:pPr>
            <w:r>
              <w:rPr>
                <w:sz w:val="24"/>
                <w:szCs w:val="24"/>
              </w:rPr>
              <w:t>Categorical</w:t>
            </w:r>
          </w:p>
        </w:tc>
        <w:tc>
          <w:tcPr>
            <w:tcW w:w="5052" w:type="dxa"/>
          </w:tcPr>
          <w:p w14:paraId="4C358424" w14:textId="645187DD" w:rsidR="00B454F4" w:rsidRDefault="00B454F4">
            <w:pPr>
              <w:rPr>
                <w:sz w:val="24"/>
                <w:szCs w:val="24"/>
              </w:rPr>
            </w:pPr>
            <w:r>
              <w:rPr>
                <w:sz w:val="24"/>
                <w:szCs w:val="24"/>
              </w:rPr>
              <w:t>Label to describe whether case was local or imported</w:t>
            </w:r>
          </w:p>
        </w:tc>
      </w:tr>
      <w:tr w:rsidR="00B454F4" w14:paraId="7B4AB55D" w14:textId="77777777" w:rsidTr="005F0B8D">
        <w:tc>
          <w:tcPr>
            <w:tcW w:w="2122" w:type="dxa"/>
          </w:tcPr>
          <w:p w14:paraId="569985E5" w14:textId="56A2A6AC" w:rsidR="00B454F4" w:rsidRDefault="00B454F4">
            <w:pPr>
              <w:rPr>
                <w:sz w:val="24"/>
                <w:szCs w:val="24"/>
              </w:rPr>
            </w:pPr>
            <w:r>
              <w:rPr>
                <w:sz w:val="24"/>
                <w:szCs w:val="24"/>
              </w:rPr>
              <w:t>Nationality</w:t>
            </w:r>
          </w:p>
        </w:tc>
        <w:tc>
          <w:tcPr>
            <w:tcW w:w="1842" w:type="dxa"/>
          </w:tcPr>
          <w:p w14:paraId="5AB28997" w14:textId="31870252" w:rsidR="00B454F4" w:rsidRDefault="00B454F4">
            <w:pPr>
              <w:rPr>
                <w:sz w:val="24"/>
                <w:szCs w:val="24"/>
              </w:rPr>
            </w:pPr>
            <w:r>
              <w:rPr>
                <w:sz w:val="24"/>
                <w:szCs w:val="24"/>
              </w:rPr>
              <w:t>Categorical</w:t>
            </w:r>
          </w:p>
        </w:tc>
        <w:tc>
          <w:tcPr>
            <w:tcW w:w="5052" w:type="dxa"/>
          </w:tcPr>
          <w:p w14:paraId="0E55592C" w14:textId="480D3143" w:rsidR="00B454F4" w:rsidRDefault="00B454F4">
            <w:pPr>
              <w:rPr>
                <w:sz w:val="24"/>
                <w:szCs w:val="24"/>
              </w:rPr>
            </w:pPr>
            <w:r>
              <w:rPr>
                <w:sz w:val="24"/>
                <w:szCs w:val="24"/>
              </w:rPr>
              <w:t>Nationality of the patient</w:t>
            </w:r>
          </w:p>
        </w:tc>
      </w:tr>
      <w:tr w:rsidR="00B454F4" w14:paraId="3F09B3D9" w14:textId="77777777" w:rsidTr="005F0B8D">
        <w:tc>
          <w:tcPr>
            <w:tcW w:w="2122" w:type="dxa"/>
          </w:tcPr>
          <w:p w14:paraId="1EE66D6F" w14:textId="0099E926" w:rsidR="00B454F4" w:rsidRDefault="00B454F4">
            <w:pPr>
              <w:rPr>
                <w:sz w:val="24"/>
                <w:szCs w:val="24"/>
              </w:rPr>
            </w:pPr>
            <w:r>
              <w:rPr>
                <w:sz w:val="24"/>
                <w:szCs w:val="24"/>
              </w:rPr>
              <w:t>Age</w:t>
            </w:r>
          </w:p>
        </w:tc>
        <w:tc>
          <w:tcPr>
            <w:tcW w:w="1842" w:type="dxa"/>
          </w:tcPr>
          <w:p w14:paraId="0901105F" w14:textId="38335729" w:rsidR="00B454F4" w:rsidRDefault="00B454F4">
            <w:pPr>
              <w:rPr>
                <w:sz w:val="24"/>
                <w:szCs w:val="24"/>
              </w:rPr>
            </w:pPr>
            <w:r>
              <w:rPr>
                <w:sz w:val="24"/>
                <w:szCs w:val="24"/>
              </w:rPr>
              <w:t>Quantitative</w:t>
            </w:r>
          </w:p>
        </w:tc>
        <w:tc>
          <w:tcPr>
            <w:tcW w:w="5052" w:type="dxa"/>
          </w:tcPr>
          <w:p w14:paraId="08DDC636" w14:textId="6BA05EF2" w:rsidR="00B454F4" w:rsidRDefault="00B454F4">
            <w:pPr>
              <w:rPr>
                <w:sz w:val="24"/>
                <w:szCs w:val="24"/>
              </w:rPr>
            </w:pPr>
            <w:r>
              <w:rPr>
                <w:sz w:val="24"/>
                <w:szCs w:val="24"/>
              </w:rPr>
              <w:t>Age of the patient</w:t>
            </w:r>
          </w:p>
        </w:tc>
      </w:tr>
      <w:tr w:rsidR="00B454F4" w14:paraId="5BC50D38" w14:textId="77777777" w:rsidTr="005F0B8D">
        <w:tc>
          <w:tcPr>
            <w:tcW w:w="2122" w:type="dxa"/>
          </w:tcPr>
          <w:p w14:paraId="1FC50F69" w14:textId="5BD82F1E" w:rsidR="00B454F4" w:rsidRDefault="00B454F4">
            <w:pPr>
              <w:rPr>
                <w:sz w:val="24"/>
                <w:szCs w:val="24"/>
              </w:rPr>
            </w:pPr>
            <w:r>
              <w:rPr>
                <w:sz w:val="24"/>
                <w:szCs w:val="24"/>
              </w:rPr>
              <w:t>Gender</w:t>
            </w:r>
          </w:p>
        </w:tc>
        <w:tc>
          <w:tcPr>
            <w:tcW w:w="1842" w:type="dxa"/>
          </w:tcPr>
          <w:p w14:paraId="65ECEE9B" w14:textId="69050C17" w:rsidR="00B454F4" w:rsidRDefault="00B454F4">
            <w:pPr>
              <w:rPr>
                <w:sz w:val="24"/>
                <w:szCs w:val="24"/>
              </w:rPr>
            </w:pPr>
            <w:r>
              <w:rPr>
                <w:sz w:val="24"/>
                <w:szCs w:val="24"/>
              </w:rPr>
              <w:t>Categorical</w:t>
            </w:r>
          </w:p>
        </w:tc>
        <w:tc>
          <w:tcPr>
            <w:tcW w:w="5052" w:type="dxa"/>
          </w:tcPr>
          <w:p w14:paraId="4D8AAABE" w14:textId="31552073" w:rsidR="00B454F4" w:rsidRDefault="00B454F4">
            <w:pPr>
              <w:rPr>
                <w:sz w:val="24"/>
                <w:szCs w:val="24"/>
              </w:rPr>
            </w:pPr>
            <w:r>
              <w:rPr>
                <w:sz w:val="24"/>
                <w:szCs w:val="24"/>
              </w:rPr>
              <w:t>Gender of the patient</w:t>
            </w:r>
          </w:p>
        </w:tc>
      </w:tr>
    </w:tbl>
    <w:p w14:paraId="28DD1461" w14:textId="092CE11C" w:rsidR="00DC47DC" w:rsidRDefault="00041650" w:rsidP="001136DA">
      <w:pPr>
        <w:tabs>
          <w:tab w:val="left" w:pos="3285"/>
        </w:tabs>
        <w:jc w:val="both"/>
        <w:rPr>
          <w:sz w:val="24"/>
          <w:szCs w:val="24"/>
        </w:rPr>
      </w:pPr>
      <w:r>
        <w:rPr>
          <w:sz w:val="24"/>
          <w:szCs w:val="24"/>
        </w:rPr>
        <w:t xml:space="preserve">Source: </w:t>
      </w:r>
      <w:hyperlink r:id="rId6" w:history="1">
        <w:r w:rsidR="00B454F4">
          <w:rPr>
            <w:rStyle w:val="Hyperlink"/>
          </w:rPr>
          <w:t>https://github.com/chuachinhon/covid_sg</w:t>
        </w:r>
      </w:hyperlink>
    </w:p>
    <w:p w14:paraId="77E45EA1" w14:textId="77777777" w:rsidR="004912BD" w:rsidRDefault="004912BD" w:rsidP="00C749EE">
      <w:pPr>
        <w:pStyle w:val="NoSpacing"/>
        <w:rPr>
          <w:rFonts w:asciiTheme="majorHAnsi" w:hAnsiTheme="majorHAnsi" w:cstheme="majorHAnsi"/>
          <w:sz w:val="28"/>
          <w:szCs w:val="28"/>
          <w:u w:val="single"/>
        </w:rPr>
      </w:pPr>
    </w:p>
    <w:p w14:paraId="77B76E41" w14:textId="548E7326" w:rsidR="00C749EE" w:rsidRPr="00C749EE" w:rsidRDefault="00C749EE" w:rsidP="00C749EE">
      <w:pPr>
        <w:pStyle w:val="NoSpacing"/>
        <w:rPr>
          <w:rFonts w:asciiTheme="majorHAnsi" w:hAnsiTheme="majorHAnsi" w:cstheme="majorHAnsi"/>
          <w:sz w:val="28"/>
          <w:szCs w:val="28"/>
          <w:u w:val="single"/>
        </w:rPr>
      </w:pPr>
      <w:r w:rsidRPr="00C749EE">
        <w:rPr>
          <w:rFonts w:asciiTheme="majorHAnsi" w:hAnsiTheme="majorHAnsi" w:cstheme="majorHAnsi"/>
          <w:sz w:val="28"/>
          <w:szCs w:val="28"/>
          <w:u w:val="single"/>
        </w:rPr>
        <w:t>Purpose of the Visualization:</w:t>
      </w:r>
    </w:p>
    <w:p w14:paraId="30C126CC" w14:textId="1C94B06B" w:rsidR="00B454F4" w:rsidRDefault="00C749EE" w:rsidP="00041650">
      <w:pPr>
        <w:pStyle w:val="NoSpacing"/>
        <w:jc w:val="both"/>
        <w:rPr>
          <w:rFonts w:asciiTheme="majorHAnsi" w:hAnsiTheme="majorHAnsi" w:cstheme="majorHAnsi"/>
          <w:sz w:val="24"/>
          <w:szCs w:val="24"/>
        </w:rPr>
      </w:pPr>
      <w:r>
        <w:rPr>
          <w:rFonts w:asciiTheme="majorHAnsi" w:hAnsiTheme="majorHAnsi" w:cstheme="majorHAnsi"/>
          <w:sz w:val="24"/>
          <w:szCs w:val="24"/>
        </w:rPr>
        <w:t>The purpose of the visualization is</w:t>
      </w:r>
      <w:r w:rsidR="00B454F4">
        <w:rPr>
          <w:rFonts w:asciiTheme="majorHAnsi" w:hAnsiTheme="majorHAnsi" w:cstheme="majorHAnsi"/>
          <w:sz w:val="24"/>
          <w:szCs w:val="24"/>
        </w:rPr>
        <w:t xml:space="preserve"> to</w:t>
      </w:r>
      <w:r w:rsidR="00222912">
        <w:rPr>
          <w:rFonts w:asciiTheme="majorHAnsi" w:hAnsiTheme="majorHAnsi" w:cstheme="majorHAnsi"/>
          <w:sz w:val="24"/>
          <w:szCs w:val="24"/>
        </w:rPr>
        <w:t xml:space="preserve"> </w:t>
      </w:r>
      <w:r w:rsidR="00B454F4">
        <w:rPr>
          <w:rFonts w:asciiTheme="majorHAnsi" w:hAnsiTheme="majorHAnsi" w:cstheme="majorHAnsi"/>
          <w:sz w:val="24"/>
          <w:szCs w:val="24"/>
        </w:rPr>
        <w:t xml:space="preserve">analyse the lifecycle from the time the patient first experiences symptoms till the patient is fully discharged. Essentially, it compares the ‘Confirmation-Discharged Window’ with the ‘Symptoms-Confirmation Window’. It also gives a view on the </w:t>
      </w:r>
      <w:r w:rsidR="008A6669">
        <w:rPr>
          <w:rFonts w:asciiTheme="majorHAnsi" w:hAnsiTheme="majorHAnsi" w:cstheme="majorHAnsi"/>
          <w:sz w:val="24"/>
          <w:szCs w:val="24"/>
        </w:rPr>
        <w:t>average time taken by the first 100 fully recovered cases to get discharged.</w:t>
      </w:r>
    </w:p>
    <w:p w14:paraId="155E6B5F" w14:textId="77777777" w:rsidR="00ED44FE" w:rsidRPr="00C749EE" w:rsidRDefault="00ED44FE" w:rsidP="00041650">
      <w:pPr>
        <w:pStyle w:val="NoSpacing"/>
        <w:jc w:val="both"/>
        <w:rPr>
          <w:rFonts w:asciiTheme="majorHAnsi" w:hAnsiTheme="majorHAnsi" w:cstheme="majorHAnsi"/>
          <w:sz w:val="24"/>
          <w:szCs w:val="24"/>
        </w:rPr>
      </w:pPr>
    </w:p>
    <w:p w14:paraId="731BDDFE" w14:textId="30F70863" w:rsidR="00C749EE" w:rsidRDefault="00C749EE" w:rsidP="00041650">
      <w:pPr>
        <w:pStyle w:val="NoSpacing"/>
        <w:jc w:val="both"/>
        <w:rPr>
          <w:rFonts w:asciiTheme="majorHAnsi" w:hAnsiTheme="majorHAnsi" w:cstheme="majorHAnsi"/>
          <w:sz w:val="28"/>
          <w:szCs w:val="28"/>
          <w:u w:val="single"/>
        </w:rPr>
      </w:pPr>
      <w:r w:rsidRPr="00C749EE">
        <w:rPr>
          <w:rFonts w:asciiTheme="majorHAnsi" w:hAnsiTheme="majorHAnsi" w:cstheme="majorHAnsi"/>
          <w:sz w:val="28"/>
          <w:szCs w:val="28"/>
          <w:u w:val="single"/>
        </w:rPr>
        <w:t>Description of the Visualization:</w:t>
      </w:r>
    </w:p>
    <w:p w14:paraId="63031579" w14:textId="33DF9D32" w:rsidR="006B4A62" w:rsidRDefault="008A6669" w:rsidP="008A6669">
      <w:pPr>
        <w:pStyle w:val="NoSpacing"/>
        <w:numPr>
          <w:ilvl w:val="0"/>
          <w:numId w:val="2"/>
        </w:numPr>
        <w:jc w:val="both"/>
        <w:rPr>
          <w:rFonts w:asciiTheme="majorHAnsi" w:hAnsiTheme="majorHAnsi" w:cstheme="majorHAnsi"/>
          <w:sz w:val="24"/>
          <w:szCs w:val="24"/>
        </w:rPr>
      </w:pPr>
      <w:r w:rsidRPr="008A6669">
        <w:rPr>
          <w:rFonts w:asciiTheme="majorHAnsi" w:hAnsiTheme="majorHAnsi" w:cstheme="majorHAnsi"/>
          <w:sz w:val="24"/>
          <w:szCs w:val="24"/>
        </w:rPr>
        <w:t xml:space="preserve">Here, each circle represents a case. The lifecycle of Covid-19 has been defined </w:t>
      </w:r>
      <w:r w:rsidR="006B4A62" w:rsidRPr="008A6669">
        <w:rPr>
          <w:rFonts w:asciiTheme="majorHAnsi" w:hAnsiTheme="majorHAnsi" w:cstheme="majorHAnsi"/>
          <w:sz w:val="24"/>
          <w:szCs w:val="24"/>
        </w:rPr>
        <w:t>as</w:t>
      </w:r>
      <w:r w:rsidR="006B4A62">
        <w:rPr>
          <w:rFonts w:asciiTheme="majorHAnsi" w:hAnsiTheme="majorHAnsi" w:cstheme="majorHAnsi"/>
          <w:sz w:val="24"/>
          <w:szCs w:val="24"/>
        </w:rPr>
        <w:t xml:space="preserve"> -</w:t>
      </w:r>
      <w:r w:rsidRPr="008A6669">
        <w:rPr>
          <w:rFonts w:asciiTheme="majorHAnsi" w:hAnsiTheme="majorHAnsi" w:cstheme="majorHAnsi"/>
          <w:sz w:val="24"/>
          <w:szCs w:val="24"/>
        </w:rPr>
        <w:t xml:space="preserve"> not </w:t>
      </w:r>
      <w:r w:rsidR="006B4A62">
        <w:rPr>
          <w:rFonts w:asciiTheme="majorHAnsi" w:hAnsiTheme="majorHAnsi" w:cstheme="majorHAnsi"/>
          <w:sz w:val="24"/>
          <w:szCs w:val="24"/>
        </w:rPr>
        <w:t>i</w:t>
      </w:r>
      <w:r w:rsidRPr="008A6669">
        <w:rPr>
          <w:rFonts w:asciiTheme="majorHAnsi" w:hAnsiTheme="majorHAnsi" w:cstheme="majorHAnsi"/>
          <w:sz w:val="24"/>
          <w:szCs w:val="24"/>
        </w:rPr>
        <w:t>nfected, date of admission</w:t>
      </w:r>
      <w:r w:rsidR="006B4A62">
        <w:rPr>
          <w:rFonts w:asciiTheme="majorHAnsi" w:hAnsiTheme="majorHAnsi" w:cstheme="majorHAnsi"/>
          <w:sz w:val="24"/>
          <w:szCs w:val="24"/>
        </w:rPr>
        <w:t xml:space="preserve"> to the hospital, date of Covid19 confirmation and date of discharged.</w:t>
      </w:r>
    </w:p>
    <w:p w14:paraId="299BBA7A" w14:textId="1AEFFF4E" w:rsidR="004912BD" w:rsidRDefault="006B4A62" w:rsidP="008A6669">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Each circle (or cases) goes through the different stages of this lifecycle.</w:t>
      </w:r>
    </w:p>
    <w:p w14:paraId="042210C8" w14:textId="40901000" w:rsidR="00F7514A" w:rsidRDefault="00F7514A" w:rsidP="008A6669">
      <w:pPr>
        <w:pStyle w:val="NoSpacing"/>
        <w:numPr>
          <w:ilvl w:val="0"/>
          <w:numId w:val="2"/>
        </w:numPr>
        <w:jc w:val="both"/>
        <w:rPr>
          <w:rFonts w:asciiTheme="majorHAnsi" w:hAnsiTheme="majorHAnsi" w:cstheme="majorHAnsi"/>
          <w:sz w:val="24"/>
          <w:szCs w:val="24"/>
        </w:rPr>
      </w:pPr>
      <w:r>
        <w:rPr>
          <w:rFonts w:asciiTheme="majorHAnsi" w:hAnsiTheme="majorHAnsi" w:cstheme="majorHAnsi"/>
          <w:sz w:val="24"/>
          <w:szCs w:val="24"/>
        </w:rPr>
        <w:t>It took a total of 55 days for the first 100 fully recovered to go through the cycle of Covid-19</w:t>
      </w:r>
      <w:r w:rsidR="005E0782">
        <w:rPr>
          <w:rFonts w:asciiTheme="majorHAnsi" w:hAnsiTheme="majorHAnsi" w:cstheme="majorHAnsi"/>
          <w:sz w:val="24"/>
          <w:szCs w:val="24"/>
        </w:rPr>
        <w:t>.</w:t>
      </w:r>
    </w:p>
    <w:p w14:paraId="1D7D2FA2" w14:textId="01F044C0" w:rsidR="006B4A62" w:rsidRPr="006B4A62" w:rsidRDefault="006B4A62" w:rsidP="006B4A62">
      <w:pPr>
        <w:pStyle w:val="NoSpacing"/>
        <w:ind w:left="360"/>
        <w:jc w:val="both"/>
        <w:rPr>
          <w:rFonts w:asciiTheme="majorHAnsi" w:hAnsiTheme="majorHAnsi" w:cstheme="majorHAnsi"/>
          <w:sz w:val="24"/>
          <w:szCs w:val="24"/>
          <w:u w:val="single"/>
        </w:rPr>
      </w:pPr>
      <w:r w:rsidRPr="006B4A62">
        <w:rPr>
          <w:rFonts w:asciiTheme="majorHAnsi" w:hAnsiTheme="majorHAnsi" w:cstheme="majorHAnsi"/>
          <w:sz w:val="24"/>
          <w:szCs w:val="24"/>
          <w:u w:val="single"/>
        </w:rPr>
        <w:t>Analysis of the confirmation-discharged window:</w:t>
      </w:r>
    </w:p>
    <w:p w14:paraId="798A34A4" w14:textId="25ABD4A8" w:rsidR="006B4A62" w:rsidRDefault="006B4A62" w:rsidP="006B4A62">
      <w:pPr>
        <w:pStyle w:val="NoSpacing"/>
        <w:ind w:left="360"/>
        <w:jc w:val="both"/>
        <w:rPr>
          <w:rFonts w:asciiTheme="majorHAnsi" w:hAnsiTheme="majorHAnsi" w:cstheme="majorHAnsi"/>
          <w:sz w:val="24"/>
          <w:szCs w:val="24"/>
        </w:rPr>
      </w:pPr>
      <w:r>
        <w:rPr>
          <w:rFonts w:asciiTheme="majorHAnsi" w:hAnsiTheme="majorHAnsi" w:cstheme="majorHAnsi"/>
          <w:sz w:val="24"/>
          <w:szCs w:val="24"/>
        </w:rPr>
        <w:t>The window signifies the number of days between a patient’s Covid-19 confirmation date, and his/her official discharged data as announced by MoH. They are 2 key observations:</w:t>
      </w:r>
    </w:p>
    <w:p w14:paraId="4C09EC13" w14:textId="47EEC40A" w:rsidR="00C73F45" w:rsidRDefault="00C73F45" w:rsidP="00C73F45">
      <w:pPr>
        <w:pStyle w:val="NoSpacing"/>
        <w:numPr>
          <w:ilvl w:val="0"/>
          <w:numId w:val="6"/>
        </w:numPr>
        <w:jc w:val="both"/>
        <w:rPr>
          <w:rFonts w:asciiTheme="majorHAnsi" w:hAnsiTheme="majorHAnsi" w:cstheme="majorHAnsi"/>
          <w:sz w:val="24"/>
          <w:szCs w:val="24"/>
        </w:rPr>
      </w:pPr>
      <w:r>
        <w:rPr>
          <w:rFonts w:asciiTheme="majorHAnsi" w:hAnsiTheme="majorHAnsi" w:cstheme="majorHAnsi"/>
          <w:sz w:val="24"/>
          <w:szCs w:val="24"/>
        </w:rPr>
        <w:lastRenderedPageBreak/>
        <w:t xml:space="preserve">There is a notable spike of infections especially in the early days of the pandemic. The proportions of confirmed cases were much more than those that have been discharged. </w:t>
      </w:r>
      <w:r w:rsidR="00F7514A">
        <w:rPr>
          <w:rFonts w:asciiTheme="majorHAnsi" w:hAnsiTheme="majorHAnsi" w:cstheme="majorHAnsi"/>
          <w:sz w:val="24"/>
          <w:szCs w:val="24"/>
        </w:rPr>
        <w:t>This is in line with observation that Covid-19 is 3x more contagious that a common cold [1].</w:t>
      </w:r>
    </w:p>
    <w:p w14:paraId="2DE38C0D" w14:textId="19F8FAE3" w:rsidR="00696376" w:rsidRDefault="00696376" w:rsidP="00C73F45">
      <w:pPr>
        <w:pStyle w:val="NoSpacing"/>
        <w:numPr>
          <w:ilvl w:val="0"/>
          <w:numId w:val="6"/>
        </w:numPr>
        <w:jc w:val="both"/>
        <w:rPr>
          <w:rFonts w:asciiTheme="majorHAnsi" w:hAnsiTheme="majorHAnsi" w:cstheme="majorHAnsi"/>
          <w:sz w:val="24"/>
          <w:szCs w:val="24"/>
        </w:rPr>
      </w:pPr>
      <w:r>
        <w:rPr>
          <w:rFonts w:asciiTheme="majorHAnsi" w:hAnsiTheme="majorHAnsi" w:cstheme="majorHAnsi"/>
          <w:sz w:val="24"/>
          <w:szCs w:val="24"/>
        </w:rPr>
        <w:t>The recoveries are slow as compared to the rate of confirmation. As there is no cure for the virus, the treatment continues to be support treatment. This also proves why healthcare system can become easily overwhelmed incase of an uncontrolled outbreak (eg: Italy).</w:t>
      </w:r>
    </w:p>
    <w:p w14:paraId="3AA05542" w14:textId="77777777" w:rsidR="006B4A62" w:rsidRDefault="006B4A62" w:rsidP="006B4A62">
      <w:pPr>
        <w:pStyle w:val="NoSpacing"/>
        <w:jc w:val="both"/>
        <w:rPr>
          <w:rFonts w:asciiTheme="majorHAnsi" w:hAnsiTheme="majorHAnsi" w:cstheme="majorHAnsi"/>
          <w:sz w:val="24"/>
          <w:szCs w:val="24"/>
        </w:rPr>
      </w:pPr>
    </w:p>
    <w:p w14:paraId="7C1B766C" w14:textId="77777777" w:rsidR="006B4A62" w:rsidRDefault="006B4A62" w:rsidP="006B4A62">
      <w:pPr>
        <w:pStyle w:val="NoSpacing"/>
        <w:ind w:left="360"/>
        <w:jc w:val="both"/>
        <w:rPr>
          <w:rFonts w:asciiTheme="majorHAnsi" w:hAnsiTheme="majorHAnsi" w:cstheme="majorHAnsi"/>
          <w:sz w:val="24"/>
          <w:szCs w:val="24"/>
          <w:u w:val="single"/>
        </w:rPr>
      </w:pPr>
      <w:r w:rsidRPr="006B4A62">
        <w:rPr>
          <w:rFonts w:asciiTheme="majorHAnsi" w:hAnsiTheme="majorHAnsi" w:cstheme="majorHAnsi"/>
          <w:sz w:val="24"/>
          <w:szCs w:val="24"/>
          <w:u w:val="single"/>
        </w:rPr>
        <w:t>Analysis of the symptoms-confirmation window:</w:t>
      </w:r>
    </w:p>
    <w:p w14:paraId="573B72B3" w14:textId="3912E243" w:rsidR="004912BD" w:rsidRDefault="006B4A62" w:rsidP="006B4A62">
      <w:pPr>
        <w:pStyle w:val="NoSpacing"/>
        <w:ind w:left="360"/>
        <w:jc w:val="both"/>
        <w:rPr>
          <w:rFonts w:asciiTheme="majorHAnsi" w:hAnsiTheme="majorHAnsi" w:cstheme="majorHAnsi"/>
          <w:sz w:val="24"/>
          <w:szCs w:val="24"/>
        </w:rPr>
      </w:pPr>
      <w:r>
        <w:rPr>
          <w:rFonts w:asciiTheme="majorHAnsi" w:hAnsiTheme="majorHAnsi" w:cstheme="majorHAnsi"/>
          <w:sz w:val="24"/>
          <w:szCs w:val="24"/>
        </w:rPr>
        <w:t>It signifies the number of days between the reported onset of symptoms and the official confirmation of the infection. From the visualization we can observe:</w:t>
      </w:r>
    </w:p>
    <w:p w14:paraId="247EE5AE" w14:textId="37F4DDD3" w:rsidR="00C73F45" w:rsidRDefault="00C73F45" w:rsidP="00C73F45">
      <w:pPr>
        <w:pStyle w:val="NoSpacing"/>
        <w:numPr>
          <w:ilvl w:val="0"/>
          <w:numId w:val="6"/>
        </w:numPr>
        <w:jc w:val="both"/>
        <w:rPr>
          <w:rFonts w:asciiTheme="majorHAnsi" w:hAnsiTheme="majorHAnsi" w:cstheme="majorHAnsi"/>
          <w:sz w:val="24"/>
          <w:szCs w:val="24"/>
        </w:rPr>
      </w:pPr>
      <w:r>
        <w:rPr>
          <w:rFonts w:asciiTheme="majorHAnsi" w:hAnsiTheme="majorHAnsi" w:cstheme="majorHAnsi"/>
          <w:sz w:val="24"/>
          <w:szCs w:val="24"/>
        </w:rPr>
        <w:t>Singapore has managed to decrease the wait time between the</w:t>
      </w:r>
      <w:r w:rsidR="00241A23">
        <w:rPr>
          <w:rFonts w:asciiTheme="majorHAnsi" w:hAnsiTheme="majorHAnsi" w:cstheme="majorHAnsi"/>
          <w:sz w:val="24"/>
          <w:szCs w:val="24"/>
        </w:rPr>
        <w:t xml:space="preserve"> date when the symptoms are first reported and the date</w:t>
      </w:r>
      <w:r>
        <w:rPr>
          <w:rFonts w:asciiTheme="majorHAnsi" w:hAnsiTheme="majorHAnsi" w:cstheme="majorHAnsi"/>
          <w:sz w:val="24"/>
          <w:szCs w:val="24"/>
        </w:rPr>
        <w:t xml:space="preserve"> </w:t>
      </w:r>
      <w:r w:rsidR="00241A23">
        <w:rPr>
          <w:rFonts w:asciiTheme="majorHAnsi" w:hAnsiTheme="majorHAnsi" w:cstheme="majorHAnsi"/>
          <w:sz w:val="24"/>
          <w:szCs w:val="24"/>
        </w:rPr>
        <w:t xml:space="preserve">of confirmation. This can be attributed to </w:t>
      </w:r>
      <w:r w:rsidR="00F7514A">
        <w:rPr>
          <w:rFonts w:asciiTheme="majorHAnsi" w:hAnsiTheme="majorHAnsi" w:cstheme="majorHAnsi"/>
          <w:sz w:val="24"/>
          <w:szCs w:val="24"/>
        </w:rPr>
        <w:t xml:space="preserve">the </w:t>
      </w:r>
      <w:hyperlink r:id="rId7" w:history="1">
        <w:r w:rsidR="00F7514A" w:rsidRPr="00F7514A">
          <w:rPr>
            <w:rStyle w:val="Hyperlink"/>
            <w:rFonts w:asciiTheme="majorHAnsi" w:hAnsiTheme="majorHAnsi" w:cstheme="majorHAnsi"/>
            <w:sz w:val="24"/>
            <w:szCs w:val="24"/>
          </w:rPr>
          <w:t>new tes</w:t>
        </w:r>
        <w:r w:rsidR="00F7514A" w:rsidRPr="00F7514A">
          <w:rPr>
            <w:rStyle w:val="Hyperlink"/>
            <w:rFonts w:asciiTheme="majorHAnsi" w:hAnsiTheme="majorHAnsi" w:cstheme="majorHAnsi"/>
            <w:sz w:val="24"/>
            <w:szCs w:val="24"/>
          </w:rPr>
          <w:t>t</w:t>
        </w:r>
        <w:r w:rsidR="00F7514A" w:rsidRPr="00F7514A">
          <w:rPr>
            <w:rStyle w:val="Hyperlink"/>
            <w:rFonts w:asciiTheme="majorHAnsi" w:hAnsiTheme="majorHAnsi" w:cstheme="majorHAnsi"/>
            <w:sz w:val="24"/>
            <w:szCs w:val="24"/>
          </w:rPr>
          <w:t>ing kits</w:t>
        </w:r>
      </w:hyperlink>
      <w:r w:rsidR="00F7514A">
        <w:rPr>
          <w:rFonts w:asciiTheme="majorHAnsi" w:hAnsiTheme="majorHAnsi" w:cstheme="majorHAnsi"/>
          <w:sz w:val="24"/>
          <w:szCs w:val="24"/>
        </w:rPr>
        <w:t xml:space="preserve"> that have been developed.</w:t>
      </w:r>
    </w:p>
    <w:p w14:paraId="5FC3DABD" w14:textId="77AB7619" w:rsidR="00F7514A" w:rsidRDefault="00F7514A" w:rsidP="00F7514A">
      <w:pPr>
        <w:pStyle w:val="NoSpacing"/>
        <w:jc w:val="both"/>
        <w:rPr>
          <w:rFonts w:asciiTheme="majorHAnsi" w:hAnsiTheme="majorHAnsi" w:cstheme="majorHAnsi"/>
          <w:sz w:val="24"/>
          <w:szCs w:val="24"/>
        </w:rPr>
      </w:pPr>
    </w:p>
    <w:p w14:paraId="07DE9D70" w14:textId="022411BF" w:rsidR="00F7514A" w:rsidRDefault="00F7514A" w:rsidP="00F7514A">
      <w:pPr>
        <w:pStyle w:val="NoSpacing"/>
        <w:jc w:val="both"/>
      </w:pPr>
      <w:r>
        <w:rPr>
          <w:rFonts w:asciiTheme="majorHAnsi" w:hAnsiTheme="majorHAnsi" w:cstheme="majorHAnsi"/>
          <w:sz w:val="24"/>
          <w:szCs w:val="24"/>
        </w:rPr>
        <w:t>[1]:</w:t>
      </w:r>
      <w:hyperlink r:id="rId8" w:history="1">
        <w:r w:rsidRPr="003E7D6B">
          <w:rPr>
            <w:rStyle w:val="Hyperlink"/>
          </w:rPr>
          <w:t>https://www.channelnewsasia.com/news/cnainsider/scale-of-covid-19-contagion-may-be-more-serious-than-we-think-12437412</w:t>
        </w:r>
      </w:hyperlink>
    </w:p>
    <w:p w14:paraId="3CC98B41" w14:textId="77777777" w:rsidR="00F7514A" w:rsidRDefault="00F7514A" w:rsidP="00F7514A">
      <w:pPr>
        <w:pStyle w:val="NoSpacing"/>
        <w:jc w:val="both"/>
        <w:rPr>
          <w:rFonts w:asciiTheme="majorHAnsi" w:hAnsiTheme="majorHAnsi" w:cstheme="majorHAnsi"/>
          <w:sz w:val="24"/>
          <w:szCs w:val="24"/>
        </w:rPr>
      </w:pPr>
    </w:p>
    <w:p w14:paraId="76250094" w14:textId="5E150D11" w:rsidR="00C749EE" w:rsidRPr="00C749EE" w:rsidRDefault="00C749EE" w:rsidP="00C749EE">
      <w:pPr>
        <w:pStyle w:val="NoSpacing"/>
        <w:rPr>
          <w:rFonts w:asciiTheme="majorHAnsi" w:hAnsiTheme="majorHAnsi" w:cstheme="majorHAnsi"/>
          <w:sz w:val="28"/>
          <w:szCs w:val="28"/>
          <w:u w:val="single"/>
        </w:rPr>
      </w:pPr>
      <w:r w:rsidRPr="00C749EE">
        <w:rPr>
          <w:rFonts w:asciiTheme="majorHAnsi" w:hAnsiTheme="majorHAnsi" w:cstheme="majorHAnsi"/>
          <w:sz w:val="28"/>
          <w:szCs w:val="28"/>
          <w:u w:val="single"/>
        </w:rPr>
        <w:t>Screenshot of the Visualization:</w:t>
      </w:r>
    </w:p>
    <w:p w14:paraId="68A32861" w14:textId="1EAC13A6" w:rsidR="00C749EE" w:rsidRDefault="00C749EE">
      <w:pPr>
        <w:rPr>
          <w:sz w:val="28"/>
          <w:szCs w:val="28"/>
        </w:rPr>
      </w:pPr>
      <w:r>
        <w:rPr>
          <w:noProof/>
          <w:sz w:val="28"/>
          <w:szCs w:val="28"/>
        </w:rPr>
        <w:drawing>
          <wp:inline distT="0" distB="0" distL="0" distR="0" wp14:anchorId="2E272007" wp14:editId="2ACC205F">
            <wp:extent cx="5731510" cy="2322713"/>
            <wp:effectExtent l="19050" t="19050" r="2159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C6FD3.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322713"/>
                    </a:xfrm>
                    <a:prstGeom prst="rect">
                      <a:avLst/>
                    </a:prstGeom>
                    <a:ln>
                      <a:solidFill>
                        <a:schemeClr val="tx1"/>
                      </a:solidFill>
                    </a:ln>
                  </pic:spPr>
                </pic:pic>
              </a:graphicData>
            </a:graphic>
          </wp:inline>
        </w:drawing>
      </w:r>
    </w:p>
    <w:p w14:paraId="4A7A79E2" w14:textId="70CB09B5" w:rsidR="004912BD" w:rsidRDefault="004912BD">
      <w:pPr>
        <w:rPr>
          <w:sz w:val="28"/>
          <w:szCs w:val="28"/>
        </w:rPr>
      </w:pPr>
      <w:r>
        <w:rPr>
          <w:sz w:val="28"/>
          <w:szCs w:val="28"/>
        </w:rPr>
        <w:t>Visual Encoding:</w:t>
      </w:r>
    </w:p>
    <w:tbl>
      <w:tblPr>
        <w:tblStyle w:val="TableGrid"/>
        <w:tblW w:w="0" w:type="auto"/>
        <w:tblLook w:val="04A0" w:firstRow="1" w:lastRow="0" w:firstColumn="1" w:lastColumn="0" w:noHBand="0" w:noVBand="1"/>
      </w:tblPr>
      <w:tblGrid>
        <w:gridCol w:w="2254"/>
        <w:gridCol w:w="1569"/>
        <w:gridCol w:w="1275"/>
        <w:gridCol w:w="3918"/>
      </w:tblGrid>
      <w:tr w:rsidR="00D23394" w14:paraId="2D89A964" w14:textId="77777777" w:rsidTr="00FE4748">
        <w:tc>
          <w:tcPr>
            <w:tcW w:w="2254" w:type="dxa"/>
          </w:tcPr>
          <w:p w14:paraId="44CD6B03" w14:textId="77777777" w:rsidR="00D23394" w:rsidRDefault="00D23394" w:rsidP="00FE4748">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Data</w:t>
            </w:r>
          </w:p>
        </w:tc>
        <w:tc>
          <w:tcPr>
            <w:tcW w:w="1569" w:type="dxa"/>
          </w:tcPr>
          <w:p w14:paraId="178F3885" w14:textId="77777777" w:rsidR="00D23394" w:rsidRDefault="00D23394" w:rsidP="00FE4748">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Data Type</w:t>
            </w:r>
          </w:p>
        </w:tc>
        <w:tc>
          <w:tcPr>
            <w:tcW w:w="1275" w:type="dxa"/>
          </w:tcPr>
          <w:p w14:paraId="6C780567" w14:textId="77777777" w:rsidR="00D23394" w:rsidRDefault="00D23394" w:rsidP="00FE4748">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Encoding</w:t>
            </w:r>
          </w:p>
        </w:tc>
        <w:tc>
          <w:tcPr>
            <w:tcW w:w="3918" w:type="dxa"/>
          </w:tcPr>
          <w:p w14:paraId="53743E5F" w14:textId="77777777" w:rsidR="00D23394" w:rsidRDefault="00D23394" w:rsidP="00FE4748">
            <w:pPr>
              <w:pStyle w:val="NoSpacing"/>
              <w:jc w:val="both"/>
              <w:rPr>
                <w:rFonts w:asciiTheme="majorHAnsi" w:hAnsiTheme="majorHAnsi" w:cstheme="majorHAnsi"/>
                <w:sz w:val="28"/>
                <w:szCs w:val="28"/>
                <w:u w:val="single"/>
              </w:rPr>
            </w:pPr>
            <w:r>
              <w:rPr>
                <w:rFonts w:asciiTheme="majorHAnsi" w:hAnsiTheme="majorHAnsi" w:cstheme="majorHAnsi"/>
                <w:sz w:val="28"/>
                <w:szCs w:val="28"/>
                <w:u w:val="single"/>
              </w:rPr>
              <w:t>Description</w:t>
            </w:r>
          </w:p>
        </w:tc>
      </w:tr>
      <w:tr w:rsidR="00067471" w:rsidRPr="006A6A1A" w14:paraId="6A702BC3" w14:textId="77777777" w:rsidTr="00FE4748">
        <w:tc>
          <w:tcPr>
            <w:tcW w:w="2254" w:type="dxa"/>
          </w:tcPr>
          <w:p w14:paraId="1FCAB74F" w14:textId="43EA44E5" w:rsidR="00067471" w:rsidRDefault="00067471" w:rsidP="00067471">
            <w:pPr>
              <w:pStyle w:val="NoSpacing"/>
              <w:jc w:val="both"/>
              <w:rPr>
                <w:sz w:val="24"/>
                <w:szCs w:val="24"/>
              </w:rPr>
            </w:pPr>
            <w:r>
              <w:rPr>
                <w:sz w:val="24"/>
                <w:szCs w:val="24"/>
              </w:rPr>
              <w:t>Confirmed Case ID</w:t>
            </w:r>
          </w:p>
        </w:tc>
        <w:tc>
          <w:tcPr>
            <w:tcW w:w="1569" w:type="dxa"/>
          </w:tcPr>
          <w:p w14:paraId="3EE72804" w14:textId="36800AEA" w:rsidR="00067471" w:rsidRDefault="00067471" w:rsidP="00067471">
            <w:pPr>
              <w:pStyle w:val="NoSpacing"/>
              <w:jc w:val="both"/>
              <w:rPr>
                <w:sz w:val="24"/>
                <w:szCs w:val="24"/>
              </w:rPr>
            </w:pPr>
            <w:r>
              <w:rPr>
                <w:sz w:val="24"/>
                <w:szCs w:val="24"/>
              </w:rPr>
              <w:t>Categorial</w:t>
            </w:r>
          </w:p>
        </w:tc>
        <w:tc>
          <w:tcPr>
            <w:tcW w:w="1275" w:type="dxa"/>
          </w:tcPr>
          <w:p w14:paraId="44F704E2" w14:textId="0A3DCF37" w:rsidR="00067471" w:rsidRDefault="00067471" w:rsidP="00067471">
            <w:pPr>
              <w:pStyle w:val="NoSpacing"/>
              <w:jc w:val="both"/>
              <w:rPr>
                <w:rFonts w:asciiTheme="majorHAnsi" w:hAnsiTheme="majorHAnsi" w:cstheme="majorHAnsi"/>
                <w:sz w:val="24"/>
                <w:szCs w:val="24"/>
              </w:rPr>
            </w:pPr>
            <w:r>
              <w:rPr>
                <w:rFonts w:asciiTheme="majorHAnsi" w:hAnsiTheme="majorHAnsi" w:cstheme="majorHAnsi"/>
                <w:sz w:val="24"/>
                <w:szCs w:val="24"/>
              </w:rPr>
              <w:t>node</w:t>
            </w:r>
          </w:p>
        </w:tc>
        <w:tc>
          <w:tcPr>
            <w:tcW w:w="3918" w:type="dxa"/>
          </w:tcPr>
          <w:p w14:paraId="53832D5D" w14:textId="71D9B08B" w:rsidR="00067471" w:rsidRPr="006A6A1A" w:rsidRDefault="00067471" w:rsidP="00067471">
            <w:pPr>
              <w:pStyle w:val="NoSpacing"/>
              <w:jc w:val="both"/>
              <w:rPr>
                <w:rFonts w:asciiTheme="majorHAnsi" w:hAnsiTheme="majorHAnsi" w:cstheme="majorHAnsi"/>
                <w:sz w:val="24"/>
                <w:szCs w:val="24"/>
              </w:rPr>
            </w:pPr>
            <w:r>
              <w:rPr>
                <w:rFonts w:asciiTheme="majorHAnsi" w:hAnsiTheme="majorHAnsi" w:cstheme="majorHAnsi"/>
                <w:sz w:val="24"/>
                <w:szCs w:val="24"/>
              </w:rPr>
              <w:t>Each node represent a unique case</w:t>
            </w:r>
          </w:p>
        </w:tc>
      </w:tr>
      <w:tr w:rsidR="00067471" w:rsidRPr="006A6A1A" w14:paraId="7B661C03" w14:textId="77777777" w:rsidTr="00FE4748">
        <w:tc>
          <w:tcPr>
            <w:tcW w:w="2254" w:type="dxa"/>
          </w:tcPr>
          <w:p w14:paraId="62603F90" w14:textId="240F604A" w:rsidR="00067471" w:rsidRDefault="00067471" w:rsidP="00067471">
            <w:pPr>
              <w:pStyle w:val="NoSpacing"/>
              <w:jc w:val="both"/>
              <w:rPr>
                <w:rFonts w:asciiTheme="majorHAnsi" w:hAnsiTheme="majorHAnsi" w:cstheme="majorHAnsi"/>
                <w:sz w:val="24"/>
                <w:szCs w:val="24"/>
              </w:rPr>
            </w:pPr>
            <w:r>
              <w:rPr>
                <w:sz w:val="24"/>
                <w:szCs w:val="24"/>
              </w:rPr>
              <w:t>Number</w:t>
            </w:r>
            <w:r w:rsidR="00CB6923">
              <w:rPr>
                <w:sz w:val="24"/>
                <w:szCs w:val="24"/>
              </w:rPr>
              <w:t xml:space="preserve"> of</w:t>
            </w:r>
            <w:r>
              <w:rPr>
                <w:sz w:val="24"/>
                <w:szCs w:val="24"/>
              </w:rPr>
              <w:t xml:space="preserve"> Admissions to the hospital</w:t>
            </w:r>
          </w:p>
        </w:tc>
        <w:tc>
          <w:tcPr>
            <w:tcW w:w="1569" w:type="dxa"/>
          </w:tcPr>
          <w:p w14:paraId="2173580C" w14:textId="4529E324" w:rsidR="00067471" w:rsidRDefault="00067471" w:rsidP="00067471">
            <w:pPr>
              <w:pStyle w:val="NoSpacing"/>
              <w:jc w:val="both"/>
              <w:rPr>
                <w:rFonts w:asciiTheme="majorHAnsi" w:hAnsiTheme="majorHAnsi" w:cstheme="majorHAnsi"/>
                <w:sz w:val="24"/>
                <w:szCs w:val="24"/>
              </w:rPr>
            </w:pPr>
            <w:r>
              <w:rPr>
                <w:sz w:val="24"/>
                <w:szCs w:val="24"/>
              </w:rPr>
              <w:t>Quantitative</w:t>
            </w:r>
          </w:p>
        </w:tc>
        <w:tc>
          <w:tcPr>
            <w:tcW w:w="1275" w:type="dxa"/>
          </w:tcPr>
          <w:p w14:paraId="61058AF1" w14:textId="29746B75" w:rsidR="00067471" w:rsidRPr="006A6A1A" w:rsidRDefault="00475A85" w:rsidP="00067471">
            <w:pPr>
              <w:pStyle w:val="NoSpacing"/>
              <w:jc w:val="both"/>
              <w:rPr>
                <w:rFonts w:asciiTheme="majorHAnsi" w:hAnsiTheme="majorHAnsi" w:cstheme="majorHAnsi"/>
                <w:sz w:val="24"/>
                <w:szCs w:val="24"/>
              </w:rPr>
            </w:pPr>
            <w:r>
              <w:rPr>
                <w:rFonts w:asciiTheme="majorHAnsi" w:hAnsiTheme="majorHAnsi" w:cstheme="majorHAnsi"/>
                <w:sz w:val="24"/>
                <w:szCs w:val="24"/>
              </w:rPr>
              <w:t>C</w:t>
            </w:r>
            <w:r w:rsidR="00EB42C1">
              <w:rPr>
                <w:rFonts w:asciiTheme="majorHAnsi" w:hAnsiTheme="majorHAnsi" w:cstheme="majorHAnsi"/>
                <w:sz w:val="24"/>
                <w:szCs w:val="24"/>
              </w:rPr>
              <w:t>olor</w:t>
            </w:r>
            <w:r>
              <w:rPr>
                <w:rFonts w:asciiTheme="majorHAnsi" w:hAnsiTheme="majorHAnsi" w:cstheme="majorHAnsi"/>
                <w:sz w:val="24"/>
                <w:szCs w:val="24"/>
              </w:rPr>
              <w:t>, position</w:t>
            </w:r>
          </w:p>
        </w:tc>
        <w:tc>
          <w:tcPr>
            <w:tcW w:w="3918" w:type="dxa"/>
          </w:tcPr>
          <w:p w14:paraId="2CB01D70" w14:textId="7A9EF18F" w:rsidR="00067471" w:rsidRPr="006A6A1A" w:rsidRDefault="001B5510" w:rsidP="00067471">
            <w:pPr>
              <w:pStyle w:val="NoSpacing"/>
              <w:jc w:val="both"/>
              <w:rPr>
                <w:rFonts w:asciiTheme="majorHAnsi" w:hAnsiTheme="majorHAnsi" w:cstheme="majorHAnsi"/>
                <w:sz w:val="24"/>
                <w:szCs w:val="24"/>
              </w:rPr>
            </w:pPr>
            <w:r>
              <w:rPr>
                <w:rFonts w:asciiTheme="majorHAnsi" w:hAnsiTheme="majorHAnsi" w:cstheme="majorHAnsi"/>
                <w:sz w:val="24"/>
                <w:szCs w:val="24"/>
              </w:rPr>
              <w:t>Blue nodes located in “admissions to hospital” column</w:t>
            </w:r>
          </w:p>
        </w:tc>
      </w:tr>
      <w:tr w:rsidR="001B5510" w:rsidRPr="006A6A1A" w14:paraId="2D39B00A" w14:textId="77777777" w:rsidTr="00FE4748">
        <w:tc>
          <w:tcPr>
            <w:tcW w:w="2254" w:type="dxa"/>
          </w:tcPr>
          <w:p w14:paraId="21173987" w14:textId="54374265" w:rsidR="001B5510" w:rsidRDefault="001B5510" w:rsidP="001B5510">
            <w:pPr>
              <w:pStyle w:val="NoSpacing"/>
              <w:jc w:val="both"/>
              <w:rPr>
                <w:sz w:val="24"/>
                <w:szCs w:val="24"/>
              </w:rPr>
            </w:pPr>
            <w:r>
              <w:rPr>
                <w:sz w:val="24"/>
                <w:szCs w:val="24"/>
              </w:rPr>
              <w:t xml:space="preserve">Number of </w:t>
            </w:r>
            <w:r>
              <w:rPr>
                <w:sz w:val="24"/>
                <w:szCs w:val="24"/>
              </w:rPr>
              <w:t>confirmed positive</w:t>
            </w:r>
          </w:p>
        </w:tc>
        <w:tc>
          <w:tcPr>
            <w:tcW w:w="1569" w:type="dxa"/>
          </w:tcPr>
          <w:p w14:paraId="1306C517" w14:textId="064B9E3F" w:rsidR="001B5510" w:rsidRDefault="001B5510" w:rsidP="001B5510">
            <w:pPr>
              <w:pStyle w:val="NoSpacing"/>
              <w:jc w:val="both"/>
              <w:rPr>
                <w:sz w:val="24"/>
                <w:szCs w:val="24"/>
              </w:rPr>
            </w:pPr>
            <w:r>
              <w:rPr>
                <w:sz w:val="24"/>
                <w:szCs w:val="24"/>
              </w:rPr>
              <w:t>Quantitative</w:t>
            </w:r>
          </w:p>
        </w:tc>
        <w:tc>
          <w:tcPr>
            <w:tcW w:w="1275" w:type="dxa"/>
          </w:tcPr>
          <w:p w14:paraId="05C3BD0E" w14:textId="09DAC7A2" w:rsidR="001B5510" w:rsidRDefault="001B5510" w:rsidP="001B5510">
            <w:pPr>
              <w:pStyle w:val="NoSpacing"/>
              <w:jc w:val="both"/>
              <w:rPr>
                <w:rFonts w:asciiTheme="majorHAnsi" w:hAnsiTheme="majorHAnsi" w:cstheme="majorHAnsi"/>
                <w:sz w:val="24"/>
                <w:szCs w:val="24"/>
              </w:rPr>
            </w:pPr>
            <w:r>
              <w:rPr>
                <w:rFonts w:asciiTheme="majorHAnsi" w:hAnsiTheme="majorHAnsi" w:cstheme="majorHAnsi"/>
                <w:sz w:val="24"/>
                <w:szCs w:val="24"/>
              </w:rPr>
              <w:t>Color, position</w:t>
            </w:r>
          </w:p>
        </w:tc>
        <w:tc>
          <w:tcPr>
            <w:tcW w:w="3918" w:type="dxa"/>
          </w:tcPr>
          <w:p w14:paraId="41387051" w14:textId="18E12493" w:rsidR="001B5510" w:rsidRDefault="001B5510" w:rsidP="001B5510">
            <w:pPr>
              <w:pStyle w:val="NoSpacing"/>
              <w:jc w:val="both"/>
              <w:rPr>
                <w:rFonts w:asciiTheme="majorHAnsi" w:hAnsiTheme="majorHAnsi" w:cstheme="majorHAnsi"/>
                <w:sz w:val="24"/>
                <w:szCs w:val="24"/>
              </w:rPr>
            </w:pPr>
            <w:r>
              <w:rPr>
                <w:rFonts w:asciiTheme="majorHAnsi" w:hAnsiTheme="majorHAnsi" w:cstheme="majorHAnsi"/>
                <w:sz w:val="24"/>
                <w:szCs w:val="24"/>
              </w:rPr>
              <w:t>Red</w:t>
            </w:r>
            <w:r>
              <w:rPr>
                <w:rFonts w:asciiTheme="majorHAnsi" w:hAnsiTheme="majorHAnsi" w:cstheme="majorHAnsi"/>
                <w:sz w:val="24"/>
                <w:szCs w:val="24"/>
              </w:rPr>
              <w:t xml:space="preserve"> nodes located in “</w:t>
            </w:r>
            <w:r w:rsidR="00B35BF6">
              <w:rPr>
                <w:rFonts w:asciiTheme="majorHAnsi" w:hAnsiTheme="majorHAnsi" w:cstheme="majorHAnsi"/>
                <w:sz w:val="24"/>
                <w:szCs w:val="24"/>
              </w:rPr>
              <w:t>confirmed positive</w:t>
            </w:r>
            <w:r>
              <w:rPr>
                <w:rFonts w:asciiTheme="majorHAnsi" w:hAnsiTheme="majorHAnsi" w:cstheme="majorHAnsi"/>
                <w:sz w:val="24"/>
                <w:szCs w:val="24"/>
              </w:rPr>
              <w:t>” column</w:t>
            </w:r>
          </w:p>
        </w:tc>
      </w:tr>
      <w:tr w:rsidR="001B5510" w:rsidRPr="006A6A1A" w14:paraId="023F1F61" w14:textId="77777777" w:rsidTr="00FE4748">
        <w:tc>
          <w:tcPr>
            <w:tcW w:w="2254" w:type="dxa"/>
          </w:tcPr>
          <w:p w14:paraId="1601D85F" w14:textId="6A3B6F86" w:rsidR="001B5510" w:rsidRDefault="001B5510" w:rsidP="001B5510">
            <w:pPr>
              <w:pStyle w:val="NoSpacing"/>
              <w:jc w:val="both"/>
              <w:rPr>
                <w:sz w:val="24"/>
                <w:szCs w:val="24"/>
              </w:rPr>
            </w:pPr>
            <w:r>
              <w:rPr>
                <w:sz w:val="24"/>
                <w:szCs w:val="24"/>
              </w:rPr>
              <w:t>Number of discharged</w:t>
            </w:r>
          </w:p>
        </w:tc>
        <w:tc>
          <w:tcPr>
            <w:tcW w:w="1569" w:type="dxa"/>
          </w:tcPr>
          <w:p w14:paraId="5FD6637D" w14:textId="5FF940AF" w:rsidR="001B5510" w:rsidRDefault="001B5510" w:rsidP="001B5510">
            <w:pPr>
              <w:pStyle w:val="NoSpacing"/>
              <w:jc w:val="both"/>
              <w:rPr>
                <w:sz w:val="24"/>
                <w:szCs w:val="24"/>
              </w:rPr>
            </w:pPr>
            <w:r>
              <w:rPr>
                <w:sz w:val="24"/>
                <w:szCs w:val="24"/>
              </w:rPr>
              <w:t>Quantitative</w:t>
            </w:r>
          </w:p>
        </w:tc>
        <w:tc>
          <w:tcPr>
            <w:tcW w:w="1275" w:type="dxa"/>
          </w:tcPr>
          <w:p w14:paraId="3EB3AE58" w14:textId="1D260903" w:rsidR="001B5510" w:rsidRDefault="001B5510" w:rsidP="001B5510">
            <w:pPr>
              <w:pStyle w:val="NoSpacing"/>
              <w:jc w:val="both"/>
              <w:rPr>
                <w:rFonts w:asciiTheme="majorHAnsi" w:hAnsiTheme="majorHAnsi" w:cstheme="majorHAnsi"/>
                <w:sz w:val="24"/>
                <w:szCs w:val="24"/>
              </w:rPr>
            </w:pPr>
            <w:r>
              <w:rPr>
                <w:rFonts w:asciiTheme="majorHAnsi" w:hAnsiTheme="majorHAnsi" w:cstheme="majorHAnsi"/>
                <w:sz w:val="24"/>
                <w:szCs w:val="24"/>
              </w:rPr>
              <w:t>Color, position</w:t>
            </w:r>
          </w:p>
        </w:tc>
        <w:tc>
          <w:tcPr>
            <w:tcW w:w="3918" w:type="dxa"/>
          </w:tcPr>
          <w:p w14:paraId="0E342A15" w14:textId="2C46D3CF" w:rsidR="001B5510" w:rsidRDefault="001B5510" w:rsidP="001B5510">
            <w:pPr>
              <w:pStyle w:val="NoSpacing"/>
              <w:jc w:val="both"/>
              <w:rPr>
                <w:rFonts w:asciiTheme="majorHAnsi" w:hAnsiTheme="majorHAnsi" w:cstheme="majorHAnsi"/>
                <w:sz w:val="24"/>
                <w:szCs w:val="24"/>
              </w:rPr>
            </w:pPr>
            <w:r>
              <w:rPr>
                <w:rFonts w:asciiTheme="majorHAnsi" w:hAnsiTheme="majorHAnsi" w:cstheme="majorHAnsi"/>
                <w:sz w:val="24"/>
                <w:szCs w:val="24"/>
              </w:rPr>
              <w:t xml:space="preserve">Yellow </w:t>
            </w:r>
            <w:r>
              <w:rPr>
                <w:rFonts w:asciiTheme="majorHAnsi" w:hAnsiTheme="majorHAnsi" w:cstheme="majorHAnsi"/>
                <w:sz w:val="24"/>
                <w:szCs w:val="24"/>
              </w:rPr>
              <w:t xml:space="preserve"> nodes located in “</w:t>
            </w:r>
            <w:r w:rsidR="00B35BF6">
              <w:rPr>
                <w:rFonts w:asciiTheme="majorHAnsi" w:hAnsiTheme="majorHAnsi" w:cstheme="majorHAnsi"/>
                <w:sz w:val="24"/>
                <w:szCs w:val="24"/>
              </w:rPr>
              <w:t>discharged</w:t>
            </w:r>
            <w:r>
              <w:rPr>
                <w:rFonts w:asciiTheme="majorHAnsi" w:hAnsiTheme="majorHAnsi" w:cstheme="majorHAnsi"/>
                <w:sz w:val="24"/>
                <w:szCs w:val="24"/>
              </w:rPr>
              <w:t>” column</w:t>
            </w:r>
          </w:p>
        </w:tc>
      </w:tr>
    </w:tbl>
    <w:p w14:paraId="384051ED" w14:textId="1693BD9A" w:rsidR="00D23394" w:rsidRDefault="00D23394">
      <w:pPr>
        <w:rPr>
          <w:sz w:val="28"/>
          <w:szCs w:val="28"/>
        </w:rPr>
      </w:pPr>
    </w:p>
    <w:p w14:paraId="1BB39D10" w14:textId="1A8B0C4F" w:rsidR="00C749EE" w:rsidRPr="00C749EE" w:rsidRDefault="00C749EE">
      <w:pPr>
        <w:rPr>
          <w:sz w:val="28"/>
          <w:szCs w:val="28"/>
        </w:rPr>
      </w:pPr>
      <w:bookmarkStart w:id="0" w:name="_GoBack"/>
      <w:bookmarkEnd w:id="0"/>
      <w:r w:rsidRPr="00C749EE">
        <w:rPr>
          <w:sz w:val="28"/>
          <w:szCs w:val="28"/>
          <w:u w:val="single"/>
        </w:rPr>
        <w:t>Link:</w:t>
      </w:r>
      <w:r w:rsidRPr="00C749EE">
        <w:rPr>
          <w:sz w:val="28"/>
          <w:szCs w:val="28"/>
        </w:rPr>
        <w:t xml:space="preserve"> </w:t>
      </w:r>
      <w:hyperlink r:id="rId10" w:history="1">
        <w:r w:rsidR="00B454F4">
          <w:rPr>
            <w:rStyle w:val="Hyperlink"/>
          </w:rPr>
          <w:t>https://ravneetkaur2159.github.io/VisualizingSingaporeCovidCases/</w:t>
        </w:r>
      </w:hyperlink>
    </w:p>
    <w:sectPr w:rsidR="00C749EE" w:rsidRPr="00C74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2585"/>
    <w:multiLevelType w:val="hybridMultilevel"/>
    <w:tmpl w:val="4F6EB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03F76"/>
    <w:multiLevelType w:val="hybridMultilevel"/>
    <w:tmpl w:val="9D008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A62EC8"/>
    <w:multiLevelType w:val="hybridMultilevel"/>
    <w:tmpl w:val="E85833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F49142C"/>
    <w:multiLevelType w:val="hybridMultilevel"/>
    <w:tmpl w:val="10F012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47264E9"/>
    <w:multiLevelType w:val="hybridMultilevel"/>
    <w:tmpl w:val="DB2269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0114925"/>
    <w:multiLevelType w:val="hybridMultilevel"/>
    <w:tmpl w:val="9C18D2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32"/>
    <w:rsid w:val="00041650"/>
    <w:rsid w:val="00067471"/>
    <w:rsid w:val="000836ED"/>
    <w:rsid w:val="000E39AF"/>
    <w:rsid w:val="001136DA"/>
    <w:rsid w:val="00181BCA"/>
    <w:rsid w:val="001B1E96"/>
    <w:rsid w:val="001B5510"/>
    <w:rsid w:val="002065BC"/>
    <w:rsid w:val="00222912"/>
    <w:rsid w:val="00241A23"/>
    <w:rsid w:val="00263FBA"/>
    <w:rsid w:val="00323230"/>
    <w:rsid w:val="003628D2"/>
    <w:rsid w:val="00395972"/>
    <w:rsid w:val="003B30E2"/>
    <w:rsid w:val="00474D1A"/>
    <w:rsid w:val="00475A85"/>
    <w:rsid w:val="00476AD2"/>
    <w:rsid w:val="00482847"/>
    <w:rsid w:val="004912BD"/>
    <w:rsid w:val="00505967"/>
    <w:rsid w:val="00577C0E"/>
    <w:rsid w:val="005E0782"/>
    <w:rsid w:val="005F0B8D"/>
    <w:rsid w:val="00696376"/>
    <w:rsid w:val="006B4A62"/>
    <w:rsid w:val="006C2932"/>
    <w:rsid w:val="00816CC3"/>
    <w:rsid w:val="008A6669"/>
    <w:rsid w:val="008C2FC5"/>
    <w:rsid w:val="00936A3E"/>
    <w:rsid w:val="00940B12"/>
    <w:rsid w:val="00984C85"/>
    <w:rsid w:val="00A644E8"/>
    <w:rsid w:val="00B35BF6"/>
    <w:rsid w:val="00B454F4"/>
    <w:rsid w:val="00C24560"/>
    <w:rsid w:val="00C37C63"/>
    <w:rsid w:val="00C73F45"/>
    <w:rsid w:val="00C749EE"/>
    <w:rsid w:val="00CB6923"/>
    <w:rsid w:val="00D23394"/>
    <w:rsid w:val="00DC47DC"/>
    <w:rsid w:val="00E33DF1"/>
    <w:rsid w:val="00EA33F6"/>
    <w:rsid w:val="00EB42C1"/>
    <w:rsid w:val="00ED44FE"/>
    <w:rsid w:val="00F7514A"/>
    <w:rsid w:val="00F94657"/>
    <w:rsid w:val="00FA6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95BC"/>
  <w15:chartTrackingRefBased/>
  <w15:docId w15:val="{E09A3C05-53D8-4582-8FCA-80343546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6A3E"/>
    <w:pPr>
      <w:spacing w:after="0" w:line="240" w:lineRule="auto"/>
    </w:pPr>
  </w:style>
  <w:style w:type="table" w:styleId="TableGrid">
    <w:name w:val="Table Grid"/>
    <w:basedOn w:val="TableNormal"/>
    <w:uiPriority w:val="39"/>
    <w:rsid w:val="00984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9EE"/>
    <w:rPr>
      <w:color w:val="0000FF"/>
      <w:u w:val="single"/>
    </w:rPr>
  </w:style>
  <w:style w:type="character" w:styleId="UnresolvedMention">
    <w:name w:val="Unresolved Mention"/>
    <w:basedOn w:val="DefaultParagraphFont"/>
    <w:uiPriority w:val="99"/>
    <w:semiHidden/>
    <w:unhideWhenUsed/>
    <w:rsid w:val="00F7514A"/>
    <w:rPr>
      <w:color w:val="605E5C"/>
      <w:shd w:val="clear" w:color="auto" w:fill="E1DFDD"/>
    </w:rPr>
  </w:style>
  <w:style w:type="character" w:styleId="FollowedHyperlink">
    <w:name w:val="FollowedHyperlink"/>
    <w:basedOn w:val="DefaultParagraphFont"/>
    <w:uiPriority w:val="99"/>
    <w:semiHidden/>
    <w:unhideWhenUsed/>
    <w:rsid w:val="00F75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nelnewsasia.com/news/cnainsider/scale-of-covid-19-contagion-may-be-more-serious-than-we-think-12437412" TargetMode="External"/><Relationship Id="rId3" Type="http://schemas.openxmlformats.org/officeDocument/2006/relationships/styles" Target="styles.xml"/><Relationship Id="rId7" Type="http://schemas.openxmlformats.org/officeDocument/2006/relationships/hyperlink" Target="https://www.channelnewsasia.com/news/singapore/covid19-new-test-kits-swab-three-hours-12505658"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uachinhon/covid_s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avneetkaur2159.github.io/VisualizingSingaporeCovidCas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42FF-FEC6-4205-8F7C-789BAFC7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Ravneet Kaur</dc:creator>
  <cp:keywords/>
  <dc:description/>
  <cp:lastModifiedBy>Ravneet Kaur</cp:lastModifiedBy>
  <cp:revision>31</cp:revision>
  <dcterms:created xsi:type="dcterms:W3CDTF">2020-03-29T05:39:00Z</dcterms:created>
  <dcterms:modified xsi:type="dcterms:W3CDTF">2020-03-29T14:38:00Z</dcterms:modified>
</cp:coreProperties>
</file>