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200"/>
      </w:pPr>
      <w:r>
        <w:rPr>
          <w:b/>
          <w:bCs/>
          <w:color w:val="000000"/>
          <w:sz w:val="40"/>
          <w:szCs w:val="40"/>
        </w:rPr>
        <w:t xml:space="preserve">ITXView ISP Edition</w:t>
      </w:r>
    </w:p>
    <w:p>
      <w:pPr>
        <w:spacing w:after="360"/>
      </w:pPr>
      <w:r>
        <w:rPr>
          <w:color w:val="000000"/>
          <w:sz w:val="26"/>
          <w:szCs w:val="26"/>
        </w:rPr>
        <w:t xml:space="preserve">Product Report enxuto — código-fonte não disponível neste repositório</w:t>
      </w:r>
    </w:p>
    <w:p>
      <w:pPr>
        <w:spacing w:after="60" w:before="300"/>
      </w:pPr>
      <w:r>
        <w:rPr>
          <w:b/>
          <w:bCs/>
          <w:sz w:val="22"/>
          <w:szCs w:val="22"/>
        </w:rPr>
        <w:t xml:space="preserve">Documentação de Produto</w:t>
      </w:r>
    </w:p>
    <w:p>
      <w:pPr>
        <w:spacing w:after="360"/>
      </w:pPr>
      <w:r>
        <w:rPr>
          <w:i/>
          <w:iCs/>
          <w:color w:val="595959"/>
          <w:sz w:val="20"/>
          <w:szCs w:val="20"/>
        </w:rPr>
        <w:t xml:space="preserve">Extensão ISP do ITXView, já homologado na Claro/Embratel — para uso interno</w:t>
      </w:r>
    </w:p>
    <w:p>
      <w:pPr>
        <w:spacing w:after="60" w:before="1600"/>
      </w:pPr>
      <w:r>
        <w:rPr>
          <w:sz w:val="22"/>
          <w:szCs w:val="22"/>
        </w:rPr>
        <w:t xml:space="preserve">Agosto de 2026</w:t>
      </w:r>
    </w:p>
    <w:p>
      <w:pPr>
        <w:spacing w:after="200"/>
      </w:pPr>
      <w:r>
        <w:rPr>
          <w:i/>
          <w:iCs/>
          <w:color w:val="595959"/>
          <w:sz w:val="20"/>
          <w:szCs w:val="20"/>
        </w:rPr>
        <w:t xml:space="preserve">Documento elaborado a partir do bundle de produção (itxview/assets/), do card da Lounge e de citações cruzadas do JourneyGraph — sem acesso ao código-fonte deste produto.</w:t>
      </w:r>
    </w:p>
    <w:p>
      <w:pPr>
        <w:pageBreakBefore/>
      </w:pPr>
    </w:p>
    <w:p>
      <w:pPr>
        <w:pStyle w:val="Heading1"/>
      </w:pPr>
      <w:r>
        <w:t xml:space="preserve">Sumário</w:t>
      </w:r>
    </w:p>
    <w:p>
      <w:pPr>
        <w:tabs>
          <w:tab w:val="right" w:pos="9026" w:leader="dot"/>
        </w:tabs>
        <w:spacing w:after="100"/>
        <w:ind w:left="0"/>
      </w:pPr>
      <w:r>
        <w:rPr>
          <w:b/>
          <w:bCs/>
          <w:sz w:val="22"/>
          <w:szCs w:val="22"/>
        </w:rPr>
        <w:t xml:space="preserve">1. Product Report</w:t>
      </w:r>
      <w:r>
        <w:rPr>
          <w:sz w:val="22"/>
          <w:szCs w:val="22"/>
        </w:rPr>
        <w:t xml:space="preserve">	3</w:t>
      </w:r>
    </w:p>
    <w:p>
      <w:pPr>
        <w:tabs>
          <w:tab w:val="right" w:pos="9026" w:leader="dot"/>
        </w:tabs>
        <w:spacing w:after="100"/>
        <w:ind w:left="0"/>
      </w:pPr>
      <w:r>
        <w:rPr>
          <w:b/>
          <w:bCs/>
          <w:sz w:val="22"/>
          <w:szCs w:val="22"/>
        </w:rPr>
        <w:t xml:space="preserve">2. Tech Reference</w:t>
      </w:r>
      <w:r>
        <w:rPr>
          <w:sz w:val="22"/>
          <w:szCs w:val="22"/>
        </w:rPr>
        <w:t xml:space="preserve">	6</w:t>
      </w:r>
    </w:p>
    <w:p>
      <w:pPr>
        <w:tabs>
          <w:tab w:val="right" w:pos="9026" w:leader="dot"/>
        </w:tabs>
        <w:spacing w:after="100"/>
        <w:ind w:left="0"/>
      </w:pPr>
      <w:r>
        <w:rPr>
          <w:b/>
          <w:bCs/>
          <w:sz w:val="22"/>
          <w:szCs w:val="22"/>
        </w:rPr>
        <w:t xml:space="preserve">3. Data Reference</w:t>
      </w:r>
      <w:r>
        <w:rPr>
          <w:sz w:val="22"/>
          <w:szCs w:val="22"/>
        </w:rPr>
        <w:t xml:space="preserve">	7</w:t>
      </w:r>
    </w:p>
    <w:p>
      <w:pPr>
        <w:tabs>
          <w:tab w:val="right" w:pos="9026" w:leader="dot"/>
        </w:tabs>
        <w:spacing w:after="100"/>
        <w:ind w:left="0"/>
      </w:pPr>
      <w:r>
        <w:rPr>
          <w:b/>
          <w:bCs/>
          <w:sz w:val="22"/>
          <w:szCs w:val="22"/>
        </w:rPr>
        <w:t xml:space="preserve">4. Base Metodológica</w:t>
      </w:r>
      <w:r>
        <w:rPr>
          <w:sz w:val="22"/>
          <w:szCs w:val="22"/>
        </w:rPr>
        <w:t xml:space="preserve">	7</w:t>
      </w:r>
    </w:p>
    <w:p>
      <w:pPr>
        <w:tabs>
          <w:tab w:val="right" w:pos="9026" w:leader="dot"/>
        </w:tabs>
        <w:spacing w:after="100"/>
        <w:ind w:left="0"/>
      </w:pPr>
      <w:r>
        <w:rPr>
          <w:b/>
          <w:bCs/>
          <w:sz w:val="22"/>
          <w:szCs w:val="22"/>
        </w:rPr>
        <w:t xml:space="preserve">5. Use Cases</w:t>
      </w:r>
      <w:r>
        <w:rPr>
          <w:sz w:val="22"/>
          <w:szCs w:val="22"/>
        </w:rPr>
        <w:t xml:space="preserve">	8</w:t>
      </w:r>
    </w:p>
    <w:p>
      <w:pPr>
        <w:tabs>
          <w:tab w:val="right" w:pos="9026" w:leader="dot"/>
        </w:tabs>
        <w:spacing w:after="100"/>
        <w:ind w:left="0"/>
      </w:pPr>
      <w:r>
        <w:rPr>
          <w:b/>
          <w:bCs/>
          <w:sz w:val="22"/>
          <w:szCs w:val="22"/>
        </w:rPr>
        <w:t xml:space="preserve">Ressalvas / Honestidade Metodológica</w:t>
      </w:r>
      <w:r>
        <w:rPr>
          <w:sz w:val="22"/>
          <w:szCs w:val="22"/>
        </w:rPr>
        <w:t xml:space="preserve">	8</w:t>
      </w:r>
    </w:p>
    <w:p>
      <w:pPr>
        <w:tabs>
          <w:tab w:val="right" w:pos="9026" w:leader="dot"/>
        </w:tabs>
        <w:spacing w:after="100"/>
        <w:ind w:left="0"/>
      </w:pPr>
      <w:r>
        <w:rPr>
          <w:b/>
          <w:bCs/>
          <w:sz w:val="22"/>
          <w:szCs w:val="22"/>
        </w:rPr>
        <w:t xml:space="preserve">Base Legal / Controle de Acesso a Dado Pessoal</w:t>
      </w:r>
      <w:r>
        <w:rPr>
          <w:sz w:val="22"/>
          <w:szCs w:val="22"/>
        </w:rPr>
        <w:t xml:space="preserve">	9</w:t>
      </w:r>
    </w:p>
    <w:p>
      <w:pPr>
        <w:sectPr>
          <w:headerReference w:type="default" r:id="rId7"/>
          <w:footerReference w:type="default" r:id="rId8"/>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A9C4" w:sz="4"/>
              <w:left w:val="single" w:color="8DA9C4" w:sz="24"/>
              <w:bottom w:val="single" w:color="8DA9C4" w:sz="4"/>
              <w:right w:val="single" w:color="8DA9C4" w:sz="4"/>
            </w:tcBorders>
            <w:shd w:fill="E8EEF5" w:val="clear"/>
            <w:tcMar>
              <w:top w:type="dxa" w:w="140"/>
              <w:left w:type="dxa" w:w="200"/>
              <w:bottom w:type="dxa" w:w="140"/>
              <w:right w:type="dxa" w:w="200"/>
            </w:tcMar>
          </w:tcPr>
          <w:p>
            <w:pPr>
              <w:jc w:val="both"/>
            </w:pPr>
            <w:r>
              <w:rPr>
                <w:i/>
                <w:iCs/>
                <w:color w:val="2E4A66"/>
                <w:sz w:val="19"/>
                <w:szCs w:val="19"/>
              </w:rPr>
              <w:t xml:space="preserve">Nota de escopo desta documentação: o código-fonte do ITXView ISP Edition não está disponível neste repositório — apenas o bundle de produção compilado e minificado (itxview/assets/index-*.js, React). Este documento foi elaborado a partir de (1) a descrição do produto no card da Lounge de Soluções (index.html raiz), (2) trechos de texto legível extraídos do bundle minificado (strings de resposta do Assistente RAG, títulos de documentos de acordo), e (3) citações cruzadas feitas pelo JourneyGraph sobre o ITXView em seu próprio corpus técnico. As seções técnicas mais profundas (arquitetura interna, algoritmos exatos, schema de dados completo) não puderam ser verificadas contra código-fonte e são marcadas como tal.</w:t>
            </w:r>
          </w:p>
        </w:tc>
      </w:tr>
    </w:tbl>
    <w:p>
      <w:pPr>
        <w:pStyle w:val="Heading1"/>
      </w:pPr>
      <w:r>
        <w:t xml:space="preserve">1. Product Report</w:t>
      </w:r>
    </w:p>
    <w:p>
      <w:pPr>
        <w:pStyle w:val="Heading2"/>
      </w:pPr>
      <w:r>
        <w:t xml:space="preserve">1.1 Objeto</w:t>
      </w:r>
    </w:p>
    <w:p>
      <w:pPr>
        <w:spacing w:after="200" w:before="0"/>
        <w:jc w:val="both"/>
      </w:pPr>
      <w:r>
        <w:rPr>
          <w:b w:val="false"/>
          <w:bCs w:val="false"/>
          <w:i w:val="false"/>
          <w:iCs w:val="false"/>
        </w:rPr>
        <w:t xml:space="preserve">O ITXView ISP Edition é a extensão para provedores regionais de Internet do produto ITXView, já homologado em ambiente carrier-class na Claro/Embratel. Cobre gestão de interconexão de voz (numeração E.164/PPI) e peering/trânsito de dados (BGP, IX.br) em um único produto, com um motor de recomendação de rota — LCBR (Least Cost Best Route) — que otimiza custo e qualidade nas duas camadas simultaneamente.</w:t>
      </w:r>
    </w:p>
    <w:p>
      <w:pPr>
        <w:pStyle w:val="Heading2"/>
      </w:pPr>
      <w:r>
        <w:t xml:space="preserve">1.2 Objetivo</w:t>
      </w:r>
    </w:p>
    <w:p>
      <w:pPr>
        <w:spacing w:after="200" w:before="0"/>
        <w:jc w:val="both"/>
      </w:pPr>
      <w:r>
        <w:rPr>
          <w:b w:val="false"/>
          <w:bCs w:val="false"/>
          <w:i w:val="false"/>
          <w:iCs w:val="false"/>
        </w:rPr>
        <w:t xml:space="preserve">Antecipar a resolução da Anatel que estende a exigência de numeração E.164 ao SCM (Serviço de Comunicação Multimídia) a partir de 1º de março de 2027, ao mesmo tempo em que reduz custo de trânsito IP via recomendação automatizada de migração para peering settlement-free, quando disponível e elegível.</w:t>
      </w:r>
    </w:p>
    <w:p>
      <w:pPr>
        <w:pStyle w:val="Heading2"/>
      </w:pPr>
      <w:r>
        <w:t xml:space="preserve">1.3 Aplicações</w:t>
      </w:r>
    </w:p>
    <w:p>
      <w:pPr>
        <w:pStyle w:val="ListParagraph"/>
        <w:numPr>
          <w:ilvl w:val="0"/>
          <w:numId w:val="2"/>
        </w:numPr>
        <w:spacing w:after="120"/>
      </w:pPr>
      <w:r>
        <w:rPr>
          <w:b/>
          <w:bCs/>
        </w:rPr>
        <w:t xml:space="preserve">Compliance: </w:t>
      </w:r>
      <w:r>
        <w:t xml:space="preserve">mapeamento antecipado de PPIs (Pontos de Presença de Interconexão), rotas e obrigações de interconexão de voz antes do prazo regulatório de março de 2027.</w:t>
      </w:r>
    </w:p>
    <w:p>
      <w:pPr>
        <w:pStyle w:val="ListParagraph"/>
        <w:numPr>
          <w:ilvl w:val="0"/>
          <w:numId w:val="2"/>
        </w:numPr>
        <w:spacing w:after="120"/>
      </w:pPr>
      <w:r>
        <w:rPr>
          <w:b/>
          <w:bCs/>
        </w:rPr>
        <w:t xml:space="preserve">Financeiro: </w:t>
      </w:r>
      <w:r>
        <w:t xml:space="preserve">o LCBR recomenda migração de trânsito pago para peering settlement-free, com economia mensal estimada — em modo consultivo, sem aplicação automática.</w:t>
      </w:r>
    </w:p>
    <w:p>
      <w:pPr>
        <w:pStyle w:val="ListParagraph"/>
        <w:numPr>
          <w:ilvl w:val="0"/>
          <w:numId w:val="2"/>
        </w:numPr>
        <w:spacing w:after="120"/>
      </w:pPr>
      <w:r>
        <w:rPr>
          <w:b/>
          <w:bCs/>
        </w:rPr>
        <w:t xml:space="preserve">NOC: </w:t>
      </w:r>
      <w:r>
        <w:t xml:space="preserve">causa provável automatizada (camada Bayesiana) e antecipação de estado crítico (camada de Markov) para cada alerta.</w:t>
      </w:r>
    </w:p>
    <w:p>
      <w:pPr>
        <w:pStyle w:val="ListParagraph"/>
        <w:numPr>
          <w:ilvl w:val="0"/>
          <w:numId w:val="2"/>
        </w:numPr>
        <w:spacing w:after="120"/>
      </w:pPr>
      <w:r>
        <w:rPr>
          <w:b/>
          <w:bCs/>
        </w:rPr>
        <w:t xml:space="preserve">Jurídico/Comercial: </w:t>
      </w:r>
      <w:r>
        <w:t xml:space="preserve">o Diagrama H expõe quanto do tráfego está em trânsito de terceiros sem cobertura contratual.</w:t>
      </w:r>
    </w:p>
    <w:p>
      <w:pPr>
        <w:pStyle w:val="Heading2"/>
      </w:pPr>
      <w:r>
        <w:t xml:space="preserve">1.4 Benefícios</w:t>
      </w:r>
    </w:p>
    <w:p>
      <w:pPr>
        <w:spacing w:after="200" w:before="0"/>
        <w:jc w:val="both"/>
      </w:pPr>
      <w:r>
        <w:rPr>
          <w:b w:val="false"/>
          <w:bCs w:val="false"/>
          <w:i w:val="false"/>
          <w:iCs w:val="false"/>
        </w:rPr>
        <w:t xml:space="preserve">Herança carrier-class: mesma engenharia do ITXView já em produção na Claro/Embratel — segundo o material de posicionamento da Vísent, não é um entrante novo no segmento, e a faixa de precificação institucional já estabelecida para o portfólio de interconexão/peering ISP é de R$ 3.500 a R$ 12.000 por mês por ASN.</w:t>
      </w:r>
    </w:p>
    <w:p>
      <w:pPr>
        <w:pStyle w:val="Heading2"/>
      </w:pPr>
      <w:r>
        <w:t xml:space="preserve">1.5 Diferenciais</w:t>
      </w:r>
    </w:p>
    <w:p>
      <w:pPr>
        <w:spacing w:after="200" w:before="0"/>
        <w:jc w:val="both"/>
      </w:pPr>
      <w:r>
        <w:rPr>
          <w:b w:val="false"/>
          <w:bCs w:val="false"/>
          <w:i w:val="false"/>
          <w:iCs w:val="false"/>
        </w:rPr>
        <w:t xml:space="preserve">Diagrama H — classifica o tráfego em torno de um ponto de interconexão (POI) em quatro cenários: interno (não atravessa o POI), saída, entrada e trânsito/transporte (não se origina nem termina na rede do ISP — o cenário de maior exposição a custo não contratado). Cada aresta do grafo multiplex recebe esse atributo como tag de contexto adicional, sem exigir nova fonte de dado — segundo o próprio texto do Assistente do produto, legível no bundle de produção.</w:t>
      </w:r>
    </w:p>
    <w:p>
      <w:pPr>
        <w:pStyle w:val="Heading2"/>
      </w:pPr>
      <w:r>
        <w:t xml:space="preserve">1.6 Arquitetura (visão executiva)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A9C4" w:sz="4"/>
              <w:left w:val="single" w:color="8DA9C4" w:sz="24"/>
              <w:bottom w:val="single" w:color="8DA9C4" w:sz="4"/>
              <w:right w:val="single" w:color="8DA9C4" w:sz="4"/>
            </w:tcBorders>
            <w:shd w:fill="E8EEF5" w:val="clear"/>
            <w:tcMar>
              <w:top w:type="dxa" w:w="140"/>
              <w:left w:type="dxa" w:w="200"/>
              <w:bottom w:type="dxa" w:w="140"/>
              <w:right w:type="dxa" w:w="200"/>
            </w:tcMar>
          </w:tcPr>
          <w:p>
            <w:pPr>
              <w:jc w:val="both"/>
            </w:pPr>
            <w:r>
              <w:rPr>
                <w:i/>
                <w:iCs/>
                <w:color w:val="2E4A66"/>
                <w:sz w:val="19"/>
                <w:szCs w:val="19"/>
              </w:rPr>
              <w:t xml:space="preserve">Não verificável contra código-fonte nesta documentação — o repositório contém apenas o bundle React compilado (itxview/assets/index-*.js, index-*.css), sem os arquivos-fonte (.jsx/.tsx) que permitiriam descrever a arquitetura interna com precisão. O que se pode afirmar com segurança, a partir do próprio bundle: é uma aplicação React (client-side), com um Assistente RAG embutido cujo corpus de respostas é legível como texto plano dentro do arquivo minificado.</w:t>
            </w:r>
          </w:p>
        </w:tc>
      </w:tr>
    </w:tbl>
    <w:p>
      <w:pPr>
        <w:pStyle w:val="Heading2"/>
      </w:pPr>
      <w:r>
        <w:t xml:space="preserve">1.7 Funcionalidades</w:t>
      </w:r>
    </w:p>
    <w:p>
      <w:pPr>
        <w:spacing w:after="200" w:before="0"/>
        <w:jc w:val="both"/>
      </w:pPr>
      <w:r>
        <w:rPr>
          <w:b w:val="false"/>
          <w:bCs w:val="false"/>
          <w:i w:val="false"/>
          <w:iCs w:val="false"/>
        </w:rPr>
        <w:t xml:space="preserve">Identificadas a partir de strings de texto legíveis no bundle de produção e do card da Lounge — lista não necessariamente exaustiva, dado que o código-fonte não pôde ser inspecionado: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Componente</w:t>
            </w:r>
          </w:p>
        </w:tc>
        <w:tc>
          <w:tcPr>
            <w:tcW w:type="dxa" w:w="636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O que faz (conforme texto do próprio produto)</w:t>
            </w:r>
          </w:p>
        </w:tc>
      </w:tr>
      <w:tr>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LCBR (Least Cost Best Route)</w:t>
            </w:r>
          </w:p>
        </w:tc>
        <w:tc>
          <w:tcPr>
            <w:tcW w:type="dxa" w:w="63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Motor consultivo que recomenda a rota de menor custo entre os caminhos viáveis para o tráfego de saída, combinando custo comercial, qualidade (estado Markov da rota/sessão) e um quarto insumo de compliance — verifica se a rota respeita o SLA mínimo do acordo de interconexão vigente e a normatização Anatel aplicável. Opera em modo consultivo, sem aplicação automática.</w:t>
            </w:r>
          </w:p>
        </w:tc>
      </w:tr>
      <w:tr>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Diagrama H</w:t>
            </w:r>
          </w:p>
        </w:tc>
        <w:tc>
          <w:tcPr>
            <w:tcW w:type="dxa" w:w="63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Classifica o tráfego em torno de um POI em 4 cenários (interno/saída/entrada/trânsito). Ver §1.5.</w:t>
            </w:r>
          </w:p>
        </w:tc>
      </w:tr>
      <w:tr>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Camada Bayesiana (Alertas)</w:t>
            </w:r>
          </w:p>
        </w:tc>
        <w:tc>
          <w:tcPr>
            <w:tcW w:type="dxa" w:w="63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Calcula, para cada alerta, um score de causa provável entre hipóteses concorrentes (ex.: sobrecarga real, erro de roteamento, falha de central), a partir de evidências observadas no CDR/tensor — base do painel "Score de causa provável" na tela de Alertas.</w:t>
            </w:r>
          </w:p>
        </w:tc>
      </w:tr>
      <w:tr>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Camada de Markov (Alertas)</w:t>
            </w:r>
          </w:p>
        </w:tc>
        <w:tc>
          <w:tcPr>
            <w:tcW w:type="dxa" w:w="63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Estima a probabilidade de uma rota ou sessão transitar para um estado mais crítico na próxima janela de tempo — base do painel "Antecipação" na tela de Alertas e de parte das recomendações do LCBR.</w:t>
            </w:r>
          </w:p>
        </w:tc>
      </w:tr>
      <w:tr>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Assistente RAG com citação</w:t>
            </w:r>
          </w:p>
        </w:tc>
        <w:tc>
          <w:tcPr>
            <w:tcW w:type="dxa" w:w="63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Responde perguntas contextualizadas citando fonte — corpus de documentos incluindo acordos de interconexão de voz (PPI), acordos de peering, catálogo de trânsito IP, critérios de elegibilidade para peering settlement-free e normas Anatel/eTOM S/PRM.</w:t>
            </w:r>
          </w:p>
        </w:tc>
      </w:tr>
    </w:tbl>
    <w:p>
      <w:pPr>
        <w:pStyle w:val="Heading2"/>
      </w:pPr>
      <w:r>
        <w:t xml:space="preserve">1.8 Entradas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A9C4" w:sz="4"/>
              <w:left w:val="single" w:color="8DA9C4" w:sz="24"/>
              <w:bottom w:val="single" w:color="8DA9C4" w:sz="4"/>
              <w:right w:val="single" w:color="8DA9C4" w:sz="4"/>
            </w:tcBorders>
            <w:shd w:fill="E8EEF5" w:val="clear"/>
            <w:tcMar>
              <w:top w:type="dxa" w:w="140"/>
              <w:left w:type="dxa" w:w="200"/>
              <w:bottom w:type="dxa" w:w="140"/>
              <w:right w:type="dxa" w:w="200"/>
            </w:tcMar>
          </w:tcPr>
          <w:p>
            <w:pPr>
              <w:jc w:val="both"/>
            </w:pPr>
            <w:r>
              <w:rPr>
                <w:i/>
                <w:iCs/>
                <w:color w:val="2E4A66"/>
                <w:sz w:val="19"/>
                <w:szCs w:val="19"/>
              </w:rPr>
              <w:t xml:space="preserve">Não verificável contra código-fonte — o material institucional da Vísent descreve o ITXView como consumindo CDR (Call Detail Records) de voz e dado de BGP/peering (IX.br), mas o schema exato de entrada não pôde ser confirmado sem acesso ao código-fonte.</w:t>
            </w:r>
          </w:p>
        </w:tc>
      </w:tr>
    </w:tbl>
    <w:p>
      <w:pPr>
        <w:pStyle w:val="Heading2"/>
      </w:pPr>
      <w:r>
        <w:t xml:space="preserve">1.9 Transformações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A9C4" w:sz="4"/>
              <w:left w:val="single" w:color="8DA9C4" w:sz="24"/>
              <w:bottom w:val="single" w:color="8DA9C4" w:sz="4"/>
              <w:right w:val="single" w:color="8DA9C4" w:sz="4"/>
            </w:tcBorders>
            <w:shd w:fill="E8EEF5" w:val="clear"/>
            <w:tcMar>
              <w:top w:type="dxa" w:w="140"/>
              <w:left w:type="dxa" w:w="200"/>
              <w:bottom w:type="dxa" w:w="140"/>
              <w:right w:type="dxa" w:w="200"/>
            </w:tcMar>
          </w:tcPr>
          <w:p>
            <w:pPr>
              <w:jc w:val="both"/>
            </w:pPr>
            <w:r>
              <w:rPr>
                <w:i/>
                <w:iCs/>
                <w:color w:val="2E4A66"/>
                <w:sz w:val="19"/>
                <w:szCs w:val="19"/>
              </w:rPr>
              <w:t xml:space="preserve">Não verificável contra código-fonte nesta documentação.</w:t>
            </w:r>
          </w:p>
        </w:tc>
      </w:tr>
    </w:tbl>
    <w:p>
      <w:pPr>
        <w:pStyle w:val="Heading2"/>
      </w:pPr>
      <w:r>
        <w:t xml:space="preserve">1.10 Persistência e Saídas</w:t>
      </w:r>
    </w:p>
    <w:p>
      <w:pPr>
        <w:spacing w:after="200" w:before="0"/>
        <w:jc w:val="both"/>
      </w:pPr>
      <w:r>
        <w:rPr>
          <w:b w:val="false"/>
          <w:bCs w:val="false"/>
          <w:i w:val="false"/>
          <w:iCs w:val="false"/>
        </w:rPr>
        <w:t xml:space="preserve">Identificado no repositório: um diretório itxview/docs/acordos/ com 10 documentos de acordo (formatados como .docx e .pdf, um par por acordo) — Interconexão de Voz PPI-01 a PPI-04 (Claro, Vivo, Embratel, TIM), Trânsito IP (Upstream Claro NET, Upstream Algar) e Peering (AS65000 × Google, Cloudflare, Netflix OCA, ISP Regional A) — que compõem a base de conhecimento citável do Assistente RAG do produto.</w:t>
      </w:r>
    </w:p>
    <w:p>
      <w:pPr>
        <w:pStyle w:val="Heading2"/>
      </w:pPr>
      <w:r>
        <w:t xml:space="preserve">1.11 Integrações</w:t>
      </w:r>
    </w:p>
    <w:p>
      <w:pPr>
        <w:spacing w:after="200" w:before="0"/>
        <w:jc w:val="both"/>
      </w:pPr>
      <w:r>
        <w:rPr>
          <w:b w:val="false"/>
          <w:bCs w:val="false"/>
          <w:i w:val="false"/>
          <w:iCs w:val="false"/>
        </w:rPr>
        <w:t xml:space="preserve">Citado no card da Lounge: IX.br (participação em pontos de troca de tráfego) e a normatização Anatel de numeração E.164. Sem acesso ao código-fonte, não foi possível verificar se essas integrações são de fato implementadas ou apenas referenciadas no corpus do Assistente.</w:t>
      </w:r>
    </w:p>
    <w:p>
      <w:pPr>
        <w:pStyle w:val="Heading2"/>
      </w:pPr>
      <w:r>
        <w:t xml:space="preserve">1.12 Ambientes</w:t>
      </w:r>
    </w:p>
    <w:p>
      <w:pPr>
        <w:spacing w:after="200" w:before="0"/>
        <w:jc w:val="both"/>
      </w:pPr>
      <w:r>
        <w:rPr>
          <w:b w:val="false"/>
          <w:bCs w:val="false"/>
          <w:i w:val="false"/>
          <w:iCs w:val="false"/>
        </w:rPr>
        <w:t xml:space="preserve">Bundle de produção React compilado, servido como aplicação web estática (itxview/index.html + assets/index-*.js/.css) — mesmo padrão de hospedagem estática dos demais apps da Lounge.</w:t>
      </w:r>
    </w:p>
    <w:p>
      <w:pPr>
        <w:pStyle w:val="Heading2"/>
      </w:pPr>
      <w:r>
        <w:t xml:space="preserve">1.13 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A9C4" w:sz="4"/>
              <w:left w:val="single" w:color="8DA9C4" w:sz="24"/>
              <w:bottom w:val="single" w:color="8DA9C4" w:sz="4"/>
              <w:right w:val="single" w:color="8DA9C4" w:sz="4"/>
            </w:tcBorders>
            <w:shd w:fill="E8EEF5" w:val="clear"/>
            <w:tcMar>
              <w:top w:type="dxa" w:w="140"/>
              <w:left w:type="dxa" w:w="200"/>
              <w:bottom w:type="dxa" w:w="140"/>
              <w:right w:type="dxa" w:w="200"/>
            </w:tcMar>
          </w:tcPr>
          <w:p>
            <w:pPr>
              <w:jc w:val="both"/>
            </w:pPr>
            <w:r>
              <w:rPr>
                <w:i/>
                <w:iCs/>
                <w:color w:val="2E4A66"/>
                <w:sz w:val="19"/>
                <w:szCs w:val="19"/>
              </w:rPr>
              <w:t xml:space="preserve">Não verificável contra código-fonte — sem acesso ao package.json ou equivalente, não é possível listar as dependências exatas do bundle React.</w:t>
            </w:r>
          </w:p>
        </w:tc>
      </w:tr>
    </w:tbl>
    <w:p>
      <w:pPr>
        <w:pStyle w:val="Heading2"/>
      </w:pPr>
      <w:r>
        <w:t xml:space="preserve">1.14 Deploy</w:t>
      </w:r>
    </w:p>
    <w:p>
      <w:pPr>
        <w:spacing w:after="200" w:before="0"/>
        <w:jc w:val="both"/>
      </w:pPr>
      <w:r>
        <w:rPr>
          <w:b w:val="false"/>
          <w:bCs w:val="false"/>
          <w:i w:val="false"/>
          <w:iCs w:val="false"/>
        </w:rPr>
        <w:t xml:space="preserve">Bundle já compilado e versionado no repositório (itxview/assets/) — não há passo de build documentado neste repositório para o ITXView, diferente do JourneyGraph (que documenta seu próprio pipeline Python).</w:t>
      </w:r>
    </w:p>
    <w:p>
      <w:pPr>
        <w:pStyle w:val="Heading2"/>
      </w:pPr>
      <w:r>
        <w:t xml:space="preserve">1.15 Testes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A9C4" w:sz="4"/>
              <w:left w:val="single" w:color="8DA9C4" w:sz="24"/>
              <w:bottom w:val="single" w:color="8DA9C4" w:sz="4"/>
              <w:right w:val="single" w:color="8DA9C4" w:sz="4"/>
            </w:tcBorders>
            <w:shd w:fill="E8EEF5" w:val="clear"/>
            <w:tcMar>
              <w:top w:type="dxa" w:w="140"/>
              <w:left w:type="dxa" w:w="200"/>
              <w:bottom w:type="dxa" w:w="140"/>
              <w:right w:type="dxa" w:w="200"/>
            </w:tcMar>
          </w:tcPr>
          <w:p>
            <w:pPr>
              <w:jc w:val="both"/>
            </w:pPr>
            <w:r>
              <w:rPr>
                <w:i/>
                <w:iCs/>
                <w:color w:val="2E4A66"/>
                <w:sz w:val="19"/>
                <w:szCs w:val="19"/>
              </w:rPr>
              <w:t xml:space="preserve">Não verificável contra código-fonte.</w:t>
            </w:r>
          </w:p>
        </w:tc>
      </w:tr>
    </w:tbl>
    <w:p>
      <w:pPr>
        <w:pStyle w:val="Heading2"/>
      </w:pPr>
      <w:r>
        <w:t xml:space="preserve">1.16 Capacitação</w:t>
      </w:r>
    </w:p>
    <w:p>
      <w:pPr>
        <w:spacing w:after="200" w:before="0"/>
        <w:jc w:val="both"/>
      </w:pPr>
      <w:r>
        <w:rPr>
          <w:b w:val="false"/>
          <w:bCs w:val="false"/>
          <w:i w:val="false"/>
          <w:iCs w:val="false"/>
        </w:rPr>
        <w:t xml:space="preserve">Assistente RAG com citação obrigatória de fonte, no mesmo espírito dos demais produtos maduros da Lounge, segundo o próprio JourneyGraph (que cita o ITXView como o protótipo irmão cujo Assistente segue "mesmo padrão do JourneyGraph — busca por palavra-chave e lexical, sem embeddings, sem LLM real").</w:t>
      </w:r>
    </w:p>
    <w:p>
      <w:pPr>
        <w:pStyle w:val="Heading2"/>
      </w:pPr>
      <w:r>
        <w:t xml:space="preserve">1.17 Sustentação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A9C4" w:sz="4"/>
              <w:left w:val="single" w:color="8DA9C4" w:sz="24"/>
              <w:bottom w:val="single" w:color="8DA9C4" w:sz="4"/>
              <w:right w:val="single" w:color="8DA9C4" w:sz="4"/>
            </w:tcBorders>
            <w:shd w:fill="E8EEF5" w:val="clear"/>
            <w:tcMar>
              <w:top w:type="dxa" w:w="140"/>
              <w:left w:type="dxa" w:w="200"/>
              <w:bottom w:type="dxa" w:w="140"/>
              <w:right w:type="dxa" w:w="200"/>
            </w:tcMar>
          </w:tcPr>
          <w:p>
            <w:pPr>
              <w:jc w:val="both"/>
            </w:pPr>
            <w:r>
              <w:rPr>
                <w:i/>
                <w:iCs/>
                <w:color w:val="2E4A66"/>
                <w:sz w:val="19"/>
                <w:szCs w:val="19"/>
              </w:rPr>
              <w:t xml:space="preserve">Não verificável contra código-fonte — sem histórico de commits específico para o ITXView neste repositório (ver §1.18).</w:t>
            </w:r>
          </w:p>
        </w:tc>
      </w:tr>
    </w:tbl>
    <w:p>
      <w:pPr>
        <w:pStyle w:val="Heading2"/>
      </w:pPr>
      <w:r>
        <w:t xml:space="preserve">1.18 Histórico de Evolução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A9C4" w:sz="4"/>
              <w:left w:val="single" w:color="8DA9C4" w:sz="24"/>
              <w:bottom w:val="single" w:color="8DA9C4" w:sz="4"/>
              <w:right w:val="single" w:color="8DA9C4" w:sz="4"/>
            </w:tcBorders>
            <w:shd w:fill="E8EEF5" w:val="clear"/>
            <w:tcMar>
              <w:top w:type="dxa" w:w="140"/>
              <w:left w:type="dxa" w:w="200"/>
              <w:bottom w:type="dxa" w:w="140"/>
              <w:right w:type="dxa" w:w="200"/>
            </w:tcMar>
          </w:tcPr>
          <w:p>
            <w:pPr>
              <w:jc w:val="both"/>
            </w:pPr>
            <w:r>
              <w:rPr>
                <w:i/>
                <w:iCs/>
                <w:color w:val="2E4A66"/>
                <w:sz w:val="19"/>
                <w:szCs w:val="19"/>
              </w:rPr>
              <w:t xml:space="preserve">Não aplicável nesta documentação: `git log --oneline -- itxview/` não retorna nenhum commit que introduza ou altere o produto — o bundle já chega pronto ao repositório, sem histórico de desenvolvimento incremental versionado como código-fonte. O único commit que toca a Lounge de forma a incluir o ITXView é e4df42f (27/07/2026, "Reestrutura o Pages como lounge de soluções ISP: JourneyGraph + ITXView"), que é sobre a estrutura da Lounge, não sobre o produto ITXView em si.</w:t>
            </w:r>
          </w:p>
        </w:tc>
      </w:tr>
    </w:tbl>
    <w:p>
      <w:pPr>
        <w:pStyle w:val="Heading1"/>
      </w:pPr>
      <w:r>
        <w:t xml:space="preserve">2. Tech Reference</w:t>
      </w:r>
    </w:p>
    <w:p>
      <w:pPr>
        <w:spacing w:after="200" w:before="0"/>
        <w:jc w:val="both"/>
      </w:pPr>
      <w:r>
        <w:rPr>
          <w:b w:val="false"/>
          <w:bCs w:val="false"/>
          <w:i w:val="false"/>
          <w:iCs w:val="false"/>
        </w:rPr>
        <w:t xml:space="preserve">Capítulo necessariamente enxuto — ver nota de escopo no início deste documento. O que pôde ser verificado com segurança a partir do bundle de produção:</w:t>
      </w:r>
    </w:p>
    <w:p>
      <w:pPr>
        <w:pStyle w:val="Heading2"/>
      </w:pPr>
      <w:r>
        <w:t xml:space="preserve">2.1 Arquitetura Detalhada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A9C4" w:sz="4"/>
              <w:left w:val="single" w:color="8DA9C4" w:sz="24"/>
              <w:bottom w:val="single" w:color="8DA9C4" w:sz="4"/>
              <w:right w:val="single" w:color="8DA9C4" w:sz="4"/>
            </w:tcBorders>
            <w:shd w:fill="E8EEF5" w:val="clear"/>
            <w:tcMar>
              <w:top w:type="dxa" w:w="140"/>
              <w:left w:type="dxa" w:w="200"/>
              <w:bottom w:type="dxa" w:w="140"/>
              <w:right w:type="dxa" w:w="200"/>
            </w:tcMar>
          </w:tcPr>
          <w:p>
            <w:pPr>
              <w:jc w:val="both"/>
            </w:pPr>
            <w:r>
              <w:rPr>
                <w:i/>
                <w:iCs/>
                <w:color w:val="2E4A66"/>
                <w:sz w:val="19"/>
                <w:szCs w:val="19"/>
              </w:rPr>
              <w:t xml:space="preserve">Não verificável contra código-fonte. Identificável apenas por evidência indireta: é uma Single Page Application em React (a biblioteca React é identificável no próprio bundle minificado), com roteamento e renderização inteiramente client-side.</w:t>
            </w:r>
          </w:p>
        </w:tc>
      </w:tr>
    </w:tbl>
    <w:p>
      <w:pPr>
        <w:pStyle w:val="Heading2"/>
      </w:pPr>
      <w:r>
        <w:t xml:space="preserve">2.2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Componente</w:t>
            </w:r>
          </w:p>
        </w:tc>
        <w:tc>
          <w:tcPr>
            <w:tcW w:type="dxa" w:w="636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Evidência</w:t>
            </w:r>
          </w:p>
        </w:tc>
      </w:tr>
      <w:tr>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React</w:t>
            </w:r>
          </w:p>
        </w:tc>
        <w:tc>
          <w:tcPr>
            <w:tcW w:type="dxa" w:w="63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Identificado diretamente no código do bundle (padrões de runtime do React 18+, ex. tratamento de eventos sintéticos, hidratação).</w:t>
            </w:r>
          </w:p>
        </w:tc>
      </w:tr>
      <w:tr>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Build</w:t>
            </w:r>
          </w:p>
        </w:tc>
        <w:tc>
          <w:tcPr>
            <w:tcW w:type="dxa" w:w="63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Nome de arquivo com hash de conteúdo (index-C8KFghak.js, index-DReZgw0I.css) — padrão típico de ferramentas de build modernas (Vite/Webpack/esbuild), sem possibilidade de confirmar qual delas sem acesso à configuração de build.</w:t>
            </w:r>
          </w:p>
        </w:tc>
      </w:tr>
    </w:tbl>
    <w:p>
      <w:pPr>
        <w:pStyle w:val="Heading2"/>
      </w:pPr>
      <w:r>
        <w:t xml:space="preserve">2.3 Desempenho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A9C4" w:sz="4"/>
              <w:left w:val="single" w:color="8DA9C4" w:sz="24"/>
              <w:bottom w:val="single" w:color="8DA9C4" w:sz="4"/>
              <w:right w:val="single" w:color="8DA9C4" w:sz="4"/>
            </w:tcBorders>
            <w:shd w:fill="E8EEF5" w:val="clear"/>
            <w:tcMar>
              <w:top w:type="dxa" w:w="140"/>
              <w:left w:type="dxa" w:w="200"/>
              <w:bottom w:type="dxa" w:w="140"/>
              <w:right w:type="dxa" w:w="200"/>
            </w:tcMar>
          </w:tcPr>
          <w:p>
            <w:pPr>
              <w:jc w:val="both"/>
            </w:pPr>
            <w:r>
              <w:rPr>
                <w:i/>
                <w:iCs/>
                <w:color w:val="2E4A66"/>
                <w:sz w:val="19"/>
                <w:szCs w:val="19"/>
              </w:rPr>
              <w:t xml:space="preserve">Não verificável contra código-fonte.</w:t>
            </w:r>
          </w:p>
        </w:tc>
      </w:tr>
    </w:tbl>
    <w:p>
      <w:pPr>
        <w:pStyle w:val="Heading2"/>
      </w:pPr>
      <w:r>
        <w:t xml:space="preserve">2.4 Parametrização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A9C4" w:sz="4"/>
              <w:left w:val="single" w:color="8DA9C4" w:sz="24"/>
              <w:bottom w:val="single" w:color="8DA9C4" w:sz="4"/>
              <w:right w:val="single" w:color="8DA9C4" w:sz="4"/>
            </w:tcBorders>
            <w:shd w:fill="E8EEF5" w:val="clear"/>
            <w:tcMar>
              <w:top w:type="dxa" w:w="140"/>
              <w:left w:type="dxa" w:w="200"/>
              <w:bottom w:type="dxa" w:w="140"/>
              <w:right w:type="dxa" w:w="200"/>
            </w:tcMar>
          </w:tcPr>
          <w:p>
            <w:pPr>
              <w:jc w:val="both"/>
            </w:pPr>
            <w:r>
              <w:rPr>
                <w:i/>
                <w:iCs/>
                <w:color w:val="2E4A66"/>
                <w:sz w:val="19"/>
                <w:szCs w:val="19"/>
              </w:rPr>
              <w:t xml:space="preserve">Não verificável contra código-fonte.</w:t>
            </w:r>
          </w:p>
        </w:tc>
      </w:tr>
    </w:tbl>
    <w:p>
      <w:pPr>
        <w:pStyle w:val="Heading2"/>
      </w:pPr>
      <w:r>
        <w:t xml:space="preserve">2.5 ML / IA / RAG / Agentes</w:t>
      </w:r>
    </w:p>
    <w:p>
      <w:pPr>
        <w:spacing w:after="200" w:before="0"/>
        <w:jc w:val="both"/>
      </w:pPr>
      <w:r>
        <w:rPr>
          <w:b w:val="false"/>
          <w:bCs w:val="false"/>
          <w:i w:val="false"/>
          <w:iCs w:val="false"/>
        </w:rPr>
        <w:t xml:space="preserve">Com base no texto legível do próprio corpus do Assistente (extraído do bundle) e na citação cruzada feita pelo JourneyGraph: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92A" w:sz="4"/>
              <w:left w:val="single" w:color="C0792A" w:sz="24"/>
              <w:bottom w:val="single" w:color="C0792A" w:sz="4"/>
              <w:right w:val="single" w:color="C0792A" w:sz="4"/>
            </w:tcBorders>
            <w:shd w:fill="FDEBD0" w:val="clear"/>
            <w:tcMar>
              <w:top w:type="dxa" w:w="140"/>
              <w:left w:type="dxa" w:w="200"/>
              <w:bottom w:type="dxa" w:w="140"/>
              <w:right w:type="dxa" w:w="200"/>
            </w:tcMar>
          </w:tcPr>
          <w:p>
            <w:pPr>
              <w:jc w:val="both"/>
            </w:pPr>
            <w:r>
              <w:rPr>
                <w:b/>
                <w:bCs/>
                <w:color w:val="7F4F0E"/>
                <w:sz w:val="19"/>
                <w:szCs w:val="19"/>
              </w:rPr>
              <w:t xml:space="preserve">Nota de honestidade metodológica citada pelo próprio JourneyGraph (Anexo B do Tech Reference do JourneyGraph, tr-8): </w:t>
            </w:r>
            <w:r>
              <w:rPr>
                <w:color w:val="594019"/>
                <w:sz w:val="19"/>
                <w:szCs w:val="19"/>
              </w:rPr>
              <w:t xml:space="preserve">"o protótipo irmão ITXView ISP Edition, cuja própria documentação interna descreve a 'camada Bayesiana' como um score de causa provável entre hipóteses concorrentes, não um modelo estatístico formal" — ou seja, mesmo a documentação interna do próprio ITXView (não apenas esta análise externa) já qualifica sua camada Bayesiana como um score, não necessariamente um modelo Bayesiano formal com posterior real. O texto legível no bundle (ver tabela de §1.7) confirma o vocabulário — "score de causa provável entre hipóteses concorrentes" — mas não permite confirmar, sem o código-fonte, se o cálculo por trás é de fato um posterior Bayesiano real (como o NetGraph e o JourneyGraph pós-02/08/2026 implementam) ou uma heurística de pontuação com nome Bayesiano.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A9C4" w:sz="4"/>
              <w:left w:val="single" w:color="8DA9C4" w:sz="24"/>
              <w:bottom w:val="single" w:color="8DA9C4" w:sz="4"/>
              <w:right w:val="single" w:color="8DA9C4" w:sz="4"/>
            </w:tcBorders>
            <w:shd w:fill="E8EEF5" w:val="clear"/>
            <w:tcMar>
              <w:top w:type="dxa" w:w="140"/>
              <w:left w:type="dxa" w:w="200"/>
              <w:bottom w:type="dxa" w:w="140"/>
              <w:right w:type="dxa" w:w="200"/>
            </w:tcMar>
          </w:tcPr>
          <w:p>
            <w:pPr>
              <w:jc w:val="both"/>
            </w:pPr>
            <w:r>
              <w:rPr>
                <w:i/>
                <w:iCs/>
                <w:color w:val="2E4A66"/>
                <w:sz w:val="19"/>
                <w:szCs w:val="19"/>
              </w:rPr>
              <w:t xml:space="preserve">Mesma limitação de verificação se aplica à "camada de Markov" e ao LCBR — o texto do produto usa a terminologia correta ("estado Markov da rota/sessão", "probabilidade de transitar para um estado mais crítico"), mas a fórmula/implementação exata não pôde ser inspecionada.</w:t>
            </w:r>
          </w:p>
        </w:tc>
      </w:tr>
    </w:tbl>
    <w:p>
      <w:pPr>
        <w:pStyle w:val="Heading1"/>
      </w:pPr>
      <w:r>
        <w:t xml:space="preserve">3. Data Reference</w:t>
      </w:r>
    </w:p>
    <w:p>
      <w:pPr>
        <w:pStyle w:val="Heading2"/>
      </w:pPr>
      <w:r>
        <w:t xml:space="preserve">3.1 Dicionário de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A9C4" w:sz="4"/>
              <w:left w:val="single" w:color="8DA9C4" w:sz="24"/>
              <w:bottom w:val="single" w:color="8DA9C4" w:sz="4"/>
              <w:right w:val="single" w:color="8DA9C4" w:sz="4"/>
            </w:tcBorders>
            <w:shd w:fill="E8EEF5" w:val="clear"/>
            <w:tcMar>
              <w:top w:type="dxa" w:w="140"/>
              <w:left w:type="dxa" w:w="200"/>
              <w:bottom w:type="dxa" w:w="140"/>
              <w:right w:type="dxa" w:w="200"/>
            </w:tcMar>
          </w:tcPr>
          <w:p>
            <w:pPr>
              <w:jc w:val="both"/>
            </w:pPr>
            <w:r>
              <w:rPr>
                <w:i/>
                <w:iCs/>
                <w:color w:val="2E4A66"/>
                <w:sz w:val="19"/>
                <w:szCs w:val="19"/>
              </w:rPr>
              <w:t xml:space="preserve">Não verificável contra código-fonte — sem acesso ao schema de dados interno do bundle React.</w:t>
            </w:r>
          </w:p>
        </w:tc>
      </w:tr>
    </w:tbl>
    <w:p>
      <w:pPr>
        <w:pStyle w:val="Heading2"/>
      </w:pPr>
      <w:r>
        <w:t xml:space="preserve">3.2 Volumetria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Métrica</w:t>
            </w:r>
          </w:p>
        </w:tc>
        <w:tc>
          <w:tcPr>
            <w:tcW w:type="dxa" w:w="333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Valor observável</w:t>
            </w:r>
          </w:p>
        </w:tc>
        <w:tc>
          <w:tcPr>
            <w:tcW w:type="dxa" w:w="333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Observação</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Documentos de acordo (corpus RAG)</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10 pares .docx/.pdf</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itxview/docs/acordos/ — Interconexão de Voz (4 PPIs), Trânsito IP (2), Peering (4)</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Documentos normativos/eTOM citados pelo Assistente</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≥12 títulos legíveis no bundle</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Resoluções Anatel, RGI, eTOM S/PRM (5 subprocessos), catálogo de trânsito, critérios de peering</w:t>
            </w:r>
          </w:p>
        </w:tc>
      </w:tr>
    </w:tbl>
    <w:p>
      <w:pPr>
        <w:pStyle w:val="Heading2"/>
      </w:pPr>
      <w:r>
        <w:t xml:space="preserve">3.3 Esquema de Saída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A9C4" w:sz="4"/>
              <w:left w:val="single" w:color="8DA9C4" w:sz="24"/>
              <w:bottom w:val="single" w:color="8DA9C4" w:sz="4"/>
              <w:right w:val="single" w:color="8DA9C4" w:sz="4"/>
            </w:tcBorders>
            <w:shd w:fill="E8EEF5" w:val="clear"/>
            <w:tcMar>
              <w:top w:type="dxa" w:w="140"/>
              <w:left w:type="dxa" w:w="200"/>
              <w:bottom w:type="dxa" w:w="140"/>
              <w:right w:type="dxa" w:w="200"/>
            </w:tcMar>
          </w:tcPr>
          <w:p>
            <w:pPr>
              <w:jc w:val="both"/>
            </w:pPr>
            <w:r>
              <w:rPr>
                <w:i/>
                <w:iCs/>
                <w:color w:val="2E4A66"/>
                <w:sz w:val="19"/>
                <w:szCs w:val="19"/>
              </w:rPr>
              <w:t xml:space="preserve">Não verificável contra código-fonte.</w:t>
            </w:r>
          </w:p>
        </w:tc>
      </w:tr>
    </w:tbl>
    <w:p>
      <w:pPr>
        <w:pStyle w:val="Heading1"/>
      </w:pPr>
      <w:r>
        <w:t xml:space="preserve">4. Base Metodológica</w:t>
      </w:r>
    </w:p>
    <w:p>
      <w:pPr>
        <w:pStyle w:val="Heading2"/>
      </w:pPr>
      <w:r>
        <w:t xml:space="preserve">4.1 Bases Teóricas dos Algoritmos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A9C4" w:sz="4"/>
              <w:left w:val="single" w:color="8DA9C4" w:sz="24"/>
              <w:bottom w:val="single" w:color="8DA9C4" w:sz="4"/>
              <w:right w:val="single" w:color="8DA9C4" w:sz="4"/>
            </w:tcBorders>
            <w:shd w:fill="E8EEF5" w:val="clear"/>
            <w:tcMar>
              <w:top w:type="dxa" w:w="140"/>
              <w:left w:type="dxa" w:w="200"/>
              <w:bottom w:type="dxa" w:w="140"/>
              <w:right w:type="dxa" w:w="200"/>
            </w:tcMar>
          </w:tcPr>
          <w:p>
            <w:pPr>
              <w:jc w:val="both"/>
            </w:pPr>
            <w:r>
              <w:rPr>
                <w:i/>
                <w:iCs/>
                <w:color w:val="2E4A66"/>
                <w:sz w:val="19"/>
                <w:szCs w:val="19"/>
              </w:rPr>
              <w:t xml:space="preserve">Não verificável contra código-fonte — o vocabulário do produto (Markov, Bayes, LCBR) é conhecido pelo texto legível do bundle, mas as bases teóricas exatas (que técnica de cadeia de Markov, que forma de rede Bayesiana) não puderam ser confirmadas.</w:t>
            </w:r>
          </w:p>
        </w:tc>
      </w:tr>
    </w:tbl>
    <w:p>
      <w:pPr>
        <w:pStyle w:val="Heading2"/>
      </w:pPr>
      <w:r>
        <w:t xml:space="preserve">4.2 Normas e Frameworks Setoriais</w:t>
      </w:r>
    </w:p>
    <w:p>
      <w:pPr>
        <w:spacing w:after="200" w:before="0"/>
        <w:jc w:val="both"/>
      </w:pPr>
      <w:r>
        <w:rPr>
          <w:b w:val="false"/>
          <w:bCs w:val="false"/>
          <w:i w:val="false"/>
          <w:iCs w:val="false"/>
        </w:rPr>
        <w:t xml:space="preserve">Identificados a partir de títulos de documento legíveis no corpus do Assistente (bundle de produção):</w:t>
      </w:r>
    </w:p>
    <w:p>
      <w:pPr>
        <w:pStyle w:val="ListParagraph"/>
        <w:numPr>
          <w:ilvl w:val="0"/>
          <w:numId w:val="2"/>
        </w:numPr>
        <w:spacing w:after="120"/>
      </w:pPr>
      <w:r>
        <w:rPr>
          <w:b/>
          <w:bCs/>
        </w:rPr>
        <w:t xml:space="preserve">Resolução Anatel — Extensão de Numeração E.164 ao SCM: </w:t>
      </w:r>
      <w:r>
        <w:t xml:space="preserve">citada como documento normativo no corpus do Assistente, consistente com o posicionamento do produto em §1.2.</w:t>
      </w:r>
    </w:p>
    <w:p>
      <w:pPr>
        <w:pStyle w:val="ListParagraph"/>
        <w:numPr>
          <w:ilvl w:val="0"/>
          <w:numId w:val="2"/>
        </w:numPr>
        <w:spacing w:after="120"/>
      </w:pPr>
      <w:r>
        <w:rPr>
          <w:b/>
          <w:bCs/>
        </w:rPr>
        <w:t xml:space="preserve">Regulamento Geral de Interconexão (RGI) — Simetria de SLA: </w:t>
      </w:r>
      <w:r>
        <w:t xml:space="preserve">citado como documento normativo.</w:t>
      </w:r>
    </w:p>
    <w:p>
      <w:pPr>
        <w:pStyle w:val="ListParagraph"/>
        <w:numPr>
          <w:ilvl w:val="0"/>
          <w:numId w:val="2"/>
        </w:numPr>
        <w:spacing w:after="120"/>
      </w:pPr>
      <w:r>
        <w:rPr>
          <w:b/>
          <w:bCs/>
        </w:rPr>
        <w:t xml:space="preserve">Resolução sobre Portabilidade Numérica e Roteamento: </w:t>
      </w:r>
      <w:r>
        <w:t xml:space="preserve">citada como documento normativo.</w:t>
      </w:r>
    </w:p>
    <w:p>
      <w:pPr>
        <w:pStyle w:val="ListParagraph"/>
        <w:numPr>
          <w:ilvl w:val="0"/>
          <w:numId w:val="2"/>
        </w:numPr>
        <w:spacing w:after="120"/>
      </w:pPr>
      <w:r>
        <w:rPr>
          <w:b/>
          <w:bCs/>
        </w:rPr>
        <w:t xml:space="preserve">eTOM S/PRM (Supplier/Partner Relationship Management): </w:t>
      </w:r>
      <w:r>
        <w:t xml:space="preserve">5 subprocessos citados como documentos no corpus — Strategy &amp; Planning, Development &amp; Management, Interface Management, Problem/Issue Management, Settlements &amp; Billing Management. Consistente com a citação cruzada do JourneyGraph, que afirma que "o protótipo irmão ITXView ISP Edition cobre a vertical S/PRM sozinha (adequado ao seu domínio de interconexão)", enquanto o JourneyGraph cobre as 4 verticais do eTOM voltadas ao assinante.</w:t>
      </w:r>
    </w:p>
    <w:p>
      <w:pPr>
        <w:pStyle w:val="Heading2"/>
      </w:pPr>
      <w:r>
        <w:t xml:space="preserve">4.3 Referências Bibliográficas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A9C4" w:sz="4"/>
              <w:left w:val="single" w:color="8DA9C4" w:sz="24"/>
              <w:bottom w:val="single" w:color="8DA9C4" w:sz="4"/>
              <w:right w:val="single" w:color="8DA9C4" w:sz="4"/>
            </w:tcBorders>
            <w:shd w:fill="E8EEF5" w:val="clear"/>
            <w:tcMar>
              <w:top w:type="dxa" w:w="140"/>
              <w:left w:type="dxa" w:w="200"/>
              <w:bottom w:type="dxa" w:w="140"/>
              <w:right w:type="dxa" w:w="200"/>
            </w:tcMar>
          </w:tcPr>
          <w:p>
            <w:pPr>
              <w:jc w:val="both"/>
            </w:pPr>
            <w:r>
              <w:rPr>
                <w:i/>
                <w:iCs/>
                <w:color w:val="2E4A66"/>
                <w:sz w:val="19"/>
                <w:szCs w:val="19"/>
              </w:rPr>
              <w:t xml:space="preserve">Não verificável em detalhe além dos títulos listados em §4.2 — o texto normativo completo não está disponível para citação neste documento.</w:t>
            </w:r>
          </w:p>
        </w:tc>
      </w:tr>
    </w:tbl>
    <w:p>
      <w:pPr>
        <w:pStyle w:val="Heading1"/>
      </w:pPr>
      <w:r>
        <w:t xml:space="preserve">5. Use Cases</w:t>
      </w:r>
    </w:p>
    <w:p>
      <w:pPr>
        <w:pStyle w:val="Heading2"/>
      </w:pPr>
      <w:r>
        <w:t xml:space="preserve">Caso 1 — Antecipação Regulatória de Numeração E.164</w:t>
      </w:r>
    </w:p>
    <w:p>
      <w:pPr>
        <w:spacing w:after="200"/>
        <w:jc w:val="both"/>
      </w:pPr>
      <w:r>
        <w:rPr>
          <w:b/>
          <w:bCs/>
        </w:rPr>
        <w:t xml:space="preserve">Contexto: </w:t>
      </w:r>
      <w:r>
        <w:t xml:space="preserve">resolução Anatel estende a exigência de numeração E.164 ao SCM a partir de 1º de março de 2027 — ISPs regionais sem essa camada hoje enfrentam prazo apertado de adequação.</w:t>
      </w:r>
    </w:p>
    <w:p>
      <w:pPr>
        <w:spacing w:after="200"/>
        <w:jc w:val="both"/>
      </w:pPr>
      <w:r>
        <w:rPr>
          <w:b/>
          <w:bCs/>
        </w:rPr>
        <w:t xml:space="preserve">Benefícios: </w:t>
      </w:r>
      <w:r>
        <w:t xml:space="preserve">mapeamento antecipado de PPIs, rotas e obrigações de interconexão de voz antes do prazo regulatório, segundo o posicionamento comercial do produto.</w:t>
      </w:r>
    </w:p>
    <w:p>
      <w:pPr>
        <w:spacing w:after="200"/>
        <w:jc w:val="both"/>
      </w:pPr>
      <w:r>
        <w:rPr>
          <w:b/>
          <w:bCs/>
        </w:rPr>
        <w:t xml:space="preserve">Limitações: </w:t>
      </w:r>
      <w:r>
        <w:t xml:space="preserve">não verificável em detalhe técnico nesta documentação (ver nota de escopo).</w:t>
      </w:r>
    </w:p>
    <w:p>
      <w:pPr>
        <w:spacing w:after="200"/>
        <w:jc w:val="both"/>
      </w:pPr>
      <w:r>
        <w:rPr>
          <w:b/>
          <w:bCs/>
        </w:rPr>
        <w:t xml:space="preserve">Benchmark: </w:t>
      </w:r>
      <w:r>
        <w:t xml:space="preserve">herança carrier-class citada como diferencial — mesma engenharia já homologada na Claro/Embratel, não um entrante novo no segmento.</w:t>
      </w:r>
    </w:p>
    <w:p>
      <w:pPr>
        <w:spacing w:after="200"/>
        <w:jc w:val="both"/>
      </w:pPr>
      <w:r>
        <w:rPr>
          <w:b/>
          <w:bCs/>
        </w:rPr>
        <w:t xml:space="preserve">Exemplos: </w:t>
      </w:r>
      <w:r>
        <w:t xml:space="preserve">acordos de interconexão de voz PPI-01 a PPI-04 (Claro, Vivo, Embratel, TIM) presentes como documentos reais no repositório (itxview/docs/acordos/).</w:t>
      </w:r>
    </w:p>
    <w:p>
      <w:pPr>
        <w:pStyle w:val="Heading2"/>
      </w:pPr>
      <w:r>
        <w:t xml:space="preserve">Caso 2 — Otimização de Custo de Trânsito via LCBR</w:t>
      </w:r>
    </w:p>
    <w:p>
      <w:pPr>
        <w:spacing w:after="200"/>
        <w:jc w:val="both"/>
      </w:pPr>
      <w:r>
        <w:rPr>
          <w:b/>
          <w:bCs/>
        </w:rPr>
        <w:t xml:space="preserve">Contexto: </w:t>
      </w:r>
      <w:r>
        <w:t xml:space="preserve">ISP pagando trânsito IP quando peering settlement-free seria elegível e mais barato.</w:t>
      </w:r>
    </w:p>
    <w:p>
      <w:pPr>
        <w:spacing w:after="200"/>
        <w:jc w:val="both"/>
      </w:pPr>
      <w:r>
        <w:rPr>
          <w:b/>
          <w:bCs/>
        </w:rPr>
        <w:t xml:space="preserve">Benefícios: </w:t>
      </w:r>
      <w:r>
        <w:t xml:space="preserve">LCBR recomenda migração com economia mensal estimada, em modo consultivo (não aplica a mudança automaticamente).</w:t>
      </w:r>
    </w:p>
    <w:p>
      <w:pPr>
        <w:spacing w:after="200"/>
        <w:jc w:val="both"/>
      </w:pPr>
      <w:r>
        <w:rPr>
          <w:b/>
          <w:bCs/>
        </w:rPr>
        <w:t xml:space="preserve">Limitações: </w:t>
      </w:r>
      <w:r>
        <w:t xml:space="preserve">recomendação consultiva — decisão final permanece humana; critérios de elegibilidade para peering settlement-free precisam ser atendidos (documento "Critérios de Elegibilidade — Peering Settlement-Free" citado no corpus).</w:t>
      </w:r>
    </w:p>
    <w:p>
      <w:pPr>
        <w:spacing w:after="200"/>
        <w:jc w:val="both"/>
      </w:pPr>
      <w:r>
        <w:rPr>
          <w:b/>
          <w:bCs/>
        </w:rPr>
        <w:t xml:space="preserve">Benchmark: </w:t>
      </w:r>
      <w:r>
        <w:t xml:space="preserve">não verificável nesta documentação.</w:t>
      </w:r>
    </w:p>
    <w:p>
      <w:pPr>
        <w:spacing w:after="200"/>
        <w:jc w:val="both"/>
      </w:pPr>
      <w:r>
        <w:rPr>
          <w:b/>
          <w:bCs/>
        </w:rPr>
        <w:t xml:space="preserve">Exemplos: </w:t>
      </w:r>
      <w:r>
        <w:t xml:space="preserve">acordos de peering com AS65000 × Google, Cloudflare, Netflix OCA e ISP Regional A, presentes como documentos reais no repositório.</w:t>
      </w:r>
    </w:p>
    <w:p>
      <w:pPr>
        <w:pStyle w:val="Heading1"/>
      </w:pPr>
      <w:r>
        <w:t xml:space="preserve">Ressalvas / Honestidade Metodológica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92A" w:sz="4"/>
              <w:left w:val="single" w:color="C0792A" w:sz="24"/>
              <w:bottom w:val="single" w:color="C0792A" w:sz="4"/>
              <w:right w:val="single" w:color="C0792A" w:sz="4"/>
            </w:tcBorders>
            <w:shd w:fill="FDEBD0" w:val="clear"/>
            <w:tcMar>
              <w:top w:type="dxa" w:w="140"/>
              <w:left w:type="dxa" w:w="200"/>
              <w:bottom w:type="dxa" w:w="140"/>
              <w:right w:type="dxa" w:w="200"/>
            </w:tcMar>
          </w:tcPr>
          <w:p>
            <w:pPr>
              <w:jc w:val="both"/>
            </w:pPr>
            <w:r>
              <w:rPr>
                <w:b/>
                <w:bCs/>
                <w:color w:val="7F4F0E"/>
                <w:sz w:val="19"/>
                <w:szCs w:val="19"/>
              </w:rPr>
              <w:t xml:space="preserve">Limitação central desta documentação: </w:t>
            </w:r>
            <w:r>
              <w:rPr>
                <w:color w:val="594019"/>
                <w:sz w:val="19"/>
                <w:szCs w:val="19"/>
              </w:rPr>
              <w:t xml:space="preserve">o código-fonte do ITXView ISP Edition não está disponível neste repositório — apenas o bundle de produção compilado e minificado. Toda afirmação técnica deste documento que não vem de texto literal legível no bundle, do card da Lounge, ou de citação cruzada de outro produto do repositório (JourneyGraph) está marcada "Não verificável contra código-fonte", em vez de inferida ou inventada.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92A" w:sz="4"/>
              <w:left w:val="single" w:color="C0792A" w:sz="24"/>
              <w:bottom w:val="single" w:color="C0792A" w:sz="4"/>
              <w:right w:val="single" w:color="C0792A" w:sz="4"/>
            </w:tcBorders>
            <w:shd w:fill="FDEBD0" w:val="clear"/>
            <w:tcMar>
              <w:top w:type="dxa" w:w="140"/>
              <w:left w:type="dxa" w:w="200"/>
              <w:bottom w:type="dxa" w:w="140"/>
              <w:right w:type="dxa" w:w="200"/>
            </w:tcMar>
          </w:tcPr>
          <w:p>
            <w:pPr>
              <w:jc w:val="both"/>
            </w:pPr>
            <w:r>
              <w:rPr>
                <w:b/>
                <w:bCs/>
                <w:color w:val="7F4F0E"/>
                <w:sz w:val="19"/>
                <w:szCs w:val="19"/>
              </w:rPr>
              <w:t xml:space="preserve">Camada Bayesiana e camada de Markov: </w:t>
            </w:r>
            <w:r>
              <w:rPr>
                <w:color w:val="594019"/>
                <w:sz w:val="19"/>
                <w:szCs w:val="19"/>
              </w:rPr>
              <w:t xml:space="preserve">citação cruzada do próprio JourneyGraph (ver §2.5) já registra que a documentação interna do ITXView descreve sua "camada Bayesiana" como um score de causa provável, não necessariamente um modelo estatístico formal — mesmo tipo de ressalva que o JourneyGraph precisou fazer sobre si mesmo antes de 02/08/2026 (ver Product Report do JourneyGraph, capítulo Ressalvas).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92A" w:sz="4"/>
              <w:left w:val="single" w:color="C0792A" w:sz="24"/>
              <w:bottom w:val="single" w:color="C0792A" w:sz="4"/>
              <w:right w:val="single" w:color="C0792A" w:sz="4"/>
            </w:tcBorders>
            <w:shd w:fill="FDEBD0" w:val="clear"/>
            <w:tcMar>
              <w:top w:type="dxa" w:w="140"/>
              <w:left w:type="dxa" w:w="200"/>
              <w:bottom w:type="dxa" w:w="140"/>
              <w:right w:type="dxa" w:w="200"/>
            </w:tcMar>
          </w:tcPr>
          <w:p>
            <w:pPr>
              <w:jc w:val="both"/>
            </w:pPr>
            <w:r>
              <w:rPr>
                <w:b/>
                <w:bCs/>
                <w:color w:val="7F4F0E"/>
                <w:sz w:val="19"/>
                <w:szCs w:val="19"/>
              </w:rPr>
              <w:t xml:space="preserve">Precificação institucional citada (R$ 3.500–12.000/mês por ASN): </w:t>
            </w:r>
            <w:r>
              <w:rPr>
                <w:color w:val="594019"/>
                <w:sz w:val="19"/>
                <w:szCs w:val="19"/>
              </w:rPr>
              <w:t xml:space="preserve">é conhecimento institucional já estabelecido no posicionamento comercial da Vísent para o portfólio de interconexão/peering ISP — não foi extraída do código-fonte nem verificada contra uma tabela de preços dentro do produto.</w:t>
            </w:r>
          </w:p>
        </w:tc>
      </w:tr>
    </w:tbl>
    <w:p>
      <w:pPr>
        <w:pStyle w:val="Heading1"/>
      </w:pPr>
      <w:r>
        <w:t xml:space="preserve">Base Legal / Controle de Acesso a Dado Pessoal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A9C4" w:sz="4"/>
              <w:left w:val="single" w:color="8DA9C4" w:sz="24"/>
              <w:bottom w:val="single" w:color="8DA9C4" w:sz="4"/>
              <w:right w:val="single" w:color="8DA9C4" w:sz="4"/>
            </w:tcBorders>
            <w:shd w:fill="E8EEF5" w:val="clear"/>
            <w:tcMar>
              <w:top w:type="dxa" w:w="140"/>
              <w:left w:type="dxa" w:w="200"/>
              <w:bottom w:type="dxa" w:w="140"/>
              <w:right w:type="dxa" w:w="200"/>
            </w:tcMar>
          </w:tcPr>
          <w:p>
            <w:pPr>
              <w:jc w:val="both"/>
            </w:pPr>
            <w:r>
              <w:rPr>
                <w:i/>
                <w:iCs/>
                <w:color w:val="2E4A66"/>
                <w:sz w:val="19"/>
                <w:szCs w:val="19"/>
              </w:rPr>
              <w:t xml:space="preserve">Não verificável contra código-fonte: não foi possível confirmar, sem acesso ao código-fonte do ITXView, se o produto implementa alguma funcionalidade de Consulta Individual restrita ou acesso a dado pessoal identificável (o domínio do produto — interconexão de voz e peering de dados entre operadoras — é estruturalmente menos propenso a esse tipo de funcionalidade do que os produtos de comportamento de assinante como JourneyGraph/NetGraph/Égide Vita, mas isso não constitui confirmação). Nenhuma evidência de tal funcionalidade foi encontrada nas strings de texto legíveis extraídas do bundle. Registrado como "não verificável", não como "não aplicável", dado que a ausência de evidência não é evidência de ausência quando o código-fonte não pode ser inspecionado.</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0A0A0" w:sz="4" w:space="4"/>
      </w:pBdr>
    </w:pPr>
  </w:p>
  <w:p>
    <w:pPr>
      <w:tabs>
        <w:tab w:val="right" w:pos="9026"/>
      </w:tabs>
    </w:pPr>
    <w:r>
      <w:rPr>
        <w:i/>
        <w:iCs/>
        <w:color w:val="595959"/>
        <w:sz w:val="20"/>
        <w:szCs w:val="20"/>
      </w:rPr>
      <w:t xml:space="preserve">DOC INTERNO | </w:t>
    </w:r>
    <w:r>
      <w:rPr>
        <w:i/>
        <w:iCs/>
        <w:color w:val="595959"/>
        <w:sz w:val="20"/>
        <w:szCs w:val="20"/>
      </w:rPr>
      <w:t xml:space="preserve">CONFIDENCIAL</w:t>
    </w:r>
    <w:r>
      <w:rPr>
        <w:color w:val="808080"/>
        <w:sz w:val="16"/>
        <w:szCs w:val="16"/>
      </w:rPr>
      <w:t xml:space="preserve">	pag </w:t>
    </w:r>
    <w:r>
      <w:rPr>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0A0A0" w:sz="4" w:space="4"/>
      </w:pBdr>
    </w:pPr>
  </w:p>
  <w:p>
    <w:pPr>
      <w:tabs>
        <w:tab w:val="right" w:pos="9026"/>
      </w:tabs>
    </w:pPr>
    <w:r>
      <w:rPr>
        <w:i/>
        <w:iCs/>
        <w:color w:val="595959"/>
        <w:sz w:val="20"/>
        <w:szCs w:val="20"/>
      </w:rPr>
      <w:t xml:space="preserve">CONFIDENCIAL</w:t>
    </w:r>
    <w:r>
      <w:rPr>
        <w:sz w:val="20"/>
        <w:szCs w:val="20"/>
      </w:rPr>
      <w:t xml:space="preserve">   </w:t>
    </w:r>
    <w:r>
      <w:rPr>
        <w:i/>
        <w:iCs/>
        <w:color w:val="1155CC"/>
        <w:sz w:val="20"/>
        <w:szCs w:val="20"/>
        <w:u w:val="single"/>
      </w:rPr>
      <w:t xml:space="preserve">www.visent.com.br</w:t>
    </w:r>
    <w:r>
      <w:rPr>
        <w:color w:val="808080"/>
        <w:sz w:val="16"/>
        <w:szCs w:val="16"/>
      </w:rPr>
      <w:t xml:space="preserve">	Página </w:t>
    </w:r>
    <w:r>
      <w:rPr>
        <w:b/>
        <w:bCs/>
        <w:color w:val="808080"/>
        <w:sz w:val="16"/>
        <w:szCs w:val="16"/>
      </w:rPr>
      <w:fldChar w:fldCharType="begin"/>
      <w:instrText xml:space="preserve">PAGE</w:instrText>
      <w:fldChar w:fldCharType="separate"/>
      <w:fldChar w:fldCharType="end"/>
    </w:r>
    <w:r>
      <w:rPr>
        <w:color w:val="808080"/>
        <w:sz w:val="16"/>
        <w:szCs w:val="16"/>
      </w:rPr>
      <w:t xml:space="preserve"> de </w:t>
    </w:r>
    <w:r>
      <w:rPr>
        <w:b/>
        <w:bCs/>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left"/>
          </w:pPr>
          <w:r>
            <w:rPr>
              <w:b w:val="false"/>
              <w:bCs w:val="false"/>
              <w:i/>
              <w:iCs/>
              <w:color w:val="595959"/>
              <w:sz w:val="19"/>
              <w:szCs w:val="19"/>
            </w:rPr>
            <w:t xml:space="preserve">Vísent · Inteligência de dados para Telecom e ISPs</w:t>
          </w:r>
        </w:p>
      </w:tc>
      <w:tc>
        <w:tcPr>
          <w:tcW w:type="dxa" w:w="2160"/>
          <w:tcBorders>
            <w:top w:val="none" w:color="FFFFFF" w:sz="0"/>
            <w:left w:val="none" w:color="FFFFFF" w:sz="0"/>
            <w:bottom w:val="none" w:color="FFFFFF" w:sz="0"/>
            <w:right w:val="none" w:color="FFFFFF" w:sz="0"/>
          </w:tcBorders>
          <w:vAlign w:val="center"/>
        </w:tcPr>
        <w:p>
          <w:pPr>
            <w:jc w:val="right"/>
          </w:pPr>
          <w:r>
            <w:drawing>
              <wp:inline distT="0" distB="0" distL="0" distR="0">
                <wp:extent cx="9525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409575"/>
                        </a:xfrm>
                        <a:prstGeom prst="rect">
                          <a:avLst/>
                        </a:prstGeom>
                      </pic:spPr>
                    </pic:pic>
                  </a:graphicData>
                </a:graphic>
              </wp:inline>
            </w:drawing>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left"/>
          </w:pPr>
          <w:r>
            <w:rPr>
              <w:b w:val="false"/>
              <w:bCs w:val="false"/>
              <w:i/>
              <w:iCs/>
              <w:color w:val="595959"/>
              <w:sz w:val="19"/>
              <w:szCs w:val="19"/>
            </w:rPr>
            <w:t xml:space="preserve">Vísent · ITXView ISP Edition — Interconexão e Peering</w:t>
          </w:r>
        </w:p>
      </w:tc>
      <w:tc>
        <w:tcPr>
          <w:tcW w:type="dxa" w:w="2160"/>
          <w:tcBorders>
            <w:top w:val="none" w:color="FFFFFF" w:sz="0"/>
            <w:left w:val="none" w:color="FFFFFF" w:sz="0"/>
            <w:bottom w:val="none" w:color="FFFFFF" w:sz="0"/>
            <w:right w:val="none" w:color="FFFFFF" w:sz="0"/>
          </w:tcBorders>
          <w:vAlign w:val="center"/>
        </w:tcPr>
        <w:p>
          <w:pPr>
            <w:jc w:val="right"/>
          </w:pPr>
          <w:r>
            <w:drawing>
              <wp:inline distT="0" distB="0" distL="0" distR="0">
                <wp:extent cx="9525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40957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4" w:space="4"/>
      </w:pBdr>
      <w:spacing w:after="20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1F4E79"/>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35608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3be74fc48295a32170b5616ddd6fee806f291e2.png"/></Relationships>
</file>

<file path=word/_rels/header2.xml.rels><?xml version="1.0" encoding="UTF-8"?><Relationships xmlns="http://schemas.openxmlformats.org/package/2006/relationships"><Relationship Id="rId0" Type="http://schemas.openxmlformats.org/officeDocument/2006/relationships/image" Target="media/23be74fc48295a32170b5616ddd6fee806f291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2026-08-02T11:21:55.145Z</dcterms:created>
  <dcterms:modified xsi:type="dcterms:W3CDTF">2026-08-02T11:21:55.145Z</dcterms:modified>
</cp:coreProperties>
</file>

<file path=docProps/custom.xml><?xml version="1.0" encoding="utf-8"?>
<Properties xmlns="http://schemas.openxmlformats.org/officeDocument/2006/custom-properties" xmlns:vt="http://schemas.openxmlformats.org/officeDocument/2006/docPropsVTypes"/>
</file>