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00"/>
      </w:pPr>
      <w:r>
        <w:rPr>
          <w:b/>
          <w:bCs/>
          <w:color w:val="000000"/>
          <w:sz w:val="40"/>
          <w:szCs w:val="40"/>
        </w:rPr>
        <w:t xml:space="preserve">NetGraph</w:t>
      </w:r>
    </w:p>
    <w:p>
      <w:pPr>
        <w:spacing w:after="360"/>
      </w:pPr>
      <w:r>
        <w:rPr>
          <w:color w:val="000000"/>
          <w:sz w:val="26"/>
          <w:szCs w:val="26"/>
        </w:rPr>
        <w:t xml:space="preserve">Product Report, Tech Reference, Data Reference e Base Metodológica</w:t>
      </w:r>
    </w:p>
    <w:p>
      <w:pPr>
        <w:spacing w:after="60" w:before="300"/>
      </w:pPr>
      <w:r>
        <w:rPr>
          <w:b/>
          <w:bCs/>
          <w:sz w:val="22"/>
          <w:szCs w:val="22"/>
        </w:rPr>
        <w:t xml:space="preserve">Documentação de Produto</w:t>
      </w:r>
    </w:p>
    <w:p>
      <w:pPr>
        <w:spacing w:after="360"/>
      </w:pPr>
      <w:r>
        <w:rPr>
          <w:i/>
          <w:iCs/>
          <w:color w:val="595959"/>
          <w:sz w:val="20"/>
          <w:szCs w:val="20"/>
        </w:rPr>
        <w:t xml:space="preserve">CDRView ISP Edition · Service Assurance — para uso interno e apresentação a parceiros/clientes ISP</w:t>
      </w:r>
    </w:p>
    <w:p>
      <w:pPr>
        <w:spacing w:after="60" w:before="1600"/>
      </w:pPr>
      <w:r>
        <w:rPr>
          <w:sz w:val="22"/>
          <w:szCs w:val="22"/>
        </w:rPr>
        <w:t xml:space="preserve">Agosto de 2026</w:t>
      </w:r>
    </w:p>
    <w:p>
      <w:pPr>
        <w:spacing w:after="200"/>
      </w:pPr>
      <w:r>
        <w:rPr>
          <w:i/>
          <w:iCs/>
          <w:color w:val="595959"/>
          <w:sz w:val="20"/>
          <w:szCs w:val="20"/>
        </w:rPr>
        <w:t xml:space="preserve">Documento gerado a partir do corpus técnico embutido em netgraph/index.html, do prompt de desenvolvimento docs/NETGRAPH_PROMPT.md e do histórico real de commits do repositório.</w:t>
      </w:r>
    </w:p>
    <w:p>
      <w:pPr>
        <w:pageBreakBefore/>
      </w:pPr>
    </w:p>
    <w:p>
      <w:pPr>
        <w:pStyle w:val="Heading1"/>
      </w:pPr>
      <w:r>
        <w:t xml:space="preserve">Sumário</w:t>
      </w:r>
    </w:p>
    <w:p>
      <w:pPr>
        <w:tabs>
          <w:tab w:val="right" w:pos="9026" w:leader="dot"/>
        </w:tabs>
        <w:spacing w:after="100"/>
        <w:ind w:left="0"/>
      </w:pPr>
      <w:r>
        <w:rPr>
          <w:b/>
          <w:bCs/>
          <w:sz w:val="22"/>
          <w:szCs w:val="22"/>
        </w:rPr>
        <w:t xml:space="preserve">1. Product Report</w:t>
      </w:r>
      <w:r>
        <w:rPr>
          <w:sz w:val="22"/>
          <w:szCs w:val="22"/>
        </w:rPr>
        <w:t xml:space="preserve">	3</w:t>
      </w:r>
    </w:p>
    <w:p>
      <w:pPr>
        <w:tabs>
          <w:tab w:val="right" w:pos="9026" w:leader="dot"/>
        </w:tabs>
        <w:spacing w:after="60"/>
        <w:ind w:left="360"/>
      </w:pPr>
      <w:r>
        <w:rPr>
          <w:b w:val="false"/>
          <w:bCs w:val="false"/>
          <w:sz w:val="22"/>
          <w:szCs w:val="22"/>
        </w:rPr>
        <w:t xml:space="preserve">1.1–1.5 Objeto, Objetivo, Aplicações, Benefícios, Diferenciais</w:t>
      </w:r>
      <w:r>
        <w:rPr>
          <w:sz w:val="22"/>
          <w:szCs w:val="22"/>
        </w:rPr>
        <w:t xml:space="preserve">	3</w:t>
      </w:r>
    </w:p>
    <w:p>
      <w:pPr>
        <w:tabs>
          <w:tab w:val="right" w:pos="9026" w:leader="dot"/>
        </w:tabs>
        <w:spacing w:after="60"/>
        <w:ind w:left="360"/>
      </w:pPr>
      <w:r>
        <w:rPr>
          <w:b w:val="false"/>
          <w:bCs w:val="false"/>
          <w:sz w:val="22"/>
          <w:szCs w:val="22"/>
        </w:rPr>
        <w:t xml:space="preserve">1.6–1.11 Arquitetura executiva, Funcionalidades, Entradas, Transformações, Persistência, Integrações</w:t>
      </w:r>
      <w:r>
        <w:rPr>
          <w:sz w:val="22"/>
          <w:szCs w:val="22"/>
        </w:rPr>
        <w:t xml:space="preserve">	4</w:t>
      </w:r>
    </w:p>
    <w:p>
      <w:pPr>
        <w:tabs>
          <w:tab w:val="right" w:pos="9026" w:leader="dot"/>
        </w:tabs>
        <w:spacing w:after="60"/>
        <w:ind w:left="360"/>
      </w:pPr>
      <w:r>
        <w:rPr>
          <w:b w:val="false"/>
          <w:bCs w:val="false"/>
          <w:sz w:val="22"/>
          <w:szCs w:val="22"/>
        </w:rPr>
        <w:t xml:space="preserve">1.12–1.17 Ambientes, Requisitos, Deploy, Testes, Capacitação, Sustentação</w:t>
      </w:r>
      <w:r>
        <w:rPr>
          <w:sz w:val="22"/>
          <w:szCs w:val="22"/>
        </w:rPr>
        <w:t xml:space="preserve">	5</w:t>
      </w:r>
    </w:p>
    <w:p>
      <w:pPr>
        <w:tabs>
          <w:tab w:val="right" w:pos="9026" w:leader="dot"/>
        </w:tabs>
        <w:spacing w:after="60"/>
        <w:ind w:left="360"/>
      </w:pPr>
      <w:r>
        <w:rPr>
          <w:b w:val="false"/>
          <w:bCs w:val="false"/>
          <w:sz w:val="22"/>
          <w:szCs w:val="22"/>
        </w:rPr>
        <w:t xml:space="preserve">1.18 Histórico de Evolução</w:t>
      </w:r>
      <w:r>
        <w:rPr>
          <w:sz w:val="22"/>
          <w:szCs w:val="22"/>
        </w:rPr>
        <w:t xml:space="preserve">	5</w:t>
      </w:r>
    </w:p>
    <w:p>
      <w:pPr>
        <w:tabs>
          <w:tab w:val="right" w:pos="9026" w:leader="dot"/>
        </w:tabs>
        <w:spacing w:after="100"/>
        <w:ind w:left="0"/>
      </w:pPr>
      <w:r>
        <w:rPr>
          <w:b/>
          <w:bCs/>
          <w:sz w:val="22"/>
          <w:szCs w:val="22"/>
        </w:rPr>
        <w:t xml:space="preserve">2. Tech Reference</w:t>
      </w:r>
      <w:r>
        <w:rPr>
          <w:sz w:val="22"/>
          <w:szCs w:val="22"/>
        </w:rPr>
        <w:t xml:space="preserve">	6</w:t>
      </w:r>
    </w:p>
    <w:p>
      <w:pPr>
        <w:tabs>
          <w:tab w:val="right" w:pos="9026" w:leader="dot"/>
        </w:tabs>
        <w:spacing w:after="60"/>
        <w:ind w:left="360"/>
      </w:pPr>
      <w:r>
        <w:rPr>
          <w:b w:val="false"/>
          <w:bCs w:val="false"/>
          <w:sz w:val="22"/>
          <w:szCs w:val="22"/>
        </w:rPr>
        <w:t xml:space="preserve">2.1–2.4 Arquitetura detalhada, Stack, Desempenho, Parametrização</w:t>
      </w:r>
      <w:r>
        <w:rPr>
          <w:sz w:val="22"/>
          <w:szCs w:val="22"/>
        </w:rPr>
        <w:t xml:space="preserve">	6</w:t>
      </w:r>
    </w:p>
    <w:p>
      <w:pPr>
        <w:tabs>
          <w:tab w:val="right" w:pos="9026" w:leader="dot"/>
        </w:tabs>
        <w:spacing w:after="60"/>
        <w:ind w:left="360"/>
      </w:pPr>
      <w:r>
        <w:rPr>
          <w:b w:val="false"/>
          <w:bCs w:val="false"/>
          <w:sz w:val="22"/>
          <w:szCs w:val="22"/>
        </w:rPr>
        <w:t xml:space="preserve">2.5 ML / IA / RAG / Agentes — Motor Analítico Real</w:t>
      </w:r>
      <w:r>
        <w:rPr>
          <w:sz w:val="22"/>
          <w:szCs w:val="22"/>
        </w:rPr>
        <w:t xml:space="preserve">	7</w:t>
      </w:r>
    </w:p>
    <w:p>
      <w:pPr>
        <w:tabs>
          <w:tab w:val="right" w:pos="9026" w:leader="dot"/>
        </w:tabs>
        <w:spacing w:after="100"/>
        <w:ind w:left="0"/>
      </w:pPr>
      <w:r>
        <w:rPr>
          <w:b/>
          <w:bCs/>
          <w:sz w:val="22"/>
          <w:szCs w:val="22"/>
        </w:rPr>
        <w:t xml:space="preserve">3. Data Reference</w:t>
      </w:r>
      <w:r>
        <w:rPr>
          <w:sz w:val="22"/>
          <w:szCs w:val="22"/>
        </w:rPr>
        <w:t xml:space="preserve">	8</w:t>
      </w:r>
    </w:p>
    <w:p>
      <w:pPr>
        <w:tabs>
          <w:tab w:val="right" w:pos="9026" w:leader="dot"/>
        </w:tabs>
        <w:spacing w:after="100"/>
        <w:ind w:left="0"/>
      </w:pPr>
      <w:r>
        <w:rPr>
          <w:b/>
          <w:bCs/>
          <w:sz w:val="22"/>
          <w:szCs w:val="22"/>
        </w:rPr>
        <w:t xml:space="preserve">4. Base Metodológica</w:t>
      </w:r>
      <w:r>
        <w:rPr>
          <w:sz w:val="22"/>
          <w:szCs w:val="22"/>
        </w:rPr>
        <w:t xml:space="preserve">	10</w:t>
      </w:r>
    </w:p>
    <w:p>
      <w:pPr>
        <w:tabs>
          <w:tab w:val="right" w:pos="9026" w:leader="dot"/>
        </w:tabs>
        <w:spacing w:after="100"/>
        <w:ind w:left="0"/>
      </w:pPr>
      <w:r>
        <w:rPr>
          <w:b/>
          <w:bCs/>
          <w:sz w:val="22"/>
          <w:szCs w:val="22"/>
        </w:rPr>
        <w:t xml:space="preserve">5. Use Cases</w:t>
      </w:r>
      <w:r>
        <w:rPr>
          <w:sz w:val="22"/>
          <w:szCs w:val="22"/>
        </w:rPr>
        <w:t xml:space="preserve">	11</w:t>
      </w:r>
    </w:p>
    <w:p>
      <w:pPr>
        <w:tabs>
          <w:tab w:val="right" w:pos="9026" w:leader="dot"/>
        </w:tabs>
        <w:spacing w:after="100"/>
        <w:ind w:left="0"/>
      </w:pPr>
      <w:r>
        <w:rPr>
          <w:b/>
          <w:bCs/>
          <w:sz w:val="22"/>
          <w:szCs w:val="22"/>
        </w:rPr>
        <w:t xml:space="preserve">Ressalvas / Honestidade Metodológica</w:t>
      </w:r>
      <w:r>
        <w:rPr>
          <w:sz w:val="22"/>
          <w:szCs w:val="22"/>
        </w:rPr>
        <w:t xml:space="preserve">	12</w:t>
      </w:r>
    </w:p>
    <w:p>
      <w:pPr>
        <w:tabs>
          <w:tab w:val="right" w:pos="9026" w:leader="dot"/>
        </w:tabs>
        <w:spacing w:after="100"/>
        <w:ind w:left="0"/>
      </w:pPr>
      <w:r>
        <w:rPr>
          <w:b/>
          <w:bCs/>
          <w:sz w:val="22"/>
          <w:szCs w:val="22"/>
        </w:rPr>
        <w:t xml:space="preserve">Base Legal / Controle de Acesso a Dado Pessoal</w:t>
      </w:r>
      <w:r>
        <w:rPr>
          <w:sz w:val="22"/>
          <w:szCs w:val="22"/>
        </w:rPr>
        <w:t xml:space="preserve">	13</w:t>
      </w:r>
    </w:p>
    <w:p>
      <w:pPr>
        <w:tabs>
          <w:tab w:val="right" w:pos="9026" w:leader="dot"/>
        </w:tabs>
        <w:spacing w:after="100"/>
        <w:ind w:left="0"/>
      </w:pPr>
      <w:r>
        <w:rPr>
          <w:b/>
          <w:bCs/>
          <w:sz w:val="22"/>
          <w:szCs w:val="22"/>
        </w:rPr>
        <w:t xml:space="preserve">Glossário e Siglas</w:t>
      </w:r>
      <w:r>
        <w:rPr>
          <w:sz w:val="22"/>
          <w:szCs w:val="22"/>
        </w:rPr>
        <w:t xml:space="preserve">	14</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Product Report</w:t>
      </w:r>
    </w:p>
    <w:p>
      <w:pPr>
        <w:pStyle w:val="Heading2"/>
      </w:pPr>
      <w:r>
        <w:t xml:space="preserve">1.1 Objeto</w:t>
      </w:r>
    </w:p>
    <w:p>
      <w:pPr>
        <w:spacing w:after="200" w:before="0"/>
        <w:jc w:val="both"/>
      </w:pPr>
      <w:r>
        <w:rPr>
          <w:b w:val="false"/>
          <w:bCs w:val="false"/>
          <w:i w:val="false"/>
          <w:iCs w:val="false"/>
        </w:rPr>
        <w:t xml:space="preserve">O NetGraph é um módulo/vertical do CDRView ISP Edition (portfólio Vísent), voltado à camada de Service Assurance de rede — faz pela topologia de rede o que o JourneyGraph faz pela jornada do assinante. Transforma a hierarquia de rede de um ISP regional (Backbone → POP → OLT → PON/Splitter → CTO → ONT) em um dígrafo interativo (D3.js), com alertas explicáveis e um Assistente que contextualiza tudo em normas, processos e dados de outras áreas da operação.</w:t>
      </w:r>
    </w:p>
    <w:p>
      <w:pPr>
        <w:spacing w:after="200" w:before="0"/>
        <w:jc w:val="both"/>
      </w:pPr>
      <w:r>
        <w:rPr>
          <w:b w:val="false"/>
          <w:bCs w:val="false"/>
          <w:i w:val="false"/>
          <w:iCs w:val="false"/>
        </w:rPr>
        <w:t xml:space="preserve">Nasceu de um prompt de desenvolvimento formal (docs/NETGRAPH_PROMPT.md, ainda versionado no repositório), clonando deliberadamente a arquitetura do JourneyGraph — não a do StepGraph — por ser um grafo nó-aresta nativo, alinhado à topologia real de rede.</w:t>
      </w:r>
    </w:p>
    <w:p>
      <w:pPr>
        <w:pStyle w:val="Heading2"/>
      </w:pPr>
      <w:r>
        <w:t xml:space="preserve">1.2 Objetivo</w:t>
      </w:r>
    </w:p>
    <w:p>
      <w:pPr>
        <w:spacing w:after="200" w:before="0"/>
        <w:jc w:val="both"/>
      </w:pPr>
      <w:r>
        <w:rPr>
          <w:b w:val="false"/>
          <w:bCs w:val="false"/>
          <w:i w:val="false"/>
          <w:iCs w:val="false"/>
        </w:rPr>
        <w:t xml:space="preserve">Responder, com modelos analíticos reais (não heurísticas disfarçadas), três perguntas centrais de NOC: "Onde a rede vai falhar antes de falhar?" (predição), "Por que este conjunto de alertas está acontecendo?" (causa raiz) e "Qual alerta eu resolvo primeiro?" (priorização por gravidade técnica × impacto de negócio).</w:t>
      </w:r>
    </w:p>
    <w:p>
      <w:pPr>
        <w:spacing w:after="200" w:before="0"/>
        <w:jc w:val="both"/>
      </w:pPr>
      <w:r>
        <w:rPr>
          <w:b w:val="false"/>
          <w:bCs w:val="false"/>
          <w:i w:val="false"/>
          <w:iCs w:val="false"/>
        </w:rPr>
        <w:t xml:space="preserve">Diferencial explícito de posicionamento: o próprio corpus do Assistente do JourneyGraph (Anexo B) admite que suas "causas prováveis" eram, até 02/08/2026, heurísticas de score e mock por palavras-chave — não Bayes, Markov ou RAG reais. O NetGraph nasceu para ser esse produto distinto: matriz de Markov, rede Bayesiana, detector de outlier e regressão de capacidade calculados de fato sobre a base sintética, client-side, em JavaScript puro.</w:t>
      </w:r>
    </w:p>
    <w:p>
      <w:pPr>
        <w:pStyle w:val="Heading2"/>
      </w:pPr>
      <w:r>
        <w:t xml:space="preserve">1.3 Aplicações</w:t>
      </w:r>
    </w:p>
    <w:p>
      <w:pPr>
        <w:pStyle w:val="ListParagraph"/>
        <w:numPr>
          <w:ilvl w:val="0"/>
          <w:numId w:val="2"/>
        </w:numPr>
        <w:spacing w:after="120"/>
      </w:pPr>
      <w:r>
        <w:rPr>
          <w:b/>
          <w:bCs/>
        </w:rPr>
        <w:t xml:space="preserve">NOC: </w:t>
      </w:r>
      <w:r>
        <w:t xml:space="preserve">causa raiz isolada por rede Bayesiana com posterior explícito sobre 6 causas candidatas, não um rótulo sem grau de confiança.</w:t>
      </w:r>
    </w:p>
    <w:p>
      <w:pPr>
        <w:pStyle w:val="ListParagraph"/>
        <w:numPr>
          <w:ilvl w:val="0"/>
          <w:numId w:val="2"/>
        </w:numPr>
        <w:spacing w:after="120"/>
      </w:pPr>
      <w:r>
        <w:rPr>
          <w:b/>
          <w:bCs/>
        </w:rPr>
        <w:t xml:space="preserve">Priorização: </w:t>
      </w:r>
      <w:r>
        <w:t xml:space="preserve">alertas ordenados por score combinado de gravidade técnica × impacto de negócio (assinantes afetados, SLA corporativo, sobreposição com CRM, risco de escalonamento à Ouvidoria/Anatel).</w:t>
      </w:r>
    </w:p>
    <w:p>
      <w:pPr>
        <w:pStyle w:val="ListParagraph"/>
        <w:numPr>
          <w:ilvl w:val="0"/>
          <w:numId w:val="2"/>
        </w:numPr>
        <w:spacing w:after="120"/>
      </w:pPr>
      <w:r>
        <w:rPr>
          <w:b/>
          <w:bCs/>
        </w:rPr>
        <w:t xml:space="preserve">Planejamento de rede: </w:t>
      </w:r>
      <w:r>
        <w:t xml:space="preserve">projeção de saturação por POP/OLT com data estimada e intervalo de confiança, via regressão real sobre a série sintética.</w:t>
      </w:r>
    </w:p>
    <w:p>
      <w:pPr>
        <w:pStyle w:val="ListParagraph"/>
        <w:numPr>
          <w:ilvl w:val="0"/>
          <w:numId w:val="2"/>
        </w:numPr>
        <w:spacing w:after="120"/>
      </w:pPr>
      <w:r>
        <w:rPr>
          <w:b/>
          <w:bCs/>
        </w:rPr>
        <w:t xml:space="preserve">Compliance: </w:t>
      </w:r>
      <w:r>
        <w:t xml:space="preserve">Assistente cita RQUAL/Selo Anatel (parafraseados) e boas práticas ITU-T M.3400/FCAPS e TM Forum eTOM Assurance.</w:t>
      </w:r>
    </w:p>
    <w:p>
      <w:pPr>
        <w:pStyle w:val="Heading2"/>
      </w:pPr>
      <w:r>
        <w:t xml:space="preserve">1.4 Benefícios</w:t>
      </w:r>
    </w:p>
    <w:p>
      <w:pPr>
        <w:spacing w:after="200" w:before="0"/>
        <w:jc w:val="both"/>
      </w:pPr>
      <w:r>
        <w:rPr>
          <w:b w:val="false"/>
          <w:bCs w:val="false"/>
          <w:i w:val="false"/>
          <w:iCs w:val="false"/>
        </w:rPr>
        <w:t xml:space="preserve">Mesma arquitetura de dígrafo, sidebars, tela de Alertas e Assistente do JourneyGraph, portada para o domínio de rede — reaproveitando também os padrões de responsividade mobile já validados nos dois produtos irmãos (JourneyGraph e StepGraph), aplicados desde o início do desenvolvimento, não como rodada de correção posterior.</w:t>
      </w:r>
    </w:p>
    <w:p>
      <w:pPr>
        <w:pStyle w:val="Heading2"/>
      </w:pPr>
      <w:r>
        <w:t xml:space="preserve">1.5 Diferenciais</w:t>
      </w:r>
    </w:p>
    <w:p>
      <w:pPr>
        <w:spacing w:after="200" w:before="0"/>
        <w:jc w:val="both"/>
      </w:pPr>
      <w:r>
        <w:rPr>
          <w:b w:val="false"/>
          <w:bCs w:val="false"/>
          <w:i w:val="false"/>
          <w:iCs w:val="false"/>
        </w:rPr>
        <w:t xml:space="preserve">Segundo o material de posicionamento da Lounge de Soluções ISP da Vísent, o diferencial competitivo frente a MK BI, cVortex Analytics e soluções open-source (ntopng/Grafana) é que estas mostram métricas e dashboards; o NetGraph propõe explicar e priorizar automaticamente, unindo grafo + modelos probabilísticos reais + linguagem natural.</w:t>
      </w:r>
    </w:p>
    <w:p>
      <w:pPr>
        <w:pStyle w:val="Heading2"/>
      </w:pPr>
      <w:r>
        <w:t xml:space="preserve">1.6 Arquitetura (visão executiva)</w:t>
      </w:r>
    </w:p>
    <w:p>
      <w:pPr>
        <w:spacing w:after="200" w:before="0"/>
        <w:jc w:val="both"/>
      </w:pPr>
      <w:r>
        <w:rPr>
          <w:b w:val="false"/>
          <w:bCs w:val="false"/>
          <w:i w:val="false"/>
          <w:iCs w:val="false"/>
        </w:rPr>
        <w:t xml:space="preserve">Topologia sintética de ISP regional, geograficamente coerente com a Grande Florianópolis já usada no StepGraph (mesmas 8 zonas), reforçando a coerência narrativa da Lounge como um único ISP fictício visto por múltiplas lentes. Hierarquia de nós: Backbone/Core (2 roteadores de borda) → POP (1 por zona, 8 no total) → OLT (2–4 por POP) → PON/Splitter (2–4 por OLT) → CTO (2–5 por PON) → ONT/assinante (agregado na visão macro, individualizado só na Consulta Individual restrita). Todo o cálculo roda client-side, sem backend.</w:t>
      </w:r>
    </w:p>
    <w:p>
      <w:pPr>
        <w:pStyle w:val="Heading2"/>
      </w:pPr>
      <w:r>
        <w:t xml:space="preserve">1.7 Funcionalidades</w:t>
      </w:r>
    </w:p>
    <w:p>
      <w:pPr>
        <w:spacing w:after="200" w:before="0"/>
        <w:jc w:val="both"/>
      </w:pPr>
      <w:r>
        <w:rPr>
          <w:b w:val="false"/>
          <w:bCs w:val="false"/>
          <w:i w:val="false"/>
          <w:iCs w:val="false"/>
        </w:rPr>
        <w:t xml:space="preserve">Cinco telas de navegação, espelhando a estrutura do JourneyGraph adaptada ao domínio de rede: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Tela</w:t>
            </w:r>
          </w:p>
        </w:tc>
        <w:tc>
          <w:tcPr>
            <w:tcW w:type="dxa" w:w="76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O que o usuário faz</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Topologia</w:t>
            </w:r>
          </w:p>
        </w:tc>
        <w:tc>
          <w:tcPr>
            <w:tcW w:type="dxa" w:w="76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Grafo força-dirigida (D3), cor por estado de saúde, clique para detalhe do nó (Markov/outlier/capacidade), arrastar para fixar, filtro por zona/tipo de elemento.</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Alertas</w:t>
            </w:r>
          </w:p>
        </w:tc>
        <w:tc>
          <w:tcPr>
            <w:tcW w:type="dxa" w:w="76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Lista priorizada por score combinado, painel lateral com as 7 dimensões de explicabilidade e Assistente embutido — layout coluna principal + coluna lateral, empilhando em mobile.</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Capacidade</w:t>
            </w:r>
          </w:p>
        </w:tc>
        <w:tc>
          <w:tcPr>
            <w:tcW w:type="dxa" w:w="76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Visão agregada de projeções de saturação por POP/OLT, com timeline de quando cada elemento estourará capacidade.</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Individual (restrita)</w:t>
            </w:r>
          </w:p>
        </w:tc>
        <w:tc>
          <w:tcPr>
            <w:tcW w:type="dxa" w:w="76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Consulta de Elemento de Rede até o nível de ONT/assinante — senha, motivo, protocolo, log de auditoria. Ver capítulo Base Legal.</w:t>
            </w:r>
          </w:p>
        </w:tc>
      </w:tr>
      <w:tr>
        <w:tc>
          <w:tcPr>
            <w:tcW w:type="dxa" w:w="1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Assistente</w:t>
            </w:r>
          </w:p>
        </w:tc>
        <w:tc>
          <w:tcPr>
            <w:tcW w:type="dxa" w:w="76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Aba dedicada de chat RAG, também acionável a partir de qualquer alerta ou nó via botão "Explicar", que abre o Assistente com a pergunta pré-formulada.</w:t>
            </w:r>
          </w:p>
        </w:tc>
      </w:tr>
    </w:tbl>
    <w:p>
      <w:pPr>
        <w:pStyle w:val="Heading2"/>
      </w:pPr>
      <w:r>
        <w:t xml:space="preserve">1.8 Entradas</w:t>
      </w:r>
    </w:p>
    <w:p>
      <w:pPr>
        <w:spacing w:after="200" w:before="0"/>
        <w:jc w:val="both"/>
      </w:pPr>
      <w:r>
        <w:rPr>
          <w:b w:val="false"/>
          <w:bCs w:val="false"/>
          <w:i w:val="false"/>
          <w:iCs w:val="false"/>
        </w:rPr>
        <w:t xml:space="preserve">Topologia e séries temporais 100% sintéticas, geradas de forma determinística (seed fixa "netgraph-visent-cdrview-2026"), sem integração real com sistemas de rede, CRM ou Ouvidoria/Anatel de produção — nesta versão do produto, tudo é dado de demonstração fictício, gerado no próprio navegador na carga da página.</w:t>
      </w:r>
    </w:p>
    <w:p>
      <w:pPr>
        <w:pStyle w:val="Heading2"/>
      </w:pPr>
      <w:r>
        <w:t xml:space="preserve">1.9 Transformações</w:t>
      </w:r>
    </w:p>
    <w:p>
      <w:pPr>
        <w:spacing w:after="200" w:before="0"/>
        <w:jc w:val="both"/>
      </w:pPr>
      <w:r>
        <w:rPr>
          <w:b w:val="false"/>
          <w:bCs w:val="false"/>
          <w:i w:val="false"/>
          <w:iCs w:val="false"/>
        </w:rPr>
        <w:t xml:space="preserve">A partir da topologia gerada (var NODES/EDGES/CHILDREN/PARENT) e de uma série sintética horária de 60 pontos por nó (utilização, latência, perda de pacote), o produto aplica cenários de incidente determinísticos a um subconjunto de nós (rompimento de fibra, sobrecarga de OLT, falha de equipamento, falha de energia, anomalia de tráfego, degradação de upstream, crescimento orgânico) e então executa, sobre essa série, os quatro motores analíticos detalhados em §2.5: análise topológica, cadeia de Markov, rede Bayesiana e detecção de outlier/regressão de capacidade.</w:t>
      </w:r>
    </w:p>
    <w:p>
      <w:pPr>
        <w:pStyle w:val="Heading2"/>
      </w:pPr>
      <w:r>
        <w:t xml:space="preserve">1.10 Persistência e Saídas</w:t>
      </w:r>
    </w:p>
    <w:p>
      <w:pPr>
        <w:spacing w:after="200" w:before="0"/>
        <w:jc w:val="both"/>
      </w:pPr>
      <w:r>
        <w:rPr>
          <w:b w:val="false"/>
          <w:bCs w:val="false"/>
          <w:i w:val="false"/>
          <w:iCs w:val="false"/>
        </w:rPr>
        <w:t xml:space="preserve">Sem banco de dados: toda a topologia, séries temporais e corpus do Assistente são gerados e mantidos em memória no navegador (JavaScript puro), dentro de um único arquivo HTML autocontido (netgraph/index.html) — mesmo padrão de portabilidade do JourneyGraph.</w:t>
      </w:r>
    </w:p>
    <w:p>
      <w:pPr>
        <w:pStyle w:val="Heading2"/>
      </w:pPr>
      <w:r>
        <w:t xml:space="preserve">1.11 Integrações</w:t>
      </w:r>
    </w:p>
    <w:p>
      <w:pPr>
        <w:spacing w:after="200" w:before="0"/>
        <w:jc w:val="both"/>
      </w:pPr>
      <w:r>
        <w:rPr>
          <w:b w:val="false"/>
          <w:bCs w:val="false"/>
          <w:i w:val="false"/>
          <w:iCs w:val="false"/>
        </w:rPr>
        <w:t xml:space="preserve">Nenhuma integração real de sistema nesta versão. O produto cita, para contextualização no Assistente (não integração de fato), dados de Call Center/CRM (volume de reclamações por zona) e Ouvidoria/Anatel — ambos sintéticos, gerados internamente pelo próprio produto, não conectados a sistemas externos.</w:t>
      </w:r>
    </w:p>
    <w:p>
      <w:pPr>
        <w:pStyle w:val="Heading2"/>
      </w:pPr>
      <w:r>
        <w:t xml:space="preserve">1.12 Ambientes</w:t>
      </w:r>
    </w:p>
    <w:p>
      <w:pPr>
        <w:spacing w:after="200" w:before="0"/>
        <w:jc w:val="both"/>
      </w:pPr>
      <w:r>
        <w:rPr>
          <w:b w:val="false"/>
          <w:bCs w:val="false"/>
          <w:i w:val="false"/>
          <w:iCs w:val="false"/>
        </w:rPr>
        <w:t xml:space="preserve">Navegador moderno, arquivo HTML único, sem servidor, banco de dados ou dependência de nuvem — mesma filosofia de entrega zero-infraestrutura do JourneyGraph.</w:t>
      </w:r>
    </w:p>
    <w:p>
      <w:pPr>
        <w:pStyle w:val="Heading2"/>
      </w:pPr>
      <w:r>
        <w:t xml:space="preserve">1.13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Componente</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Versão</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Papel</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D3.js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7.8.5</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Visualização do dígrafo de topologia — CDN</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Navegador</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Chrome/Edge/Firefox modernos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Execução de todo o motor analítico client-side</w:t>
            </w:r>
          </w:p>
        </w:tc>
      </w:tr>
    </w:tbl>
    <w:p>
      <w:pPr>
        <w:pStyle w:val="Heading2"/>
      </w:pPr>
      <w:r>
        <w:t xml:space="preserve">1.14 Deploy</w:t>
      </w:r>
    </w:p>
    <w:p>
      <w:pPr>
        <w:spacing w:after="200" w:before="0"/>
        <w:jc w:val="both"/>
      </w:pPr>
      <w:r>
        <w:rPr>
          <w:b w:val="false"/>
          <w:bCs w:val="false"/>
          <w:i w:val="false"/>
          <w:iCs w:val="false"/>
        </w:rPr>
        <w:t xml:space="preserve">Arquivo único autocontido (netgraph/index.html) — basta abrir no navegador ou publicar como página estática. Nenhum passo de build, geração de dado externo ou configuração de ambiente.</w:t>
      </w:r>
    </w:p>
    <w:p>
      <w:pPr>
        <w:pStyle w:val="Heading2"/>
      </w:pPr>
      <w:r>
        <w:t xml:space="preserve">1.15 Testes</w:t>
      </w:r>
    </w:p>
    <w:p>
      <w:pPr>
        <w:spacing w:after="200" w:before="0"/>
        <w:jc w:val="both"/>
      </w:pPr>
      <w:r>
        <w:rPr>
          <w:b w:val="false"/>
          <w:bCs w:val="false"/>
          <w:i w:val="false"/>
          <w:iCs w:val="false"/>
        </w:rPr>
        <w:t xml:space="preserve">Não há suíte de testes automatizados publicada neste repositório para o NetGraph. O prompt de desenvolvimento original (docs/NETGRAPH_PROMPT.md, §10 — Critérios de Aceite) definiu uma checklist funcional (grafo interativo com 3+ níveis hierárquicos, Markov calculado a partir de dado sintético real, Bayes com posterior sobre 4+ causas, outlier real, projeção de capacidade com IC, 7 dimensões de explicabilidade por alerta, responsivo em 375/768/1000/1400px) usada como critério de aceite da funcionalidade, não como suíte de teste automatizada contínua.</w:t>
      </w:r>
    </w:p>
    <w:p>
      <w:pPr>
        <w:pStyle w:val="Heading2"/>
      </w:pPr>
      <w:r>
        <w:t xml:space="preserve">1.16 Capacitação</w:t>
      </w:r>
    </w:p>
    <w:p>
      <w:pPr>
        <w:spacing w:after="200" w:before="0"/>
        <w:jc w:val="both"/>
      </w:pPr>
      <w:r>
        <w:rPr>
          <w:b w:val="false"/>
          <w:bCs w:val="false"/>
          <w:i w:val="false"/>
          <w:iCs w:val="false"/>
        </w:rPr>
        <w:t xml:space="preserve">Assistente RAG embutido (aba dedicada + acionável a partir de qualquer alerta ou nó, via botão "Explicar") responde perguntas contextualizadas citando cadastro de rede, CRM, Ouvidoria/Anatel e normas setoriais — mesmo padrão de autoexplicação do JourneyGraph.</w:t>
      </w:r>
    </w:p>
    <w:p>
      <w:pPr>
        <w:pStyle w:val="Heading2"/>
      </w:pPr>
      <w:r>
        <w:t xml:space="preserve">1.17 Sustentação</w:t>
      </w:r>
    </w:p>
    <w:p>
      <w:pPr>
        <w:spacing w:after="200" w:before="0"/>
        <w:jc w:val="both"/>
      </w:pPr>
      <w:r>
        <w:rPr>
          <w:b w:val="false"/>
          <w:bCs w:val="false"/>
          <w:i w:val="false"/>
          <w:iCs w:val="false"/>
        </w:rPr>
        <w:t xml:space="preserve">Não há processo de curadoria formalizado neste repositório para o NetGraph (diferente do JourneyGraph, que documenta o processo explicitamente). Recomenda-se adotar o mesmo princípio do JourneyGraph — toda mudança de modelo analítico ou parâmetro deve ser refletida neste tipo de documento no mesmo ciclo em que é implementada.</w:t>
      </w:r>
    </w:p>
    <w:p>
      <w:pPr>
        <w:pStyle w:val="Heading2"/>
      </w:pPr>
      <w:r>
        <w:t xml:space="preserve">1.18 Histórico de Evolução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Nota de reconciliação (aplicação do padrão de documentação, §2, sobre o Histórico de Evolução): o NetGraph não tinha, até este documento, um capítulo de Histórico de Evolução — lacuna real identificada mesmo sendo um produto bem especificado via prompt formal. A linha do tempo abaixo foi reconstruída integralmente a partir de `git log --oneline --date=short -- netgraph/` deste repositório, não de memória.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Commit</w:t>
            </w:r>
          </w:p>
        </w:tc>
        <w:tc>
          <w:tcPr>
            <w:tcW w:type="dxa" w:w="14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Data</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Entrega</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6c7f1db</w:t>
            </w:r>
          </w:p>
        </w:tc>
        <w:tc>
          <w:tcPr>
            <w:tcW w:type="dxa" w:w="1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02/08/2026</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Adiciona NetGraph: topologia de rede (Backbone→POP→OLT→PON→CTO) + motor analítico real (Markov, Bayes, outlier, regressão).</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b7ea756</w:t>
            </w:r>
          </w:p>
        </w:tc>
        <w:tc>
          <w:tcPr>
            <w:tcW w:type="dxa" w:w="1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02/08/2026</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Adiciona telas de Alertas, Capacidade e Assistente RAG ao NetGraph.</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063e976</w:t>
            </w:r>
          </w:p>
        </w:tc>
        <w:tc>
          <w:tcPr>
            <w:tcW w:type="dxa" w:w="14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02/08/2026</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Adiciona Consulta Individual restrita ao NetGraph e card na Lounge.</w:t>
            </w:r>
          </w:p>
        </w:tc>
      </w:tr>
    </w:tbl>
    <w:p>
      <w:pPr>
        <w:pStyle w:val="Heading1"/>
      </w:pPr>
      <w:r>
        <w:t xml:space="preserve">2. Tech Reference</w:t>
      </w:r>
    </w:p>
    <w:p>
      <w:pPr>
        <w:pStyle w:val="Heading2"/>
      </w:pPr>
      <w:r>
        <w:t xml:space="preserve">2.1 Arquitetura Detalhada</w:t>
      </w:r>
    </w:p>
    <w:p>
      <w:pPr>
        <w:spacing w:after="200" w:before="0"/>
        <w:jc w:val="both"/>
      </w:pPr>
      <w:r>
        <w:rPr>
          <w:b w:val="false"/>
          <w:bCs w:val="false"/>
          <w:i w:val="false"/>
          <w:iCs w:val="false"/>
        </w:rPr>
        <w:t xml:space="preserve">Clona a arquitetura de journeygraph/index.html (estrutura de telas, sidebars-gaveta, dígrafo D3, tela de Alertas, Consulta Individual restrita e Assistente), adaptando o domínio de dados de "jornada do assinante" para "topologia e saúde de rede". Escolha justificada no prompt original por 5 critérios: modelo de dados nativo (grafo nó-aresta vs. fluxos O-D sobre mapa do StepGraph), alinhamento com a topologia real de rede, presença de tela de Alertas, presença de Consulta Individual restrita e presença de Assistente com corpus técnico — o StepGraph não tinha nenhum dos três últimos.</w:t>
      </w:r>
    </w:p>
    <w:p>
      <w:pPr>
        <w:pStyle w:val="Heading3"/>
      </w:pPr>
      <w:r>
        <w:t xml:space="preserve">Hierarquia de Nós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Nível</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Quantidade</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Atributos-chave</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Backbone/Core</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2 roteadores de borda</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capacidade 100.000 Mbps, provedor de trânsito IP upstream A/B</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POP</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8 (1 por zona)</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capacidade 8.000–15.000 Mbps; 3 dos 8 POPs dual-homed (uplink duplo) — os demais são single-homed, SPOF explícito</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OLT</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2–4 por POP</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capacidade 2.500–10.000 Mbps</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PON/Splitter</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2–4 por OLT</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16/32/64 portas</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CTO</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2–5 por PON</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8/16 portas, 8–40 assinantes dependentes, 9% marcados como corporativo</w:t>
            </w:r>
          </w:p>
        </w:tc>
      </w:tr>
    </w:tbl>
    <w:p>
      <w:pPr>
        <w:spacing w:after="200" w:before="0"/>
        <w:jc w:val="both"/>
      </w:pPr>
      <w:r>
        <w:rPr>
          <w:b w:val="false"/>
          <w:bCs w:val="false"/>
          <w:i w:val="false"/>
          <w:iCs w:val="false"/>
        </w:rPr>
        <w:t xml:space="preserve">Estados de saúde por nó (máquina de estados usada pela camada de Markov, §2.5): Saudável → Degradado → Crítico → Falha, classificados por limiares de utilização/latência/perda específicos por nível hierárquico (banda para core/POP/OLT, ocupação de portas para PON/CTO).</w:t>
      </w:r>
    </w:p>
    <w:p>
      <w:pPr>
        <w:pStyle w:val="Heading2"/>
      </w:pPr>
      <w:r>
        <w:t xml:space="preserve">2.2 Stack</w:t>
      </w:r>
    </w:p>
    <w:p>
      <w:pPr>
        <w:spacing w:after="200" w:before="0"/>
        <w:jc w:val="both"/>
      </w:pPr>
      <w:r>
        <w:rPr>
          <w:b w:val="false"/>
          <w:bCs w:val="false"/>
          <w:i w:val="false"/>
          <w:iCs w:val="false"/>
        </w:rPr>
        <w:t xml:space="preserve">D3.js v7.8.5 (via CDN) para a visualização do dígrafo; HTML5/CSS/JavaScript puro para todo o motor analítico (topologia, Markov, Bayes, outlier, regressão) — sem framework de build, sem backend, sem banco de dados. Gerador de números pseudoaleatórios com seed fixa ("netgraph-visent-cdrview-2026") garante reprodutibilidade determinística da topologia e das séries sintéticas entre execuções.</w:t>
      </w:r>
    </w:p>
    <w:p>
      <w:pPr>
        <w:pStyle w:val="Heading2"/>
      </w:pPr>
      <w:r>
        <w:t xml:space="preserve">2.3 Desempenho</w:t>
      </w:r>
    </w:p>
    <w:p>
      <w:pPr>
        <w:spacing w:after="200" w:before="0"/>
        <w:jc w:val="both"/>
      </w:pPr>
      <w:r>
        <w:rPr>
          <w:b w:val="false"/>
          <w:bCs w:val="false"/>
          <w:i w:val="false"/>
          <w:iCs w:val="false"/>
        </w:rPr>
        <w:t xml:space="preserve">Série sintética de 60 pontos horários por nó, para toda a topologia gerada (2 nós de core + 8 POPs + 20–32 OLTs + 40–128 PONs + 80–640 CTOs, dependendo dos sorteios determinísticos de cardinalidade). Todo o cálculo (geração de topologia, séries, Markov, Bayes, outlier, regressão) roda em JavaScript no carregamento da página, sem etapa de pré-processamento server-side.</w:t>
      </w:r>
    </w:p>
    <w:p>
      <w:pPr>
        <w:pStyle w:val="Heading2"/>
      </w:pPr>
      <w:r>
        <w:t xml:space="preserve">2.4 Parametrização</w:t>
      </w:r>
    </w:p>
    <w:p>
      <w:pPr>
        <w:spacing w:after="200" w:before="0"/>
        <w:jc w:val="both"/>
      </w:pPr>
      <w:r>
        <w:rPr>
          <w:b w:val="false"/>
          <w:bCs w:val="false"/>
          <w:i w:val="false"/>
          <w:iCs w:val="false"/>
        </w:rPr>
        <w:t xml:space="preserve">Cardinalidade da topologia (nº de OLTs por POP, PONs por OLT, CTOs por PON, portas), janela da série sintética (N_HOURS=60) e a atribuição de cenários de incidente a subconjuntos de nós são constantes/sorteios definidos no código-fonte, não expostos em arquivo de configuração externo.</w:t>
      </w:r>
    </w:p>
    <w:p>
      <w:pPr>
        <w:pStyle w:val="Heading2"/>
      </w:pPr>
      <w:r>
        <w:t xml:space="preserve">2.5 ML / IA / RAG / Agentes — Motor Analítico Real</w:t>
      </w:r>
    </w:p>
    <w:p>
      <w:pPr>
        <w:spacing w:after="200" w:before="0"/>
        <w:jc w:val="both"/>
      </w:pPr>
      <w:r>
        <w:rPr>
          <w:b w:val="false"/>
          <w:bCs w:val="false"/>
          <w:i w:val="false"/>
          <w:iCs w:val="false"/>
        </w:rPr>
        <w:t xml:space="preserve">Declaração explícita, por componente — este é o ponto central de diferenciação do NetGraph frente ao JourneyGraph, e por isso o mais detalhado desta seção em todo o conjunto de documentos desta série: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Componente</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Natureza real</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Detalhe</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Análise Topológica (§5.1 do prompt)</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Cálculo estrutural real sobre o grafo gerado</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Centralidade (grau/betweenness simplificado), identificação de pontos únicos de falha (SPOF — enlaces sem redundância) e blast radius (travessia BFS/DFS do grafo a partir de um nó em falha, contando assinantes downstream afetados de fato).</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Cadeia de Markov (§5.2)</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Modelo estatístico real</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Estados Saudável→Degradado→Crítico→Falha (+Recuperado). Matriz de transição estimada a partir da série sintética de cada classe de nó — não uma cor fixa por limiar. Usada para P(Crítico em N horas | Degradado agora).</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Rede Bayesiana (§5.3)</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Modelo estatístico real</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6 causas candidatas nomeadas (rompimento de fibra, falha de energia/UPS, sobrecarga de OLT, falha de equipamento, anomalia de tráfego, degradação de upstream), cada uma com prior fixo definido no código (ex. rompimento de fibra 0,22) e tabela de likelihood P(evidência|causa) sobre 8 evidências (é SPOF, folha única afetada, outlier de perda, outlier de latência, queda de utilização, blast radius amplo, é OLT/PON, é core/POP). Posterior calculado de fato via Bayes ingênuo (naive Bayes) sobre as evidências observadas no nó/alerta.</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Detector de Outlier (§5.4)</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Cálculo estatístico real</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Aplicado a latência, perda de pacote e utilização por nó, sinalizando desvios estatisticamente significativos — não um limiar fixo disfarçado de ML.</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Projeção de Capacidade (§5.4)</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Regressão real</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Projeção de data de saturação (90–100% de utilização) por POP/OLT via regressão sobre a série sintética, com intervalo de confiança — insumo direto para planejamento de expansão.</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Priorização de Alertas (§5.5)</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Score combinado, determinístico</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Combina gravidade técnica (estado Markov, confiança da causa raiz Bayes, score de outlier, SPOF) e impacto de negócio (assinantes afetados via blast radius, presença de corporativo/SLA, sobreposição com CRM, risco de escalonamento Ouvidoria/Anatel).</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Assistente RAG/SLM</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Mock por palavras-chave</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Mesmo padrão do JourneyGraph — busca lexical sobre corpus estático, sem embeddings nem LLM real de produção. Diferença central: os modelos analíticos que o Assistente narra (linhas acima) são reais, não heurísticas — o Assistente deve narrá-los corretamente, não inventar números.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Nota de honestidade metodológica herdada do próprio prompt de desenvolvimento (docs/NETGRAPH_PROMPT.md, §3): </w:t>
            </w:r>
            <w:r>
              <w:rPr>
                <w:color w:val="594019"/>
                <w:sz w:val="19"/>
                <w:szCs w:val="19"/>
              </w:rPr>
              <w:t xml:space="preserve">o corpus do Assistente do JourneyGraph (Anexo B) admite abertamente que suas causas prováveis eram, até 02/08/2026, heurísticas de score e mock por palavras-chave — chegando a afirmar que implementar "Inferência Bayesiana real, Cadeias de Markov/HMM, Classificador supervisionado" seria "produto distinto". O NetGraph foi desenhado para ser esse produto distinto desde a origem. Isso não torna os dados menos sintéticos — apenas os modelos, matematicamente, mais reais.</w:t>
            </w:r>
          </w:p>
        </w:tc>
      </w:tr>
    </w:tbl>
    <w:p>
      <w:pPr>
        <w:pStyle w:val="Heading1"/>
      </w:pPr>
      <w:r>
        <w:t xml:space="preserve">3. Data Reference</w:t>
      </w:r>
    </w:p>
    <w:p>
      <w:pPr>
        <w:pStyle w:val="Heading2"/>
      </w:pPr>
      <w:r>
        <w:t xml:space="preserve">3.1 Dicionário de Dados</w:t>
      </w:r>
    </w:p>
    <w:p>
      <w:pPr>
        <w:pStyle w:val="Heading3"/>
      </w:pPr>
      <w:r>
        <w:t xml:space="preserve">Atributos de Nó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960"/>
      </w:tblGrid>
      <w:tr>
        <w:tc>
          <w:tcPr>
            <w:tcW w:type="dxa" w:w="25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Campo</w:t>
            </w:r>
          </w:p>
        </w:tc>
        <w:tc>
          <w:tcPr>
            <w:tcW w:type="dxa" w:w="19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Tipo</w:t>
            </w:r>
          </w:p>
        </w:tc>
        <w:tc>
          <w:tcPr>
            <w:tcW w:type="dxa" w:w="49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Uso no produto</w:t>
            </w:r>
          </w:p>
        </w:tc>
      </w:tr>
      <w:tr>
        <w:tc>
          <w:tcPr>
            <w:tcW w:type="dxa" w:w="2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capacityMbps / capacityPorts</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integer</w:t>
            </w:r>
          </w:p>
        </w:tc>
        <w:tc>
          <w:tcPr>
            <w:tcW w:type="dxa" w:w="4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Capacidade nominal (banda para core/POP/OLT/PON; portas para PON/CTO)</w:t>
            </w:r>
          </w:p>
        </w:tc>
      </w:tr>
      <w:tr>
        <w:tc>
          <w:tcPr>
            <w:tcW w:type="dxa" w:w="2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util, lat, loss</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float (série de 60 pontos)</w:t>
            </w:r>
          </w:p>
        </w:tc>
        <w:tc>
          <w:tcPr>
            <w:tcW w:type="dxa" w:w="4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Utilização (%), latência (ms) e perda de pacote (%) — insumo direto de Markov/outlier/regressão</w:t>
            </w:r>
          </w:p>
        </w:tc>
      </w:tr>
      <w:tr>
        <w:tc>
          <w:tcPr>
            <w:tcW w:type="dxa" w:w="2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health</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enum</w:t>
            </w:r>
          </w:p>
        </w:tc>
        <w:tc>
          <w:tcPr>
            <w:tcW w:type="dxa" w:w="4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Estado atual: saudavel/degradado/critico/falha — último ponto da série classificada</w:t>
            </w:r>
          </w:p>
        </w:tc>
      </w:tr>
      <w:tr>
        <w:tc>
          <w:tcPr>
            <w:tcW w:type="dxa" w:w="2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subsDownstream</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integer</w:t>
            </w:r>
          </w:p>
        </w:tc>
        <w:tc>
          <w:tcPr>
            <w:tcW w:type="dxa" w:w="4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Assinantes dependentes, agregados via pós-ordem a partir das folhas (CTO) até o Core</w:t>
            </w:r>
          </w:p>
        </w:tc>
      </w:tr>
      <w:tr>
        <w:tc>
          <w:tcPr>
            <w:tcW w:type="dxa" w:w="2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hasCorporate</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boolean</w:t>
            </w:r>
          </w:p>
        </w:tc>
        <w:tc>
          <w:tcPr>
            <w:tcW w:type="dxa" w:w="4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Presença de cliente corporativo/SLA diferenciado no subtree — insumo de impacto de negócio</w:t>
            </w:r>
          </w:p>
        </w:tc>
      </w:tr>
      <w:tr>
        <w:tc>
          <w:tcPr>
            <w:tcW w:type="dxa" w:w="2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scenario</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enum</w:t>
            </w:r>
          </w:p>
        </w:tc>
        <w:tc>
          <w:tcPr>
            <w:tcW w:type="dxa" w:w="4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Cenário de incidente atribuído ao nó (estavel, rompimento_fibra, sobrecarga_olt etc.) — usado para gerar a série sintética</w:t>
            </w:r>
          </w:p>
        </w:tc>
      </w:tr>
    </w:tbl>
    <w:p>
      <w:pPr>
        <w:pStyle w:val="Heading3"/>
      </w:pPr>
      <w:r>
        <w:t xml:space="preserve">Atributos de Aresta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960"/>
      </w:tblGrid>
      <w:tr>
        <w:tc>
          <w:tcPr>
            <w:tcW w:type="dxa" w:w="25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Campo</w:t>
            </w:r>
          </w:p>
        </w:tc>
        <w:tc>
          <w:tcPr>
            <w:tcW w:type="dxa" w:w="19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Tipo</w:t>
            </w:r>
          </w:p>
        </w:tc>
        <w:tc>
          <w:tcPr>
            <w:tcW w:type="dxa" w:w="49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Uso no produto</w:t>
            </w:r>
          </w:p>
        </w:tc>
      </w:tr>
      <w:tr>
        <w:tc>
          <w:tcPr>
            <w:tcW w:type="dxa" w:w="2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type</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enum</w:t>
            </w:r>
          </w:p>
        </w:tc>
        <w:tc>
          <w:tcPr>
            <w:tcW w:type="dxa" w:w="4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uplink-fibra, fibra-distribuicao, splitter-optico, drop-fibra</w:t>
            </w:r>
          </w:p>
        </w:tc>
      </w:tr>
      <w:tr>
        <w:tc>
          <w:tcPr>
            <w:tcW w:type="dxa" w:w="2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capacityMbps</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integer | null</w:t>
            </w:r>
          </w:p>
        </w:tc>
        <w:tc>
          <w:tcPr>
            <w:tcW w:type="dxa" w:w="4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Capacidade do enlace (null para splitter óptico/drop, que não têm banda no sentido tradicional)</w:t>
            </w:r>
          </w:p>
        </w:tc>
      </w:tr>
      <w:tr>
        <w:tc>
          <w:tcPr>
            <w:tcW w:type="dxa" w:w="2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redundant</w:t>
            </w:r>
          </w:p>
        </w:tc>
        <w:tc>
          <w:tcPr>
            <w:tcW w:type="dxa" w:w="19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boolean</w:t>
            </w:r>
          </w:p>
        </w:tc>
        <w:tc>
          <w:tcPr>
            <w:tcW w:type="dxa" w:w="49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Enlace redundante ou não — base do cálculo de SPOF</w:t>
            </w:r>
          </w:p>
        </w:tc>
      </w:tr>
    </w:tbl>
    <w:p>
      <w:pPr>
        <w:pStyle w:val="Heading3"/>
      </w:pPr>
      <w:r>
        <w:t xml:space="preserve">Schema do Corpus do Assistente</w:t>
      </w:r>
    </w:p>
    <w:p>
      <w:pPr>
        <w:spacing w:after="200" w:before="0"/>
        <w:jc w:val="both"/>
      </w:pPr>
      <w:r>
        <w:rPr>
          <w:b w:val="false"/>
          <w:bCs w:val="false"/>
          <w:i w:val="false"/>
          <w:iCs w:val="false"/>
        </w:rPr>
        <w:t xml:space="preserve">O NetGraph declara o corpus como objeto JavaScript literal, sem aspas nas chaves: {id, secao, corpus, titulo, fonte, texto} (schema mínimo definido no padrão de documentação, §5) — sintaxe diferente da usada pelo JourneyGraph (JSON estrito com aspas), mesmo schema semântico. O corpus embutido no produto cobre integralmente a seção §6 do prompt original (cadastro operacional/de rede, CRM, Ouvidoria/Anatel, RQUAL/Selo, ITU-T/TM Forum) — ver detalhamento em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Cobertura parcial identificada: diferente do JourneyGraph, cujo corpus do Assistente cobre o produto inteiro (arquitetura, funcionalidades, catálogo de indicadores, changelog), o corpus do NetGraph, na versão levantada para este documento, concentra-se nas seções normativas/de compliance (§6 do prompt — cadastro, CRM, Ouvidoria, RQUAL, ITU-T/TM Forum). Os motores analíticos de §2.5 (Markov, Bayes, outlier, regressão, blast radius) existem e rodam de fato no produto, mas não têm documento correspondente dedicado dentro do corpus do Assistente nesta versão — uma lacuna de Data Reference a considerar em uma futura atualização do produto.</w:t>
            </w:r>
          </w:p>
        </w:tc>
      </w:tr>
    </w:tbl>
    <w:p>
      <w:pPr>
        <w:pStyle w:val="Heading2"/>
      </w:pPr>
      <w:r>
        <w:t xml:space="preserve">3.2 Volumetria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Métrica</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Valor de referência</w:t>
            </w:r>
          </w:p>
        </w:tc>
        <w:tc>
          <w:tcPr>
            <w:tcW w:type="dxa" w:w="333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Observação</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Zonas / POPs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8</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Reaproveitadas do StepGraph (Grande Florianópolis)</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OLTs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2–4 por POP (16–32 total)</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Cardinalidade sorteada deterministicamente</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PONs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2–4 por OLT</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16/32/64 portas cada</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CTOs</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2–5 por PON</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8/16 portas, 8–40 assinantes</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Janela de série sintética</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60 pontos horários por nó</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Base para Markov, outlier e regressão de capacidade</w:t>
            </w:r>
          </w:p>
        </w:tc>
      </w:tr>
      <w:tr>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Causas candidatas (rede Bayesiana)</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6</w:t>
            </w:r>
          </w:p>
        </w:tc>
        <w:tc>
          <w:tcPr>
            <w:tcW w:type="dxa" w:w="333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Priors de 0,10 a 0,22, somando 1,0</w:t>
            </w:r>
          </w:p>
        </w:tc>
      </w:tr>
    </w:tbl>
    <w:p>
      <w:pPr>
        <w:pStyle w:val="Heading2"/>
      </w:pPr>
      <w:r>
        <w:t xml:space="preserve">3.3 Esquema de Saída</w:t>
      </w:r>
    </w:p>
    <w:p>
      <w:pPr>
        <w:spacing w:after="200" w:before="0"/>
        <w:jc w:val="both"/>
      </w:pPr>
      <w:r>
        <w:rPr>
          <w:b w:val="false"/>
          <w:bCs w:val="false"/>
          <w:i w:val="false"/>
          <w:iCs w:val="false"/>
        </w:rPr>
        <w:t xml:space="preserve">Toda a topologia, séries e resultado dos motores analíticos permanecem em memória no navegador (objetos JavaScript NODES/EDGES/MARKOV/ALERTS) — não há exportação estruturada, API ou persistência em banco de dados. Mesmo padrão de artefato único e portátil do JourneyGraph.</w:t>
      </w:r>
    </w:p>
    <w:p>
      <w:pPr>
        <w:pStyle w:val="Heading1"/>
      </w:pPr>
      <w:r>
        <w:t xml:space="preserve">4. Base Metodológica</w:t>
      </w:r>
    </w:p>
    <w:p>
      <w:pPr>
        <w:pStyle w:val="Heading2"/>
      </w:pPr>
      <w:r>
        <w:t xml:space="preserve">4.1 Bases Teóricas dos Algoritmos</w:t>
      </w:r>
    </w:p>
    <w:p>
      <w:pPr>
        <w:pStyle w:val="ListParagraph"/>
        <w:numPr>
          <w:ilvl w:val="0"/>
          <w:numId w:val="2"/>
        </w:numPr>
        <w:spacing w:after="120"/>
      </w:pPr>
      <w:r>
        <w:rPr>
          <w:b/>
          <w:bCs/>
        </w:rPr>
        <w:t xml:space="preserve">Cadeia de Markov de estados de saúde: </w:t>
      </w:r>
      <w:r>
        <w:t xml:space="preserve">matriz de transição estimada por contagem real de transições observadas na série sintética de cada classe de nó — não uma cor fixa por limiar.</w:t>
      </w:r>
    </w:p>
    <w:p>
      <w:pPr>
        <w:pStyle w:val="ListParagraph"/>
        <w:numPr>
          <w:ilvl w:val="0"/>
          <w:numId w:val="2"/>
        </w:numPr>
        <w:spacing w:after="120"/>
      </w:pPr>
      <w:r>
        <w:rPr>
          <w:b/>
          <w:bCs/>
        </w:rPr>
        <w:t xml:space="preserve">Rede Bayesiana simplificada (naive Bayes): </w:t>
      </w:r>
      <w:r>
        <w:t xml:space="preserve">posterior calculado sobre causas candidatas concorrentes a partir de priors autorados por frequência histórica sintética e uma tabela de likelihood por evidência observada — mesmo princípio metodológico usado, desde 02/08/2026, no Painel de Alertas do JourneyGraph.</w:t>
      </w:r>
    </w:p>
    <w:p>
      <w:pPr>
        <w:pStyle w:val="ListParagraph"/>
        <w:numPr>
          <w:ilvl w:val="0"/>
          <w:numId w:val="2"/>
        </w:numPr>
        <w:spacing w:after="120"/>
      </w:pPr>
      <w:r>
        <w:rPr>
          <w:b/>
          <w:bCs/>
        </w:rPr>
        <w:t xml:space="preserve">Detecção de SPOF e Blast Radius: </w:t>
      </w:r>
      <w:r>
        <w:t xml:space="preserve">travessia de grafo (BFS/DFS) a partir de um nó em falha, para contar nós e assinantes downstream afetados — base estrutural, não estatística.</w:t>
      </w:r>
    </w:p>
    <w:p>
      <w:pPr>
        <w:pStyle w:val="ListParagraph"/>
        <w:numPr>
          <w:ilvl w:val="0"/>
          <w:numId w:val="2"/>
        </w:numPr>
        <w:spacing w:after="120"/>
      </w:pPr>
      <w:r>
        <w:rPr>
          <w:b/>
          <w:bCs/>
        </w:rPr>
        <w:t xml:space="preserve">Detector de Outlier: </w:t>
      </w:r>
      <w:r>
        <w:t xml:space="preserve">aplicado a latência, perda de pacote e utilização por nó, sinalizando desvios estatisticamente significativos mesmo abaixo de limiares fixos.</w:t>
      </w:r>
    </w:p>
    <w:p>
      <w:pPr>
        <w:pStyle w:val="ListParagraph"/>
        <w:numPr>
          <w:ilvl w:val="0"/>
          <w:numId w:val="2"/>
        </w:numPr>
        <w:spacing w:after="120"/>
      </w:pPr>
      <w:r>
        <w:rPr>
          <w:b/>
          <w:bCs/>
        </w:rPr>
        <w:t xml:space="preserve">Regressão de Capacidade: </w:t>
      </w:r>
      <w:r>
        <w:t xml:space="preserve">projeção de saturação (90–100% de utilização) com intervalo de confiança, sobre a série sintética de cada POP/OLT.</w:t>
      </w:r>
    </w:p>
    <w:p>
      <w:pPr>
        <w:pStyle w:val="Heading2"/>
      </w:pPr>
      <w:r>
        <w:t xml:space="preserve">4.2 Normas e Frameworks Setoriais</w:t>
      </w:r>
    </w:p>
    <w:p>
      <w:pPr>
        <w:pStyle w:val="Heading3"/>
      </w:pPr>
      <w:r>
        <w:t xml:space="preserve">RQUAL e Selo de Qualidade Anatel</w:t>
      </w:r>
    </w:p>
    <w:p>
      <w:pPr>
        <w:spacing w:after="200" w:before="0"/>
        <w:jc w:val="both"/>
      </w:pPr>
      <w:r>
        <w:rPr>
          <w:b w:val="false"/>
          <w:bCs w:val="false"/>
          <w:i w:val="false"/>
          <w:iCs w:val="false"/>
        </w:rPr>
        <w:t xml:space="preserve">RQUAL — Regulamento de Qualidade dos Serviços de Telecomunicações — cobre, no corpus do Assistente, indicadores de qualidade aplicáveis a SCM/banda larga, metas de disponibilidade e tempo de reparo, e como o NetGraph rastreia e projeta o cumprimento desses indicadores. Também referencia o Selo/certificação de qualidade Anatel e instrumentos correlatos de aferição pública de desempenho.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Disclaimer de paráfrase normativa (herdado do padrão já usado no JourneyGraph): </w:t>
            </w:r>
            <w:r>
              <w:rPr>
                <w:color w:val="594019"/>
                <w:sz w:val="19"/>
                <w:szCs w:val="19"/>
              </w:rPr>
              <w:t xml:space="preserve">o texto normativo resumido no corpus do Assistente é uma paráfrase para fins de demonstração, não a transcrição literal do regulamento vigente — a edição/resolução específica da Anatel deve ser validada com a área regulatória antes de qualquer uso externo, já que a Anatel revisa esses regulamentos periodicamente.</w:t>
            </w:r>
          </w:p>
        </w:tc>
      </w:tr>
    </w:tbl>
    <w:p>
      <w:pPr>
        <w:pStyle w:val="Heading3"/>
      </w:pPr>
      <w:r>
        <w:t xml:space="preserve">ITU-T M.3400 / FCAPS e TM Forum eTOM Assurance</w:t>
      </w:r>
    </w:p>
    <w:p>
      <w:pPr>
        <w:spacing w:after="200" w:before="0"/>
        <w:jc w:val="both"/>
      </w:pPr>
      <w:r>
        <w:rPr>
          <w:b w:val="false"/>
          <w:bCs w:val="false"/>
          <w:i w:val="false"/>
          <w:iCs w:val="false"/>
        </w:rPr>
        <w:t xml:space="preserve">ITU-T M.3400 (funções de gerenciamento TMN, foco em Fault Management) e o modelo FCAPS (Fault, Configuration, Accounting, Performance, Security) como enquadramento conceitual da camada de assurance. TM Forum eTOM (GB921, incorporado pela ITU-T na série M.3050 — mesma referência já usada no corpus do JourneyGraph) mapeado ao processo vertical Assurance (Problem Handling, Service Quality Management, Resource Trouble Management). TM Forum Open APIs citadas como referência de interoperabilidade futura, não implementadas: TMF642 (Alarm Management), TMF628 (Performance Management), TMF nRootCause.</w:t>
      </w:r>
    </w:p>
    <w:p>
      <w:pPr>
        <w:pStyle w:val="Heading3"/>
      </w:pPr>
      <w:r>
        <w:t xml:space="preserve">CRM e Ouvidoria/Anatel</w:t>
      </w:r>
    </w:p>
    <w:p>
      <w:pPr>
        <w:spacing w:after="200" w:before="0"/>
        <w:jc w:val="both"/>
      </w:pPr>
      <w:r>
        <w:rPr>
          <w:b w:val="false"/>
          <w:bCs w:val="false"/>
          <w:i w:val="false"/>
          <w:iCs w:val="false"/>
        </w:rPr>
        <w:t xml:space="preserve">Volume sintético de reclamações de Call Center por zona/nó (lentidão, queda de conexão, sem sinal), com correlação temporal a alertas de rede — o Assistente responde "este alerta já gerou reclamações no CRM?" cruzando timestamp. Escalonamento à Ouvidoria interna e à Anatel segue o mesmo princípio de acesso controlado já implementado na Consulta Individual do JourneyGraph (ver capítulo Base Legal, ao final).</w:t>
      </w:r>
    </w:p>
    <w:p>
      <w:pPr>
        <w:pStyle w:val="Heading2"/>
      </w:pPr>
      <w:r>
        <w:t xml:space="preserve">4.3 Referências Bibliográficas</w:t>
      </w:r>
    </w:p>
    <w:p>
      <w:pPr>
        <w:spacing w:after="200" w:before="0"/>
        <w:jc w:val="both"/>
      </w:pPr>
      <w:r>
        <w:rPr>
          <w:b w:val="false"/>
          <w:bCs w:val="false"/>
          <w:i w:val="false"/>
          <w:iCs w:val="false"/>
        </w:rPr>
        <w:t xml:space="preserve">ITU-T. Recommendation M.3400 — TMN Management Functions. · ITU-T. Recommendation series M.3050 (eTOM, incorporação pública do GB921 da TM Forum). · TM Forum. Open APIs TMF628 (Performance Management) e TMF642 (Alarm Management). · ANATEL. Regulamento de Qualidade dos Serviços de Telecomunicações (RQUAL) — validar edição vigente com a área regulatória antes de uso externo. · Lei nº 9.472/1997 (Lei Geral de Telecomunicações). · docs/NETGRAPH_PROMPT.md — especificação de desenvolvimento original deste produto, versionada neste repositório.</w:t>
      </w:r>
    </w:p>
    <w:p>
      <w:pPr>
        <w:pStyle w:val="Heading1"/>
      </w:pPr>
      <w:r>
        <w:t xml:space="preserve">5. Use Cases</w:t>
      </w:r>
    </w:p>
    <w:p>
      <w:pPr>
        <w:pStyle w:val="Heading2"/>
      </w:pPr>
      <w:r>
        <w:t xml:space="preserve">Caso 1 — Isolamento de Causa Raiz por Rede Bayesiana</w:t>
      </w:r>
    </w:p>
    <w:p>
      <w:pPr>
        <w:spacing w:after="200"/>
        <w:jc w:val="both"/>
      </w:pPr>
      <w:r>
        <w:rPr>
          <w:b/>
          <w:bCs/>
        </w:rPr>
        <w:t xml:space="preserve">Contexto: </w:t>
      </w:r>
      <w:r>
        <w:t xml:space="preserve">um conjunto de alertas correlacionados aparece simultaneamente em nós downstream de um mesmo ponto da topologia, e o NOC precisa decidir qual causa raiz atacar primeiro entre 6 hipóteses plausíveis.</w:t>
      </w:r>
    </w:p>
    <w:p>
      <w:pPr>
        <w:spacing w:after="200"/>
        <w:jc w:val="both"/>
      </w:pPr>
      <w:r>
        <w:rPr>
          <w:b/>
          <w:bCs/>
        </w:rPr>
        <w:t xml:space="preserve">Benefícios: </w:t>
      </w:r>
      <w:r>
        <w:t xml:space="preserve">posterior explícito com grau de confiança sobre as 6 causas candidatas, não um rótulo único sem justificativa — decisão de investigação orientada por evidência (SPOF, outlier de perda/latência, blast radius, tipo de nó).</w:t>
      </w:r>
    </w:p>
    <w:p>
      <w:pPr>
        <w:spacing w:after="200"/>
        <w:jc w:val="both"/>
      </w:pPr>
      <w:r>
        <w:rPr>
          <w:b/>
          <w:bCs/>
        </w:rPr>
        <w:t xml:space="preserve">Limitações: </w:t>
      </w:r>
      <w:r>
        <w:t xml:space="preserve">priors são autorados a partir de frequência histórica sintética, não de um log de causa-raiz real rotulado — em produção, exigiria recalibração com histórico de incidentes real do ISP.</w:t>
      </w:r>
    </w:p>
    <w:p>
      <w:pPr>
        <w:spacing w:after="200"/>
        <w:jc w:val="both"/>
      </w:pPr>
      <w:r>
        <w:rPr>
          <w:b/>
          <w:bCs/>
        </w:rPr>
        <w:t xml:space="preserve">Benchmark: </w:t>
      </w:r>
      <w:r>
        <w:t xml:space="preserve">diferencial explícito frente a ntopng/Grafana, que mostram métricas e dashboards sem isolamento de causa raiz automatizado com grau de confiança.</w:t>
      </w:r>
    </w:p>
    <w:p>
      <w:pPr>
        <w:spacing w:after="200"/>
        <w:jc w:val="both"/>
      </w:pPr>
      <w:r>
        <w:rPr>
          <w:b/>
          <w:bCs/>
        </w:rPr>
        <w:t xml:space="preserve">Exemplos: </w:t>
      </w:r>
      <w:r>
        <w:t xml:space="preserve">rompimento de fibra (prior 0,22) tende a apresentar evidência forte de SPOF (0,92) e folha única afetada (0,85); degradação de trânsito upstream (prior 0,20) tende a apresentar blast radius amplo (0,92) e afetar core/POP (0,90).</w:t>
      </w:r>
    </w:p>
    <w:p>
      <w:pPr>
        <w:pStyle w:val="Heading2"/>
      </w:pPr>
      <w:r>
        <w:t xml:space="preserve">Caso 2 — Priorização de Alertas por Score Combinado</w:t>
      </w:r>
    </w:p>
    <w:p>
      <w:pPr>
        <w:spacing w:after="200"/>
        <w:jc w:val="both"/>
      </w:pPr>
      <w:r>
        <w:rPr>
          <w:b/>
          <w:bCs/>
        </w:rPr>
        <w:t xml:space="preserve">Contexto: </w:t>
      </w:r>
      <w:r>
        <w:t xml:space="preserve">múltiplos alertas simultâneos disputando a atenção limitada do NOC, sem critério objetivo de ordem de atendimento.</w:t>
      </w:r>
    </w:p>
    <w:p>
      <w:pPr>
        <w:spacing w:after="200"/>
        <w:jc w:val="both"/>
      </w:pPr>
      <w:r>
        <w:rPr>
          <w:b/>
          <w:bCs/>
        </w:rPr>
        <w:t xml:space="preserve">Benefícios: </w:t>
      </w:r>
      <w:r>
        <w:t xml:space="preserve">score único e decomponível, combinando gravidade técnica (Markov + Bayes + outlier + SPOF) e impacto de negócio (assinantes afetados via blast radius, SLA corporativo, sobreposição com CRM, risco Ouvidoria/Anatel) — ordenação por prioridade real, não por hora de chegada.</w:t>
      </w:r>
    </w:p>
    <w:p>
      <w:pPr>
        <w:spacing w:after="200"/>
        <w:jc w:val="both"/>
      </w:pPr>
      <w:r>
        <w:rPr>
          <w:b/>
          <w:bCs/>
        </w:rPr>
        <w:t xml:space="preserve">Limitações: </w:t>
      </w:r>
      <w:r>
        <w:t xml:space="preserve">pesos da combinação entre gravidade técnica e impacto de negócio são definidos no código-fonte, não calibrados contra decisão humana real de priorização em produção.</w:t>
      </w:r>
    </w:p>
    <w:p>
      <w:pPr>
        <w:spacing w:after="200"/>
        <w:jc w:val="both"/>
      </w:pPr>
      <w:r>
        <w:rPr>
          <w:b/>
          <w:bCs/>
        </w:rPr>
        <w:t xml:space="preserve">Benchmark: </w:t>
      </w:r>
      <w:r>
        <w:t xml:space="preserve">não identificado em ferramentas de mercado equivalentes consultadas para o mesmo segmento de ISP regional.</w:t>
      </w:r>
    </w:p>
    <w:p>
      <w:pPr>
        <w:spacing w:after="200"/>
        <w:jc w:val="both"/>
      </w:pPr>
      <w:r>
        <w:rPr>
          <w:b/>
          <w:bCs/>
        </w:rPr>
        <w:t xml:space="preserve">Exemplos: </w:t>
      </w:r>
      <w:r>
        <w:t xml:space="preserve">um SPOF em POP dual-homed atingindo zona com cliente corporativo e histórico de reclamação alta no CRM soma pontuação superior a uma degradação isolada em CTO residencial sem sobreposição de reclamação.</w:t>
      </w:r>
    </w:p>
    <w:p>
      <w:pPr>
        <w:pStyle w:val="Heading2"/>
      </w:pPr>
      <w:r>
        <w:t xml:space="preserve">Caso 3 — Projeção de Capacidade para Planejamento de Rede</w:t>
      </w:r>
    </w:p>
    <w:p>
      <w:pPr>
        <w:spacing w:after="200"/>
        <w:jc w:val="both"/>
      </w:pPr>
      <w:r>
        <w:rPr>
          <w:b/>
          <w:bCs/>
        </w:rPr>
        <w:t xml:space="preserve">Contexto: </w:t>
      </w:r>
      <w:r>
        <w:t xml:space="preserve">decisão de expansão de capacidade de POP/OLT tomada hoje sem visibilidade objetiva de quando a saturação ocorrerá.</w:t>
      </w:r>
    </w:p>
    <w:p>
      <w:pPr>
        <w:spacing w:after="200"/>
        <w:jc w:val="both"/>
      </w:pPr>
      <w:r>
        <w:rPr>
          <w:b/>
          <w:bCs/>
        </w:rPr>
        <w:t xml:space="preserve">Benefícios: </w:t>
      </w:r>
      <w:r>
        <w:t xml:space="preserve">data estimada de saturação (90–100% de utilização) com intervalo de confiança, via regressão real sobre a série sintética — insumo direto para orçamento de CAPEX.</w:t>
      </w:r>
    </w:p>
    <w:p>
      <w:pPr>
        <w:spacing w:after="200"/>
        <w:jc w:val="both"/>
      </w:pPr>
      <w:r>
        <w:rPr>
          <w:b/>
          <w:bCs/>
        </w:rPr>
        <w:t xml:space="preserve">Limitações: </w:t>
      </w:r>
      <w:r>
        <w:t xml:space="preserve">regressão roda sobre janela de 60 pontos horários sintéticos; em produção, precisão depende de uma janela histórica real mais longa e de sazonalidade capturada corretamente.</w:t>
      </w:r>
    </w:p>
    <w:p>
      <w:pPr>
        <w:spacing w:after="200"/>
        <w:jc w:val="both"/>
      </w:pPr>
      <w:r>
        <w:rPr>
          <w:b/>
          <w:bCs/>
        </w:rPr>
        <w:t xml:space="preserve">Benchmark: </w:t>
      </w:r>
      <w:r>
        <w:t xml:space="preserve">não aplicável — dado 100% sintético nesta versão do produto.</w:t>
      </w:r>
    </w:p>
    <w:p>
      <w:pPr>
        <w:spacing w:after="200"/>
        <w:jc w:val="both"/>
      </w:pPr>
      <w:r>
        <w:rPr>
          <w:b/>
          <w:bCs/>
        </w:rPr>
        <w:t xml:space="preserve">Exemplos: </w:t>
      </w:r>
      <w:r>
        <w:t xml:space="preserve">3 OLTs sorteados deterministicamente recebem o cenário "sobrecarga_olt", com utilização crescendo de forma não-linear ao longo da janela — candidatos naturais a aparecer no topo da lista de projeção de capacidade.</w:t>
      </w:r>
    </w:p>
    <w:p>
      <w:pPr>
        <w:pStyle w:val="Heading1"/>
      </w:pPr>
      <w:r>
        <w:t xml:space="preserve">Ressalvas / Honestidade Metodológica</w:t>
      </w:r>
    </w:p>
    <w:p>
      <w:pPr>
        <w:spacing w:after="200" w:before="0"/>
        <w:jc w:val="both"/>
      </w:pPr>
      <w:r>
        <w:rPr>
          <w:b w:val="false"/>
          <w:bCs w:val="false"/>
          <w:i w:val="false"/>
          <w:iCs w:val="false"/>
        </w:rPr>
        <w:t xml:space="preserve">Consolidação das notas de honestidade metodológica deste documento, no formato exigido pelo padrão de documentação da Vísent.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Modelos analíticos reais, dados sintéticos: </w:t>
            </w:r>
            <w:r>
              <w:rPr>
                <w:color w:val="594019"/>
                <w:sz w:val="19"/>
                <w:szCs w:val="19"/>
              </w:rPr>
              <w:t xml:space="preserve">todos os quatro motores de §2.5 (Markov, Bayes, outlier, regressão) são cálculos estatísticos/estruturais reais sobre a série sintética gerada — a honestidade metodológica aqui não está no método (que é real), mas na origem do dado (100% sintético, gerado deterministicamente, sem qualquer integração com sistema de rede, CRM ou Ouvidoria/Anatel de produção).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Priors da rede Bayesiana: </w:t>
            </w:r>
            <w:r>
              <w:rPr>
                <w:color w:val="594019"/>
                <w:sz w:val="19"/>
                <w:szCs w:val="19"/>
              </w:rPr>
              <w:t xml:space="preserve">definidos a partir de frequência histórica sintética de um log de incidentes fictício — não recalibrados a partir de um log de causa-raiz real rotulado. Uma implantação em produção exigiria recalibração com histórico de incidentes real do ISP cliente.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Assistente RAG/SLM: </w:t>
            </w:r>
            <w:r>
              <w:rPr>
                <w:color w:val="594019"/>
                <w:sz w:val="19"/>
                <w:szCs w:val="19"/>
              </w:rPr>
              <w:t xml:space="preserve">mock por palavras-chave e templates sobre corpus estático — sem embeddings, sem LLM real de produção. Mesmo padrão do JourneyGraph; a diferença do NetGraph está nos modelos analíticos que o Assistente narra (reais), não no mecanismo de busca do Assistente em si (mock, como no produto irmão).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Texto normativo (RQUAL, Selo, ITU-T, TM Forum): </w:t>
            </w:r>
            <w:r>
              <w:rPr>
                <w:color w:val="594019"/>
                <w:sz w:val="19"/>
                <w:szCs w:val="19"/>
              </w:rPr>
              <w:t xml:space="preserve">paráfrase para fins de demonstração, não deve ser usado como referência jurídica ou de compliance — a edição vigente de qualquer resolução Anatel citada deve ser validada com a área regulatória antes de publicação externa.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Autenticação da Consulta Individual restrita: </w:t>
            </w:r>
            <w:r>
              <w:rPr>
                <w:color w:val="594019"/>
                <w:sz w:val="19"/>
                <w:szCs w:val="19"/>
              </w:rPr>
              <w:t xml:space="preserve">apenas ilustrativa, mesmo padrão do JourneyGraph — ver capítulo Base Legal, ao final, para o detalhamento completo das limitações.</w:t>
            </w:r>
          </w:p>
        </w:tc>
      </w:tr>
    </w:tbl>
    <w:p>
      <w:pPr>
        <w:pStyle w:val="Heading2"/>
      </w:pPr>
      <w:r>
        <w:t xml:space="preserve">Problema conhecido — corpus do Assistente cobre só parte do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A9C4" w:sz="4"/>
              <w:left w:val="single" w:color="8DA9C4" w:sz="24"/>
              <w:bottom w:val="single" w:color="8DA9C4" w:sz="4"/>
              <w:right w:val="single" w:color="8DA9C4" w:sz="4"/>
            </w:tcBorders>
            <w:shd w:fill="E8EEF5" w:val="clear"/>
            <w:tcMar>
              <w:top w:type="dxa" w:w="140"/>
              <w:left w:type="dxa" w:w="200"/>
              <w:bottom w:type="dxa" w:w="140"/>
              <w:right w:type="dxa" w:w="200"/>
            </w:tcMar>
          </w:tcPr>
          <w:p>
            <w:pPr>
              <w:jc w:val="both"/>
            </w:pPr>
            <w:r>
              <w:rPr>
                <w:i/>
                <w:iCs/>
                <w:color w:val="2E4A66"/>
                <w:sz w:val="19"/>
                <w:szCs w:val="19"/>
              </w:rPr>
              <w:t xml:space="preserve">Ver §3.1/Data Reference: o corpus do Assistente do NetGraph, na versão levantada, concentra-se nas seções normativas/de CRM/Ouvidoria (§6 do prompt original), sem documento dedicado aos motores analíticos (Markov, Bayes, outlier, regressão, blast radius) que de fato sustentam o produto. Registrado como melhoria futura recomendada — o Assistente deveria conseguir narrar corretamente os próprios cálculos que exibe, não apenas o contexto normativo ao redor deles.</w:t>
            </w:r>
          </w:p>
        </w:tc>
      </w:tr>
    </w:tbl>
    <w:p>
      <w:pPr>
        <w:pStyle w:val="Heading1"/>
      </w:pPr>
      <w:r>
        <w:t xml:space="preserve">Base Legal / Controle de Acesso a Dado Pessoal</w:t>
      </w:r>
    </w:p>
    <w:p>
      <w:pPr>
        <w:spacing w:after="200" w:before="0"/>
        <w:jc w:val="both"/>
      </w:pPr>
      <w:r>
        <w:rPr>
          <w:b w:val="false"/>
          <w:bCs w:val="false"/>
          <w:i w:val="false"/>
          <w:iCs w:val="false"/>
        </w:rPr>
        <w:t xml:space="preserve">Capítulo obrigatório por força da funcionalidade de Consulta Individual de Elemento de Rede (Modo Restrito) — análoga direta à "Consulta Individual de Assinante" do JourneyGraph, disponível apenas quando a consulta precisa descer até o nível de ONT/assinante específico.</w:t>
      </w:r>
    </w:p>
    <w:p>
      <w:pPr>
        <w:pStyle w:val="Heading2"/>
      </w:pPr>
      <w:r>
        <w:t xml:space="preserve">Hipóteses de Uso Nomeadas</w:t>
      </w:r>
    </w:p>
    <w:p>
      <w:pPr>
        <w:pStyle w:val="ListParagraph"/>
        <w:numPr>
          <w:ilvl w:val="0"/>
          <w:numId w:val="2"/>
        </w:numPr>
        <w:spacing w:after="120"/>
      </w:pPr>
      <w:r>
        <w:rPr>
          <w:b/>
          <w:bCs/>
        </w:rPr>
        <w:t xml:space="preserve">Interceptação legal: </w:t>
      </w:r>
      <w:r>
        <w:t xml:space="preserve">mediante mandado judicial.</w:t>
      </w:r>
    </w:p>
    <w:p>
      <w:pPr>
        <w:pStyle w:val="ListParagraph"/>
        <w:numPr>
          <w:ilvl w:val="0"/>
          <w:numId w:val="2"/>
        </w:numPr>
        <w:spacing w:after="120"/>
      </w:pPr>
      <w:r>
        <w:rPr>
          <w:b/>
          <w:bCs/>
        </w:rPr>
        <w:t xml:space="preserve">Apuração de ouvidoria: </w:t>
      </w:r>
      <w:r>
        <w:t xml:space="preserve">reclamação formal em curso, exigindo acesso ao elemento de rede/assinante específico.</w:t>
      </w:r>
    </w:p>
    <w:p>
      <w:pPr>
        <w:pStyle w:val="ListParagraph"/>
        <w:numPr>
          <w:ilvl w:val="0"/>
          <w:numId w:val="2"/>
        </w:numPr>
        <w:spacing w:after="120"/>
      </w:pPr>
      <w:r>
        <w:rPr>
          <w:b/>
          <w:bCs/>
        </w:rPr>
        <w:t xml:space="preserve">SLA de NOC: </w:t>
      </w:r>
      <w:r>
        <w:t xml:space="preserve">manutenção em profundidade sob acordo de nível de serviço que exige acesso ao elemento individual.</w:t>
      </w:r>
    </w:p>
    <w:p>
      <w:pPr>
        <w:spacing w:after="200" w:before="0"/>
        <w:jc w:val="both"/>
      </w:pPr>
      <w:r>
        <w:rPr>
          <w:b w:val="false"/>
          <w:bCs w:val="false"/>
          <w:i w:val="false"/>
          <w:iCs w:val="false"/>
        </w:rPr>
        <w:t xml:space="preserve">Mesmas três hipóteses documentadas no JourneyGraph — nunca consulta discricionária ou de rotina.</w:t>
      </w:r>
    </w:p>
    <w:p>
      <w:pPr>
        <w:pStyle w:val="Heading2"/>
      </w:pPr>
      <w:r>
        <w:t xml:space="preserve">Base Legal Específica</w:t>
      </w:r>
    </w:p>
    <w:p>
      <w:pPr>
        <w:spacing w:after="200" w:before="0"/>
        <w:jc w:val="both"/>
      </w:pPr>
      <w:r>
        <w:rPr>
          <w:b w:val="false"/>
          <w:bCs w:val="false"/>
          <w:i w:val="false"/>
          <w:iCs w:val="false"/>
        </w:rPr>
        <w:t xml:space="preserve">O prompt de desenvolvimento original determina que a Consulta Individual do NetGraph siga "o mesmo princípio de acesso controlado já implementado na Consulta Individual do JourneyGraph (autenticação, escopo por papel, log de auditoria imutável) sempre que a consulta atravessar de 'elemento de rede' para 'assinante identificável'" — a base legal específica é, portanto, a mesma do JourneyGraph: Lei nº 9.472/1997 (LGT, art. 3º/72), Lei nº 9.296/1996 (interceptação judicial), Marco Civil da Internet (Lei nº 12.965/2014, art. 10), e LGPD (Lei nº 13.709/2018, art. 7º, VI e X).</w:t>
      </w:r>
    </w:p>
    <w:p>
      <w:pPr>
        <w:pStyle w:val="Heading2"/>
      </w:pPr>
      <w:r>
        <w:t xml:space="preserve">Nota de Honestidade Metodológica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92A" w:sz="4"/>
              <w:left w:val="single" w:color="C0792A" w:sz="24"/>
              <w:bottom w:val="single" w:color="C0792A" w:sz="4"/>
              <w:right w:val="single" w:color="C0792A" w:sz="4"/>
            </w:tcBorders>
            <w:shd w:fill="FDEBD0" w:val="clear"/>
            <w:tcMar>
              <w:top w:type="dxa" w:w="140"/>
              <w:left w:type="dxa" w:w="200"/>
              <w:bottom w:type="dxa" w:w="140"/>
              <w:right w:type="dxa" w:w="200"/>
            </w:tcMar>
          </w:tcPr>
          <w:p>
            <w:pPr>
              <w:jc w:val="both"/>
            </w:pPr>
            <w:r>
              <w:rPr>
                <w:b/>
                <w:bCs/>
                <w:color w:val="7F4F0E"/>
                <w:sz w:val="19"/>
                <w:szCs w:val="19"/>
              </w:rPr>
              <w:t xml:space="preserve"/>
            </w:r>
            <w:r>
              <w:rPr>
                <w:color w:val="594019"/>
                <w:sz w:val="19"/>
                <w:szCs w:val="19"/>
              </w:rPr>
              <w:t xml:space="preserve">Autenticação da Consulta Individual restrita é apenas ilustrativa (mesmo padrão do JourneyGraph, client-side, sem backend), não um controle de acesso de produção. Uma implantação de produção exige, no mínimo: autenticação corporativa (SSO/LDAP) por operador nomeado, autenticação multifator, controle de acesso por papel, log de auditoria imutável server-side com identidade do operador e timestamp, e política de retenção alinhada ao motivo do acesso e à LGPD.</w:t>
            </w:r>
          </w:p>
        </w:tc>
      </w:tr>
    </w:tbl>
    <w:p>
      <w:pPr>
        <w:pStyle w:val="Heading1"/>
      </w:pPr>
      <w:r>
        <w:t xml:space="preserve">Glossário e Siglas</w:t>
      </w:r>
    </w:p>
    <w:p>
      <w:pPr>
        <w:spacing w:after="200" w:before="0"/>
        <w:jc w:val="both"/>
      </w:pPr>
      <w:r>
        <w:rPr>
          <w:b w:val="false"/>
          <w:bCs w:val="false"/>
          <w:i w:val="false"/>
          <w:iCs w:val="false"/>
        </w:rPr>
        <w:t xml:space="preserve">Consolida, em ordem alfabética, as siglas de rede/telecom, os modelos analíticos e os frameworks setoriais efetivamente citados no corpus técnico do NetGraph — o produto que, entre os cinco desta série, mais depende de vocabulário de engenharia de rede e de normas Anatel/ITU-T/TM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c>
          <w:tcPr>
            <w:tcW w:type="dxa" w:w="21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Termo</w:t>
            </w:r>
          </w:p>
        </w:tc>
        <w:tc>
          <w:tcPr>
            <w:tcW w:type="dxa" w:w="150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Categoria</w:t>
            </w:r>
          </w:p>
        </w:tc>
        <w:tc>
          <w:tcPr>
            <w:tcW w:type="dxa" w:w="5760"/>
            <w:tcBorders>
              <w:top w:val="single" w:color="CCCCCC" w:sz="4"/>
              <w:left w:val="single" w:color="CCCCCC" w:sz="4"/>
              <w:bottom w:val="single" w:color="CCCCCC" w:sz="4"/>
              <w:right w:val="single" w:color="CCCCCC" w:sz="4"/>
            </w:tcBorders>
            <w:shd w:fill="1F4E79" w:val="clear"/>
            <w:tcMar>
              <w:top w:type="dxa" w:w="100"/>
              <w:left w:type="dxa" w:w="120"/>
              <w:bottom w:type="dxa" w:w="100"/>
              <w:right w:type="dxa" w:w="120"/>
            </w:tcMar>
            <w:vAlign w:val="center"/>
          </w:tcPr>
          <w:p>
            <w:pPr>
              <w:jc w:val="left"/>
            </w:pPr>
            <w:r>
              <w:rPr>
                <w:b/>
                <w:bCs/>
                <w:i w:val="false"/>
                <w:iCs w:val="false"/>
                <w:color w:val="FFFFFF"/>
                <w:sz w:val="19"/>
                <w:szCs w:val="19"/>
              </w:rPr>
              <w:t xml:space="preserve">Definição</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Anatel</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Agência Nacional de Telecomunicações — órgão regulador citado no RQUAL, Selo de Qualidade e escalonamento de alertas.</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Bayes (Rede Bayesiana)</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Modelo/Técnica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Rede Bayesiana simplificada (naive Bayes) com posterior calculado sobre 6 causas candidatas nomeadas (rompimento de fibra, falha de energia, sobrecarga de OLT etc.), a partir de priors e uma tabela de likelihood sobre 8 evidências.</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Blast Radius</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Modelo/Técnica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Travessia de grafo (BFS/DFS) a partir de um nó em falha, contando nós e assinantes downstream afetados de fato — base estrutural, não estatística.</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CRM</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Customer Relationship Management — volume sintético de reclamações de Call Center por zona/nó, cruzado por timestamp com alertas de rede.</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CTO</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Caixa de Terminação Óptica — nível hierárquico da rede entre PON/Splitter e ONT (2–5 por PON, 8/16 portas).</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eTOM</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Norma/Framework</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Enhanced Telecom Operations Map (TM Forum GB921, incorporado pela ITU-T na série M.3050); mapeado ao processo vertical Assurance (Problem Handling, Service Quality Management, Resource Trouble Management).</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FCAPS</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Fault, Configuration, Accounting, Performance, Security — enquadramento conceitual da camada de assurance, junto com ITU-T M.3400.</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ITU-T M.3400</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Norma/Framework</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Recommendation M.3400 — funções de gerenciamento TMN, com foco em Fault Management.</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LGPD</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Lei Geral de Proteção de Dados (Lei nº 13.709/2018); base legal da Consulta Individual de Elemento de Rede quando desce a nível de assinante.</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MAD</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Modelo/Técnica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Median Absolute Deviation — detector de outlier por z-score robusto, aplicado a latência, perda de pacote e utilização por nó.</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Markov (Cadeia de Markov)</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Modelo/Técnica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Estados Saudável→Degradado→Crítico→Falha(+Recuperado); matriz de transição estimada por contagem real de transições observadas na série sintética de cada classe de nó.</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OLT</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Optical Line Terminal — nível hierárquico entre POP e PON/Splitter (2–4 por POP, capacidade 2.500–10.000 Mbps).</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ONT</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Optical Network Terminal — elemento de rede no nível do assinante; individualizado apenas na Consulta Individual restrita.</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PON</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Passive Optical Network — nível hierárquico entre OLT e CTO (2–4 por OLT, splitter de 16/32/64 portas).</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POP</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Point of Presence — nível hierárquico entre Backbone/Core e OLT (1 por zona, 8 no total; 3 dual-homed, os demais single-homed/SPOF).</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RAG / SLM</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Retrieval-Augmented Generation / Small Language Model — mesmo padrão mock do JourneyGraph: busca lexical sobre corpus estático, sem embeddings nem LLM real.</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Regressão Linear</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Modelo/Técnica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Projeção de data de saturação (90–100% de utilização) por POP/OLT via regressão real sobre a série sintética, com intervalo de confiança.</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RQUAL</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Norma/Framework</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Regulamento de Qualidade dos Serviços de Telecomunicações (Anatel) — indicadores de qualidade, metas de disponibilidade e tempo de reparo, citados pelo Assistente.</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Selo Anatel</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Norma/Framework</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Certificação/selo de qualidade Anatel e instrumentos correlatos de aferição pública de desempenho, citados junto ao RQUAL.</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SLA</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Service Level Agreement — acordo de nível de serviço; insumo de impacto de negócio na priorização de alertas e uma das três hipóteses de uso da Consulta Individual.</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SPOF</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Single Point of Failure — enlace/nó sem redundância; base do cálculo de blast radius e da priorização de alertas.</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TM Forum</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TeleManagement Forum — origem do eTOM (GB921) e das Open APIs TMF628/TMF642 citadas como referência de interoperabilidade futura.</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TMF628</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TM Forum Open API — Performance Management; citada como referência de interoperabilidade futura, não implementada.</w:t>
            </w:r>
          </w:p>
        </w:tc>
      </w:tr>
      <w:tr>
        <w:tc>
          <w:tcPr>
            <w:tcW w:type="dxa" w:w="21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bCs/>
                <w:i w:val="false"/>
                <w:iCs w:val="false"/>
                <w:sz w:val="19"/>
                <w:szCs w:val="19"/>
              </w:rPr>
              <w:t xml:space="preserve">TMF642</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color w:val="4A6A8A"/>
                <w:sz w:val="19"/>
                <w:szCs w:val="19"/>
              </w:rPr>
              <w:t xml:space="preserve">Sigla</w:t>
            </w:r>
          </w:p>
        </w:tc>
        <w:tc>
          <w:tcPr>
            <w:tcW w:type="dxa" w:w="5760"/>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pPr>
              <w:jc w:val="left"/>
            </w:pPr>
            <w:r>
              <w:rPr>
                <w:b w:val="false"/>
                <w:bCs w:val="false"/>
                <w:i w:val="false"/>
                <w:iCs w:val="false"/>
                <w:sz w:val="19"/>
                <w:szCs w:val="19"/>
              </w:rPr>
              <w:t xml:space="preserve">TM Forum Open API — Alarm Management; citada como referência de interoperabilidade futura, não implementada.</w:t>
            </w:r>
          </w:p>
        </w:tc>
      </w:tr>
    </w:tbl>
    <w:p>
      <w:pPr>
        <w:spacing w:after="0" w:before="0"/>
        <w:jc w:val="both"/>
      </w:pPr>
      <w:r>
        <w:rPr>
          <w:b w:val="false"/>
          <w:bCs w:val="false"/>
          <w:i w:val="false"/>
          <w:iCs w:val="false"/>
        </w:rPr>
        <w:t xml:space="preserve">Termos institucionais recorrentes em toda a série de documentos da Lounge de Soluções ISP (RAG, SLM, LGPD, ITU-T, TM Forum, eTOM) seguem a mesma definição em todos os Product Reports desta série, por força do padrão de documentação da Vísent (docs/PADRAO_DOCUMENTACAO_PRODUTO.md).</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A0A0" w:sz="4" w:space="4"/>
      </w:pBdr>
    </w:pPr>
  </w:p>
  <w:p>
    <w:pPr>
      <w:tabs>
        <w:tab w:val="right" w:pos="9026"/>
      </w:tabs>
    </w:pPr>
    <w:r>
      <w:rPr>
        <w:i/>
        <w:iCs/>
        <w:color w:val="595959"/>
        <w:sz w:val="20"/>
        <w:szCs w:val="20"/>
      </w:rPr>
      <w:t xml:space="preserve">DOC INTERNO | </w:t>
    </w:r>
    <w:r>
      <w:rPr>
        <w:i/>
        <w:iCs/>
        <w:color w:val="595959"/>
        <w:sz w:val="20"/>
        <w:szCs w:val="20"/>
      </w:rPr>
      <w:t xml:space="preserve">CONFIDENCIAL</w:t>
    </w:r>
    <w:r>
      <w:rPr>
        <w:color w:val="808080"/>
        <w:sz w:val="16"/>
        <w:szCs w:val="16"/>
      </w:rPr>
      <w:t xml:space="preserve">	pag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A0A0" w:sz="4" w:space="4"/>
      </w:pBdr>
    </w:pPr>
  </w:p>
  <w:p>
    <w:pPr>
      <w:tabs>
        <w:tab w:val="right" w:pos="9026"/>
      </w:tabs>
    </w:pPr>
    <w:r>
      <w:rPr>
        <w:i/>
        <w:iCs/>
        <w:color w:val="595959"/>
        <w:sz w:val="20"/>
        <w:szCs w:val="20"/>
      </w:rPr>
      <w:t xml:space="preserve">CONFIDENCIAL</w:t>
    </w:r>
    <w:r>
      <w:rPr>
        <w:sz w:val="20"/>
        <w:szCs w:val="20"/>
      </w:rPr>
      <w:t xml:space="preserve">   </w:t>
    </w:r>
    <w:r>
      <w:rPr>
        <w:i/>
        <w:iCs/>
        <w:color w:val="1155CC"/>
        <w:sz w:val="20"/>
        <w:szCs w:val="20"/>
        <w:u w:val="single"/>
      </w:rPr>
      <w:t xml:space="preserve">www.visent.com.br</w:t>
    </w:r>
    <w:r>
      <w:rPr>
        <w:color w:val="808080"/>
        <w:sz w:val="16"/>
        <w:szCs w:val="16"/>
      </w:rPr>
      <w:t xml:space="preserve">	Página </w:t>
    </w:r>
    <w:r>
      <w:rPr>
        <w:b/>
        <w:bCs/>
        <w:color w:val="808080"/>
        <w:sz w:val="16"/>
        <w:szCs w:val="16"/>
      </w:rPr>
      <w:fldChar w:fldCharType="begin"/>
      <w:instrText xml:space="preserve">PAGE</w:instrText>
      <w:fldChar w:fldCharType="separate"/>
      <w:fldChar w:fldCharType="end"/>
    </w:r>
    <w:r>
      <w:rPr>
        <w:color w:val="808080"/>
        <w:sz w:val="16"/>
        <w:szCs w:val="16"/>
      </w:rPr>
      <w:t xml:space="preserve"> de </w:t>
    </w:r>
    <w:r>
      <w:rPr>
        <w:b/>
        <w:bCs/>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left"/>
          </w:pPr>
          <w:r>
            <w:rPr>
              <w:b w:val="false"/>
              <w:bCs w:val="false"/>
              <w:i/>
              <w:iCs/>
              <w:color w:val="595959"/>
              <w:sz w:val="19"/>
              <w:szCs w:val="19"/>
            </w:rPr>
            <w:t xml:space="preserve">Vísent · Inteligência de dados para Telecom e ISPs</w:t>
          </w:r>
        </w:p>
      </w:tc>
      <w:tc>
        <w:tcPr>
          <w:tcW w:type="dxa" w:w="2160"/>
          <w:tcBorders>
            <w:top w:val="none" w:color="FFFFFF" w:sz="0"/>
            <w:left w:val="none" w:color="FFFFFF" w:sz="0"/>
            <w:bottom w:val="none" w:color="FFFFFF" w:sz="0"/>
            <w:right w:val="none" w:color="FFFFFF" w:sz="0"/>
          </w:tcBorders>
          <w:vAlign w:val="center"/>
        </w:tcPr>
        <w:p>
          <w:pPr>
            <w:jc w:val="right"/>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409575"/>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100"/>
            <w:left w:type="dxa" w:w="120"/>
            <w:bottom w:type="dxa" w:w="100"/>
            <w:right w:type="dxa" w:w="120"/>
          </w:tcMar>
          <w:vAlign w:val="center"/>
        </w:tcPr>
        <w:p>
          <w:pPr>
            <w:jc w:val="left"/>
          </w:pPr>
          <w:r>
            <w:rPr>
              <w:b w:val="false"/>
              <w:bCs w:val="false"/>
              <w:i/>
              <w:iCs/>
              <w:color w:val="595959"/>
              <w:sz w:val="19"/>
              <w:szCs w:val="19"/>
            </w:rPr>
            <w:t xml:space="preserve">Vísent · NetGraph — Service Assurance de Rede</w:t>
          </w:r>
        </w:p>
      </w:tc>
      <w:tc>
        <w:tcPr>
          <w:tcW w:type="dxa" w:w="2160"/>
          <w:tcBorders>
            <w:top w:val="none" w:color="FFFFFF" w:sz="0"/>
            <w:left w:val="none" w:color="FFFFFF" w:sz="0"/>
            <w:bottom w:val="none" w:color="FFFFFF" w:sz="0"/>
            <w:right w:val="none" w:color="FFFFFF" w:sz="0"/>
          </w:tcBorders>
          <w:vAlign w:val="center"/>
        </w:tcPr>
        <w:p>
          <w:pPr>
            <w:jc w:val="right"/>
          </w:pPr>
          <w:r>
            <w:drawing>
              <wp:inline distT="0" distB="0" distL="0" distR="0">
                <wp:extent cx="952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4095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35608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3be74fc48295a32170b5616ddd6fee806f291e2.png"/></Relationships>
</file>

<file path=word/_rels/header2.xml.rels><?xml version="1.0" encoding="UTF-8"?><Relationships xmlns="http://schemas.openxmlformats.org/package/2006/relationships"><Relationship Id="rId0" Type="http://schemas.openxmlformats.org/officeDocument/2006/relationships/image" Target="media/23be74fc48295a32170b5616ddd6fee806f291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2026-08-02T11:12:54.981Z</dcterms:created>
  <dcterms:modified xsi:type="dcterms:W3CDTF">2026-08-02T11:12:54.981Z</dcterms:modified>
</cp:coreProperties>
</file>

<file path=docProps/custom.xml><?xml version="1.0" encoding="utf-8"?>
<Properties xmlns="http://schemas.openxmlformats.org/officeDocument/2006/custom-properties" xmlns:vt="http://schemas.openxmlformats.org/officeDocument/2006/docPropsVTypes"/>
</file>