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rPr>
          <w:b/>
          <w:bCs/>
          <w:color w:val="000000"/>
          <w:sz w:val="40"/>
          <w:szCs w:val="40"/>
        </w:rPr>
        <w:t xml:space="preserve">Égide Vita</w:t>
      </w:r>
    </w:p>
    <w:p>
      <w:pPr>
        <w:spacing w:after="360"/>
      </w:pPr>
      <w:r>
        <w:rPr>
          <w:color w:val="000000"/>
          <w:sz w:val="26"/>
          <w:szCs w:val="26"/>
        </w:rPr>
        <w:t xml:space="preserve">Product Report, Tech Reference, Data Reference e Base Metodológica</w:t>
      </w:r>
    </w:p>
    <w:p>
      <w:pPr>
        <w:spacing w:after="60" w:before="300"/>
      </w:pPr>
      <w:r>
        <w:rPr>
          <w:b/>
          <w:bCs/>
          <w:sz w:val="22"/>
          <w:szCs w:val="22"/>
        </w:rPr>
        <w:t xml:space="preserve">Documentação de Produto</w:t>
      </w:r>
    </w:p>
    <w:p>
      <w:pPr>
        <w:spacing w:after="360"/>
      </w:pPr>
      <w:r>
        <w:rPr>
          <w:i/>
          <w:iCs/>
          <w:color w:val="595959"/>
          <w:sz w:val="20"/>
          <w:szCs w:val="20"/>
        </w:rPr>
        <w:t xml:space="preserve">KDD Cognitivo Soberano · Domínio Saúde — Protótipo v0.1, para uso interno e submissão institucional</w:t>
      </w:r>
    </w:p>
    <w:p>
      <w:pPr>
        <w:spacing w:after="60" w:before="1600"/>
      </w:pPr>
      <w:r>
        <w:rPr>
          <w:sz w:val="22"/>
          <w:szCs w:val="22"/>
        </w:rPr>
        <w:t xml:space="preserve">Agosto de 2026</w:t>
      </w:r>
    </w:p>
    <w:p>
      <w:pPr>
        <w:spacing w:after="200"/>
      </w:pPr>
      <w:r>
        <w:rPr>
          <w:i/>
          <w:iCs/>
          <w:color w:val="595959"/>
          <w:sz w:val="20"/>
          <w:szCs w:val="20"/>
        </w:rPr>
        <w:t xml:space="preserve">Documento gerado a partir do corpus técnico embutido em egide-vita/index.html e do histórico real de commits do repositório — conteúdo factual, não redigido de memória.</w:t>
      </w:r>
    </w:p>
    <w:p>
      <w:pPr>
        <w:pageBreakBefore/>
      </w:pPr>
    </w:p>
    <w:p>
      <w:pPr>
        <w:pStyle w:val="Heading1"/>
      </w:pPr>
      <w:r>
        <w:t xml:space="preserve">Sumário</w:t>
      </w:r>
    </w:p>
    <w:p>
      <w:pPr>
        <w:tabs>
          <w:tab w:val="right" w:pos="9026" w:leader="dot"/>
        </w:tabs>
        <w:spacing w:after="100"/>
        <w:ind w:left="0"/>
      </w:pPr>
      <w:r>
        <w:rPr>
          <w:b/>
          <w:bCs/>
          <w:sz w:val="22"/>
          <w:szCs w:val="22"/>
        </w:rPr>
        <w:t xml:space="preserve">1. Product Report</w:t>
      </w:r>
      <w:r>
        <w:rPr>
          <w:sz w:val="22"/>
          <w:szCs w:val="22"/>
        </w:rPr>
        <w:t xml:space="preserve">	3</w:t>
      </w:r>
    </w:p>
    <w:p>
      <w:pPr>
        <w:tabs>
          <w:tab w:val="right" w:pos="9026" w:leader="dot"/>
        </w:tabs>
        <w:spacing w:after="60"/>
        <w:ind w:left="360"/>
      </w:pPr>
      <w:r>
        <w:rPr>
          <w:b w:val="false"/>
          <w:bCs w:val="false"/>
          <w:sz w:val="22"/>
          <w:szCs w:val="22"/>
        </w:rPr>
        <w:t xml:space="preserve">1.1–1.5 Objeto, Objetivo, Aplicações, Benefícios, Diferenciais</w:t>
      </w:r>
      <w:r>
        <w:rPr>
          <w:sz w:val="22"/>
          <w:szCs w:val="22"/>
        </w:rPr>
        <w:t xml:space="preserve">	3</w:t>
      </w:r>
    </w:p>
    <w:p>
      <w:pPr>
        <w:tabs>
          <w:tab w:val="right" w:pos="9026" w:leader="dot"/>
        </w:tabs>
        <w:spacing w:after="60"/>
        <w:ind w:left="360"/>
      </w:pPr>
      <w:r>
        <w:rPr>
          <w:b w:val="false"/>
          <w:bCs w:val="false"/>
          <w:sz w:val="22"/>
          <w:szCs w:val="22"/>
        </w:rPr>
        <w:t xml:space="preserve">1.6–1.11 Arquitetura executiva, Funcionalidades, Entradas, Transformações, Persistência, Integrações</w:t>
      </w:r>
      <w:r>
        <w:rPr>
          <w:sz w:val="22"/>
          <w:szCs w:val="22"/>
        </w:rPr>
        <w:t xml:space="preserve">	4</w:t>
      </w:r>
    </w:p>
    <w:p>
      <w:pPr>
        <w:tabs>
          <w:tab w:val="right" w:pos="9026" w:leader="dot"/>
        </w:tabs>
        <w:spacing w:after="60"/>
        <w:ind w:left="360"/>
      </w:pPr>
      <w:r>
        <w:rPr>
          <w:b w:val="false"/>
          <w:bCs w:val="false"/>
          <w:sz w:val="22"/>
          <w:szCs w:val="22"/>
        </w:rPr>
        <w:t xml:space="preserve">1.12–1.17 Ambientes, Requisitos, Deploy, Testes, Capacitação, Sustentação</w:t>
      </w:r>
      <w:r>
        <w:rPr>
          <w:sz w:val="22"/>
          <w:szCs w:val="22"/>
        </w:rPr>
        <w:t xml:space="preserve">	5</w:t>
      </w:r>
    </w:p>
    <w:p>
      <w:pPr>
        <w:tabs>
          <w:tab w:val="right" w:pos="9026" w:leader="dot"/>
        </w:tabs>
        <w:spacing w:after="60"/>
        <w:ind w:left="360"/>
      </w:pPr>
      <w:r>
        <w:rPr>
          <w:b w:val="false"/>
          <w:bCs w:val="false"/>
          <w:sz w:val="22"/>
          <w:szCs w:val="22"/>
        </w:rPr>
        <w:t xml:space="preserve">1.18 Histórico de Evolução</w:t>
      </w:r>
      <w:r>
        <w:rPr>
          <w:sz w:val="22"/>
          <w:szCs w:val="22"/>
        </w:rPr>
        <w:t xml:space="preserve">	6</w:t>
      </w:r>
    </w:p>
    <w:p>
      <w:pPr>
        <w:tabs>
          <w:tab w:val="right" w:pos="9026" w:leader="dot"/>
        </w:tabs>
        <w:spacing w:after="100"/>
        <w:ind w:left="0"/>
      </w:pPr>
      <w:r>
        <w:rPr>
          <w:b/>
          <w:bCs/>
          <w:sz w:val="22"/>
          <w:szCs w:val="22"/>
        </w:rPr>
        <w:t xml:space="preserve">2. Tech Reference</w:t>
      </w:r>
      <w:r>
        <w:rPr>
          <w:sz w:val="22"/>
          <w:szCs w:val="22"/>
        </w:rPr>
        <w:t xml:space="preserve">	6</w:t>
      </w:r>
    </w:p>
    <w:p>
      <w:pPr>
        <w:tabs>
          <w:tab w:val="right" w:pos="9026" w:leader="dot"/>
        </w:tabs>
        <w:spacing w:after="60"/>
        <w:ind w:left="360"/>
      </w:pPr>
      <w:r>
        <w:rPr>
          <w:b w:val="false"/>
          <w:bCs w:val="false"/>
          <w:sz w:val="22"/>
          <w:szCs w:val="22"/>
        </w:rPr>
        <w:t xml:space="preserve">2.1–2.4 Arquitetura detalhada, Stack, Desempenho, Parametrização</w:t>
      </w:r>
      <w:r>
        <w:rPr>
          <w:sz w:val="22"/>
          <w:szCs w:val="22"/>
        </w:rPr>
        <w:t xml:space="preserve">	6</w:t>
      </w:r>
    </w:p>
    <w:p>
      <w:pPr>
        <w:tabs>
          <w:tab w:val="right" w:pos="9026" w:leader="dot"/>
        </w:tabs>
        <w:spacing w:after="60"/>
        <w:ind w:left="360"/>
      </w:pPr>
      <w:r>
        <w:rPr>
          <w:b w:val="false"/>
          <w:bCs w:val="false"/>
          <w:sz w:val="22"/>
          <w:szCs w:val="22"/>
        </w:rPr>
        <w:t xml:space="preserve">2.5 ML / IA / RAG / Agentes — Motor Matemático</w:t>
      </w:r>
      <w:r>
        <w:rPr>
          <w:sz w:val="22"/>
          <w:szCs w:val="22"/>
        </w:rPr>
        <w:t xml:space="preserve">	7</w:t>
      </w:r>
    </w:p>
    <w:p>
      <w:pPr>
        <w:tabs>
          <w:tab w:val="right" w:pos="9026" w:leader="dot"/>
        </w:tabs>
        <w:spacing w:after="100"/>
        <w:ind w:left="0"/>
      </w:pPr>
      <w:r>
        <w:rPr>
          <w:b/>
          <w:bCs/>
          <w:sz w:val="22"/>
          <w:szCs w:val="22"/>
        </w:rPr>
        <w:t xml:space="preserve">3. Data Reference</w:t>
      </w:r>
      <w:r>
        <w:rPr>
          <w:sz w:val="22"/>
          <w:szCs w:val="22"/>
        </w:rPr>
        <w:t xml:space="preserve">	8</w:t>
      </w:r>
    </w:p>
    <w:p>
      <w:pPr>
        <w:tabs>
          <w:tab w:val="right" w:pos="9026" w:leader="dot"/>
        </w:tabs>
        <w:spacing w:after="100"/>
        <w:ind w:left="0"/>
      </w:pPr>
      <w:r>
        <w:rPr>
          <w:b/>
          <w:bCs/>
          <w:sz w:val="22"/>
          <w:szCs w:val="22"/>
        </w:rPr>
        <w:t xml:space="preserve">4. Base Metodológica</w:t>
      </w:r>
      <w:r>
        <w:rPr>
          <w:sz w:val="22"/>
          <w:szCs w:val="22"/>
        </w:rPr>
        <w:t xml:space="preserve">	9</w:t>
      </w:r>
    </w:p>
    <w:p>
      <w:pPr>
        <w:tabs>
          <w:tab w:val="right" w:pos="9026" w:leader="dot"/>
        </w:tabs>
        <w:spacing w:after="100"/>
        <w:ind w:left="0"/>
      </w:pPr>
      <w:r>
        <w:rPr>
          <w:b/>
          <w:bCs/>
          <w:sz w:val="22"/>
          <w:szCs w:val="22"/>
        </w:rPr>
        <w:t xml:space="preserve">5. Use Cases</w:t>
      </w:r>
      <w:r>
        <w:rPr>
          <w:sz w:val="22"/>
          <w:szCs w:val="22"/>
        </w:rPr>
        <w:t xml:space="preserve">	10</w:t>
      </w:r>
    </w:p>
    <w:p>
      <w:pPr>
        <w:tabs>
          <w:tab w:val="right" w:pos="9026" w:leader="dot"/>
        </w:tabs>
        <w:spacing w:after="100"/>
        <w:ind w:left="0"/>
      </w:pPr>
      <w:r>
        <w:rPr>
          <w:b/>
          <w:bCs/>
          <w:sz w:val="22"/>
          <w:szCs w:val="22"/>
        </w:rPr>
        <w:t xml:space="preserve">Ressalvas / Honestidade Metodológica</w:t>
      </w:r>
      <w:r>
        <w:rPr>
          <w:sz w:val="22"/>
          <w:szCs w:val="22"/>
        </w:rPr>
        <w:t xml:space="preserve">	11</w:t>
      </w:r>
    </w:p>
    <w:p>
      <w:pPr>
        <w:tabs>
          <w:tab w:val="right" w:pos="9026" w:leader="dot"/>
        </w:tabs>
        <w:spacing w:after="100"/>
        <w:ind w:left="0"/>
      </w:pPr>
      <w:r>
        <w:rPr>
          <w:b/>
          <w:bCs/>
          <w:sz w:val="22"/>
          <w:szCs w:val="22"/>
        </w:rPr>
        <w:t xml:space="preserve">Base Legal / Controle de Acesso a Dado Pessoal</w:t>
      </w:r>
      <w:r>
        <w:rPr>
          <w:sz w:val="22"/>
          <w:szCs w:val="22"/>
        </w:rPr>
        <w:t xml:space="preserve">	11</w:t>
      </w:r>
    </w:p>
    <w:p>
      <w:pPr>
        <w:tabs>
          <w:tab w:val="right" w:pos="9026" w:leader="dot"/>
        </w:tabs>
        <w:spacing w:after="100"/>
        <w:ind w:left="0"/>
      </w:pPr>
      <w:r>
        <w:rPr>
          <w:b/>
          <w:bCs/>
          <w:sz w:val="22"/>
          <w:szCs w:val="22"/>
        </w:rPr>
        <w:t xml:space="preserve">Glossário e Siglas</w:t>
      </w:r>
      <w:r>
        <w:rPr>
          <w:sz w:val="22"/>
          <w:szCs w:val="22"/>
        </w:rPr>
        <w:t xml:space="preserve">	12</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Product Report</w:t>
      </w:r>
    </w:p>
    <w:p>
      <w:pPr>
        <w:pStyle w:val="Heading2"/>
      </w:pPr>
      <w:r>
        <w:t xml:space="preserve">1.1 Objeto</w:t>
      </w:r>
    </w:p>
    <w:p>
      <w:pPr>
        <w:spacing w:after="200" w:before="0"/>
        <w:jc w:val="both"/>
      </w:pPr>
      <w:r>
        <w:rPr>
          <w:b w:val="false"/>
          <w:bCs w:val="false"/>
          <w:i w:val="false"/>
          <w:iCs w:val="false"/>
        </w:rPr>
        <w:t xml:space="preserve">O Égide Vita é o segundo produto-piloto do domínio Saúde do KDD Cognitivo Soberano da Vísent — instrumento de fenotipagem digital para saúde pública, ocupacional e proteção infanto-juvenil. Reaproveita o motor técnico do JourneyGraph (dígrafo dirigido em D3, personas via clusterização, Assistente RAG), mudando a semântica dos nós de categorias de tráfego para estados comportamentais de risco, e calculando via cadeia de Markov absorvente a probabilidade estrutural de desfecho (Crise vs. Estabilização) de cada nó — sempre como apoio à decisão humana, nunca como diagnóstico.</w:t>
      </w:r>
    </w:p>
    <w:p>
      <w:pPr>
        <w:spacing w:after="200" w:before="0"/>
        <w:jc w:val="both"/>
      </w:pPr>
      <w:r>
        <w:rPr>
          <w:b w:val="false"/>
          <w:bCs w:val="false"/>
          <w:i w:val="false"/>
          <w:iCs w:val="false"/>
        </w:rPr>
        <w:t xml:space="preserve">Protótipo de arquivo único autocontido: diferente do JourneyGraph (que depende de CDN externo para o D3), o Égide Vita embute o D3.js e a logo da Vísent inline no próprio arquivo — corrige um caso real em que o dígrafo ficava em branco ao copiar apenas o index.html para outra pasta sem a subpasta vendor/.</w:t>
      </w:r>
    </w:p>
    <w:p>
      <w:pPr>
        <w:pStyle w:val="Heading2"/>
      </w:pPr>
      <w:r>
        <w:t xml:space="preserve">1.2 Objetivo</w:t>
      </w:r>
    </w:p>
    <w:p>
      <w:pPr>
        <w:pStyle w:val="ListParagraph"/>
        <w:numPr>
          <w:ilvl w:val="0"/>
          <w:numId w:val="2"/>
        </w:numPr>
        <w:spacing w:after="120"/>
      </w:pPr>
      <w:r>
        <w:rPr>
          <w:b/>
          <w:bCs/>
        </w:rPr>
        <w:t xml:space="preserve">NR-1/GRO-PGR: </w:t>
      </w:r>
      <w:r>
        <w:t xml:space="preserve">obriga desde 2022 a gestão de risco psicossocial ocupacional sem nenhum instrumento objetivo disponível no mercado brasileiro.</w:t>
      </w:r>
    </w:p>
    <w:p>
      <w:pPr>
        <w:pStyle w:val="ListParagraph"/>
        <w:numPr>
          <w:ilvl w:val="0"/>
          <w:numId w:val="2"/>
        </w:numPr>
        <w:spacing w:after="120"/>
      </w:pPr>
      <w:r>
        <w:rPr>
          <w:b/>
          <w:bCs/>
        </w:rPr>
        <w:t xml:space="preserve">Plataforma Égide/MinorScore™: </w:t>
      </w:r>
      <w:r>
        <w:t xml:space="preserve">resolve apenas verificação etária pontual (gatekeeper), sem endereçar saúde preventiva de forma ampla.</w:t>
      </w:r>
    </w:p>
    <w:p>
      <w:pPr>
        <w:pStyle w:val="ListParagraph"/>
        <w:numPr>
          <w:ilvl w:val="0"/>
          <w:numId w:val="2"/>
        </w:numPr>
        <w:spacing w:after="120"/>
      </w:pPr>
      <w:r>
        <w:rPr>
          <w:b/>
          <w:bCs/>
        </w:rPr>
        <w:t xml:space="preserve">Ausência de categoria nacional de "digital phenotyping": </w:t>
      </w:r>
      <w:r>
        <w:t xml:space="preserve">as iniciativas internacionais dependem de nuvem estrangeira e não seguem LGPD/ECA Digital.</w:t>
      </w:r>
    </w:p>
    <w:p>
      <w:pPr>
        <w:pStyle w:val="Heading2"/>
      </w:pPr>
      <w:r>
        <w:t xml:space="preserve">1.3 Aplicações</w:t>
      </w:r>
    </w:p>
    <w:p>
      <w:pPr>
        <w:pStyle w:val="ListParagraph"/>
        <w:numPr>
          <w:ilvl w:val="0"/>
          <w:numId w:val="2"/>
        </w:numPr>
        <w:spacing w:after="120"/>
      </w:pPr>
      <w:r>
        <w:rPr>
          <w:b/>
          <w:bCs/>
        </w:rPr>
        <w:t xml:space="preserve">Saúde pública: </w:t>
      </w:r>
      <w:r>
        <w:t xml:space="preserve">cohort agregado e anônimo por território, sem consentimento individual necessário.</w:t>
      </w:r>
    </w:p>
    <w:p>
      <w:pPr>
        <w:pStyle w:val="ListParagraph"/>
        <w:numPr>
          <w:ilvl w:val="0"/>
          <w:numId w:val="2"/>
        </w:numPr>
        <w:spacing w:after="120"/>
      </w:pPr>
      <w:r>
        <w:rPr>
          <w:b/>
          <w:bCs/>
        </w:rPr>
        <w:t xml:space="preserve">Corporativo (NR-1/GRO-PGR): </w:t>
      </w:r>
      <w:r>
        <w:t xml:space="preserve">indicadores agregados de risco psicossocial digital por organização.</w:t>
      </w:r>
    </w:p>
    <w:p>
      <w:pPr>
        <w:pStyle w:val="ListParagraph"/>
        <w:numPr>
          <w:ilvl w:val="0"/>
          <w:numId w:val="2"/>
        </w:numPr>
        <w:spacing w:after="120"/>
      </w:pPr>
      <w:r>
        <w:rPr>
          <w:b/>
          <w:bCs/>
        </w:rPr>
        <w:t xml:space="preserve">Parental/Escolar: </w:t>
      </w:r>
      <w:r>
        <w:t xml:space="preserve">supervisão protetiva alinhada ao ECA Digital, com consentimento do responsável legal.</w:t>
      </w:r>
    </w:p>
    <w:p>
      <w:pPr>
        <w:pStyle w:val="Heading2"/>
      </w:pPr>
      <w:r>
        <w:t xml:space="preserve">1.4 Benefícios</w:t>
      </w:r>
    </w:p>
    <w:p>
      <w:pPr>
        <w:spacing w:after="200" w:before="0"/>
        <w:jc w:val="both"/>
      </w:pPr>
      <w:r>
        <w:rPr>
          <w:b w:val="false"/>
          <w:bCs w:val="false"/>
          <w:i w:val="false"/>
          <w:iCs w:val="false"/>
        </w:rPr>
        <w:t xml:space="preserve">Expande o financiamento Finep P&amp;D,I do KDD Cognitivo Soberano para além da API de verificação etária; estende o eixo de expansão gov+saúde já previsto no STEP (mesmo modelo de contrato âncora público do precedente IST/DER-DF); aproveita a base de 80M+ usuários de operadora já licenciada via STEP como ativo estrutural que nenhum concorrente doméstico replica no curto prazo.</w:t>
      </w:r>
    </w:p>
    <w:p>
      <w:pPr>
        <w:pStyle w:val="Heading2"/>
      </w:pPr>
      <w:r>
        <w:t xml:space="preserve">1.5 Diferenciais</w:t>
      </w:r>
    </w:p>
    <w:p>
      <w:pPr>
        <w:spacing w:after="200" w:before="0"/>
        <w:jc w:val="both"/>
      </w:pPr>
      <w:r>
        <w:rPr>
          <w:b w:val="false"/>
          <w:bCs w:val="false"/>
          <w:i w:val="false"/>
          <w:iCs w:val="false"/>
        </w:rPr>
        <w:t xml:space="preserve">Herda o motor do JourneyGraph (dígrafo D3, personas, RAG), mas com matemática própria: a probabilidade de desfecho é calculada de verdade via matriz fundamental N=(I−Q)⁻¹ de uma cadeia de Markov absorvente com dois estados competitivos (Crise/Estabilização) — não uma heurística com nome emprestado, segundo o material de posicionamento da Lounge de Soluções da Vísent.</w:t>
      </w:r>
    </w:p>
    <w:p>
      <w:pPr>
        <w:pStyle w:val="Heading2"/>
      </w:pPr>
      <w:r>
        <w:t xml:space="preserve">1.6 Arquitetura (visão executiva)</w:t>
      </w:r>
    </w:p>
    <w:p>
      <w:pPr>
        <w:spacing w:after="200" w:before="0"/>
        <w:jc w:val="both"/>
      </w:pPr>
      <w:r>
        <w:rPr>
          <w:b w:val="false"/>
          <w:bCs w:val="false"/>
          <w:i w:val="false"/>
          <w:iCs w:val="false"/>
        </w:rPr>
        <w:t xml:space="preserve">Mesma filosofia de entrega do JourneyGraph: página HTML única, D3.js força-dirigida para o grafo, sem servidor, sem banco de dados. O arquivo funciona sozinho, em qualquer pasta, sem nenhuma dependência externa — inclusive aberto via file:// sem servidor. Corpus do Assistente segregado em quatro categorias temáticas: eFenotipagem (indicadores), literatura_cientifica (peer-reviewed/OMS), normativo (ECA Digital/NR-1/LGPD) e metodologia (honestidade metodológica do próprio produto).</w:t>
      </w:r>
    </w:p>
    <w:p>
      <w:pPr>
        <w:pStyle w:val="Heading2"/>
      </w:pPr>
      <w:r>
        <w:t xml:space="preserve">1.7 Funcionalidades</w:t>
      </w:r>
    </w:p>
    <w:p>
      <w:pPr>
        <w:spacing w:after="200" w:before="0"/>
        <w:jc w:val="both"/>
      </w:pPr>
      <w:r>
        <w:rPr>
          <w:b w:val="false"/>
          <w:bCs w:val="false"/>
          <w:i w:val="false"/>
          <w:iCs w:val="false"/>
        </w:rPr>
        <w:t xml:space="preserve">5 telas de navegação, mais um seletor de cohort (Saúde Pública / Corporativo-NR-1 / Parental-Escolar) que reprocessa todas as telas para o contexto escolhido: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Tela</w:t>
            </w:r>
          </w:p>
        </w:tc>
        <w:tc>
          <w:tcPr>
            <w:tcW w:type="dxa" w:w="76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 que o usuário faz</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Visão Geral</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4 indicadores-resumo (risco agregado de agravamento, σ estrutural, HHI, nó dominante), barra de prevalência por nó, lista de alertas ativos do cohort.</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Dígrafo Sindrômico</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Grafo D3 force-directed com os 7 nós comportamentais + 2 estados absorventes, sparkline de σ, tabela de referência estrutural do backbone e lista de ciclos de reforço ativos.</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Personas de Risco</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Um arquétipo por cohort, derivado dos dois nós de maior prevalência na semana atual — nomenclatura sempre descritiva, nunca clínica ou de diagnóstico.</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Alertas</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Alerta "Transição Sindrômica Crítica" quando risco agregado ou σ estrutural cruza limiar; botão de encaminhamento a responsável humano; status auditável (Novo/Reconhecido/Em Tratamento/Resolvido).</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Assistente</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Chat em linguagem natural sobre o corpus científico/normativo/metodológico, com citação obrigatória e recusa de perguntas de diagnóstico/conduta clínica individual.</w:t>
            </w:r>
          </w:p>
        </w:tc>
      </w:tr>
    </w:tbl>
    <w:p>
      <w:pPr>
        <w:pStyle w:val="Heading2"/>
      </w:pPr>
      <w:r>
        <w:t xml:space="preserve">1.8 Entradas</w:t>
      </w:r>
    </w:p>
    <w:p>
      <w:pPr>
        <w:spacing w:after="200" w:before="0"/>
        <w:jc w:val="both"/>
      </w:pPr>
      <w:r>
        <w:rPr>
          <w:b w:val="false"/>
          <w:bCs w:val="false"/>
          <w:i w:val="false"/>
          <w:iCs w:val="false"/>
        </w:rPr>
        <w:t xml:space="preserve">Três cohorts sintéticos, cada um com série de 8 semanas e perfil de escalonamento próprio (gerador determinístico com seed fixa), representando os três contextos de consentimento previstos no ERS (Especificação de Requisitos de Software) do produto: Saúde Pública, Corporativo/NR-1 e Parental-Escolar/ECA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Cohort</w:t>
            </w:r>
          </w:p>
        </w:tc>
        <w:tc>
          <w:tcPr>
            <w:tcW w:type="dxa" w:w="20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População</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Consentimento</w:t>
            </w:r>
          </w:p>
        </w:tc>
        <w:tc>
          <w:tcPr>
            <w:tcW w:type="dxa" w:w="29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Ênfase do escalonamento sintético</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Município Alfa (Saúde Pública)</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12.400 habitantes, 13–19 anos</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Agregado/anônimo, sem consentimento individual</w:t>
            </w:r>
          </w:p>
        </w:tc>
        <w:tc>
          <w:tcPr>
            <w:tcW w:type="dxa" w:w="2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Binge Watching, Apostas Online, Verificação Compulsiva</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Organização Beta (Corporativo/NR-1)</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850 colaboradores</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Consentimento coletivo, finalidade restrita a GRO/PGR</w:t>
            </w:r>
          </w:p>
        </w:tc>
        <w:tc>
          <w:tcPr>
            <w:tcW w:type="dxa" w:w="2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Burnout/Presenteísmo Digital, Verificação Compulsiva, Vamping</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Turma Gama (Parental/Escolar)</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210 alunos</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Consentimento do responsável legal, alinhado ao ECA Digital</w:t>
            </w:r>
          </w:p>
        </w:tc>
        <w:tc>
          <w:tcPr>
            <w:tcW w:type="dxa" w:w="2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Isolamento (IRE), Dependência de IA Generativa, Vamping — dispara o alerta de demonstração</w:t>
            </w:r>
          </w:p>
        </w:tc>
      </w:tr>
    </w:tbl>
    <w:p>
      <w:pPr>
        <w:pStyle w:val="Heading2"/>
      </w:pPr>
      <w:r>
        <w:t xml:space="preserve">1.9 Transformações</w:t>
      </w:r>
    </w:p>
    <w:p>
      <w:pPr>
        <w:spacing w:after="200" w:before="0"/>
        <w:jc w:val="both"/>
      </w:pPr>
      <w:r>
        <w:rPr>
          <w:b w:val="false"/>
          <w:bCs w:val="false"/>
          <w:i w:val="false"/>
          <w:iCs w:val="false"/>
        </w:rPr>
        <w:t xml:space="preserve">Backbone estrutural fixo (matriz de afinidade de transição entre os 7 nós comportamentais + 2 estados absorventes) combinado a um vetor de escalonamento observado por cohort/semana, alimentando: prevalência por nó, cadeia de Markov absorvente (P(Crise) e P(Estabilização) via matriz fundamental), centralidade de Brandes (papel topológico), HHI e Divergência de Jensen-Shannon (σ), e detecção de ciclos de reforço.</w:t>
      </w:r>
    </w:p>
    <w:p>
      <w:pPr>
        <w:pStyle w:val="Heading2"/>
      </w:pPr>
      <w:r>
        <w:t xml:space="preserve">1.10 Persistência e Saídas</w:t>
      </w:r>
    </w:p>
    <w:p>
      <w:pPr>
        <w:spacing w:after="200" w:before="0"/>
        <w:jc w:val="both"/>
      </w:pPr>
      <w:r>
        <w:rPr>
          <w:b w:val="false"/>
          <w:bCs w:val="false"/>
          <w:i w:val="false"/>
          <w:iCs w:val="false"/>
        </w:rPr>
        <w:t xml:space="preserve">Sem banco de dados: todo o processamento acontece no navegador, com o resultado embutido diretamente no HTML final (index.html, com D3.js e logo Vísent inline). Artefato totalmente portátil e auditável.</w:t>
      </w:r>
    </w:p>
    <w:p>
      <w:pPr>
        <w:pStyle w:val="Heading2"/>
      </w:pPr>
      <w:r>
        <w:t xml:space="preserve">1.11 Integrações</w:t>
      </w:r>
    </w:p>
    <w:p>
      <w:pPr>
        <w:spacing w:after="200" w:before="0"/>
        <w:jc w:val="both"/>
      </w:pPr>
      <w:r>
        <w:rPr>
          <w:b w:val="false"/>
          <w:bCs w:val="false"/>
          <w:i w:val="false"/>
          <w:iCs w:val="false"/>
        </w:rPr>
        <w:t xml:space="preserve">Nenhuma integração real de sistema — dado 100% sintético. Reaproveita explicitamente o motor técnico do JourneyGraph (arquitetura, não integração em tempo real) e é citado no material institucional da Vísent como se apoiando na base de usuários de operadora já licenciada via STEP como ativo estratégico (não uma integração técnica de fato neste protótipo).</w:t>
      </w:r>
    </w:p>
    <w:p>
      <w:pPr>
        <w:pStyle w:val="Heading2"/>
      </w:pPr>
      <w:r>
        <w:t xml:space="preserve">1.12 Ambientes</w:t>
      </w:r>
    </w:p>
    <w:p>
      <w:pPr>
        <w:spacing w:after="200" w:before="0"/>
        <w:jc w:val="both"/>
      </w:pPr>
      <w:r>
        <w:rPr>
          <w:b w:val="false"/>
          <w:bCs w:val="false"/>
          <w:i w:val="false"/>
          <w:iCs w:val="false"/>
        </w:rPr>
        <w:t xml:space="preserve">Navegador moderno, arquivo HTML único autocontido — sem servidor, banco de dados, ou dependência externa (D3.js e logo embutidos inline, diferente do JourneyGraph que depende de CDN).</w:t>
      </w:r>
    </w:p>
    <w:p>
      <w:pPr>
        <w:pStyle w:val="Heading2"/>
      </w:pPr>
      <w:r>
        <w:t xml:space="preserve">1.13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Versão</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Papel</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D3.js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v7 (embutido inline, vendor/d3.v7.min.js)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Dígrafo Sindrômico força-dirigida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Navegador</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Chrome/Edge/Firefox modernos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Abertura direta via file://, sem servidor HTTP</w:t>
            </w:r>
          </w:p>
        </w:tc>
      </w:tr>
    </w:tbl>
    <w:p>
      <w:pPr>
        <w:pStyle w:val="Heading2"/>
      </w:pPr>
      <w:r>
        <w:t xml:space="preserve">1.14 Deploy</w:t>
      </w:r>
    </w:p>
    <w:p>
      <w:pPr>
        <w:spacing w:after="200" w:before="0"/>
        <w:jc w:val="both"/>
      </w:pPr>
      <w:r>
        <w:rPr>
          <w:b w:val="false"/>
          <w:bCs w:val="false"/>
          <w:i w:val="false"/>
          <w:iCs w:val="false"/>
        </w:rPr>
        <w:t xml:space="preserve">Arquivo único (egide-vita/index.html) — basta abrir no navegador. Sem passo de build, sem geração de dado externo.</w:t>
      </w:r>
    </w:p>
    <w:p>
      <w:pPr>
        <w:pStyle w:val="Heading2"/>
      </w:pPr>
      <w:r>
        <w:t xml:space="preserve">1.15 Testes</w:t>
      </w:r>
    </w:p>
    <w:p>
      <w:pPr>
        <w:spacing w:after="200" w:before="0"/>
        <w:jc w:val="both"/>
      </w:pPr>
      <w:r>
        <w:rPr>
          <w:b w:val="false"/>
          <w:bCs w:val="false"/>
          <w:i w:val="false"/>
          <w:iCs w:val="false"/>
        </w:rPr>
        <w:t xml:space="preserve">A matemática do produto (Markov absorvente, Brandes, JSD, HHI, ciclos de reforço) foi validada isoladamente em Node.js antes de embutida no dígrafo — mesmo processo de validação usado no JourneyGraph. Não há suíte de testes automatizados publicada neste repositório.</w:t>
      </w:r>
    </w:p>
    <w:p>
      <w:pPr>
        <w:pStyle w:val="Heading2"/>
      </w:pPr>
      <w:r>
        <w:t xml:space="preserve">1.16 Capacitação</w:t>
      </w:r>
    </w:p>
    <w:p>
      <w:pPr>
        <w:spacing w:after="200" w:before="0"/>
        <w:jc w:val="both"/>
      </w:pPr>
      <w:r>
        <w:rPr>
          <w:b w:val="false"/>
          <w:bCs w:val="false"/>
          <w:i w:val="false"/>
          <w:iCs w:val="false"/>
        </w:rPr>
        <w:t xml:space="preserve">Assistente com corpus segregado científico/normativo, busca por palavra-chave com citação obrigatória de fonte (sem inferência real de LLM — igual em espírito ao Assistente do JourneyGraph, mas com corpus próprio) e recusa explícita de perguntas de diagnóstico ou conduta clínica individual, redirecionando a encaminhamento humano.</w:t>
      </w:r>
    </w:p>
    <w:p>
      <w:pPr>
        <w:pStyle w:val="Heading2"/>
      </w:pPr>
      <w:r>
        <w:t xml:space="preserve">1.17 Sustentação</w:t>
      </w:r>
    </w:p>
    <w:p>
      <w:pPr>
        <w:spacing w:after="200" w:before="0"/>
        <w:jc w:val="both"/>
      </w:pPr>
      <w:r>
        <w:rPr>
          <w:b w:val="false"/>
          <w:bCs w:val="false"/>
          <w:i w:val="false"/>
          <w:iCs w:val="false"/>
        </w:rPr>
        <w:t xml:space="preserve">Produto de sessão única de desenvolvimento (julho de 2026) — não há processo de curadoria contínua formalizado neste repositório além do próprio changelog embutido no corpus (ver 1.18). Recomenda-se, para evolução futura, adotar o mesmo princípio de curadoria contínua já praticado no JourneyGraph.</w:t>
      </w:r>
    </w:p>
    <w:p>
      <w:pPr>
        <w:pStyle w:val="Heading2"/>
      </w:pPr>
      <w:r>
        <w:t xml:space="preserve">1.18 Histórico de Evolução</w:t>
      </w:r>
    </w:p>
    <w:p>
      <w:pPr>
        <w:spacing w:after="200" w:before="0"/>
        <w:jc w:val="both"/>
      </w:pPr>
      <w:r>
        <w:rPr>
          <w:b w:val="false"/>
          <w:bCs w:val="false"/>
          <w:i w:val="false"/>
          <w:iCs w:val="false"/>
        </w:rPr>
        <w:t xml:space="preserve">Reconciliado entre o changelog embutido no próprio produto (corpus, seção 8 — "Histórico de Evolução, Sessão Única — Julho 2026") e o histórico real de commits deste repositório (git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Commit</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Data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Entrega</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ad14223</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30/07/2026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Adiciona protótipo Égide Vita (Dígrafo Sindrômico funcional).</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683d1b7</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30/07/2026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Torna Égide Vita um arquivo único autocontido e aumenta a logo.</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7f6160b</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30/07/2026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Dígrafo: permite fixar/soltar um nó com um clique.</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95f1f66</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31/07/2026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Dígrafo: caixa de transições ao clicar aresta + modo de marcar caminho.</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90bc8f2</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31/07/2026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Expande o corpus do Assistente para um Tech Reference completo.</w:t>
            </w:r>
          </w:p>
        </w:tc>
      </w:tr>
    </w:tbl>
    <w:p>
      <w:pPr>
        <w:pStyle w:val="Heading1"/>
      </w:pPr>
      <w:r>
        <w:t xml:space="preserve">2. Tech Reference</w:t>
      </w:r>
    </w:p>
    <w:p>
      <w:pPr>
        <w:pStyle w:val="Heading2"/>
      </w:pPr>
      <w:r>
        <w:t xml:space="preserve">2.1 Arquitetura Detalhada</w:t>
      </w:r>
    </w:p>
    <w:p>
      <w:pPr>
        <w:pStyle w:val="Heading3"/>
      </w:pPr>
      <w:r>
        <w:t xml:space="preserve">Motor Herdado do JourneyGraph</w:t>
      </w:r>
    </w:p>
    <w:p>
      <w:pPr>
        <w:spacing w:after="200" w:before="0"/>
        <w:jc w:val="both"/>
      </w:pPr>
      <w:r>
        <w:rPr>
          <w:b w:val="false"/>
          <w:bCs w:val="false"/>
          <w:i w:val="false"/>
          <w:iCs w:val="false"/>
        </w:rPr>
        <w:t xml:space="preserve">Mesma filosofia de entrega do JourneyGraph: página HTML única, D3.js força-dirigida para o grafo, sem servidor, sem banco de dados. Diferente do JourneyGraph, o Égide Vita embute o D3.js e a logo da Vísent inline no próprio arquivo — corrige um bug real em que o dígrafo ficava em branco ao copiar apenas o index.html para outra pasta sem a subpasta vendor/.</w:t>
      </w:r>
    </w:p>
    <w:p>
      <w:pPr>
        <w:pStyle w:val="Heading3"/>
      </w:pPr>
      <w:r>
        <w:t xml:space="preserve">Camada de Fenotipagem Sindrômica</w:t>
      </w:r>
    </w:p>
    <w:p>
      <w:pPr>
        <w:spacing w:after="200" w:before="0"/>
        <w:jc w:val="both"/>
      </w:pPr>
      <w:r>
        <w:rPr>
          <w:b w:val="false"/>
          <w:bCs w:val="false"/>
          <w:i w:val="false"/>
          <w:iCs w:val="false"/>
        </w:rPr>
        <w:t xml:space="preserve">Os nós do dígrafo deixam de representar categorias de tráfego (streaming, gaming...) e passam a representar estados comportamentais de risco (Vamping, Verificação Compulsiva, Binge Watching, Apostas Online, Isolamento, Dependência de IA, Burnout). As arestas deixam de ser volume de bytes trocado e passam a ser probabilidade de transição estimada entre estados.</w:t>
      </w:r>
    </w:p>
    <w:p>
      <w:pPr>
        <w:pStyle w:val="Heading3"/>
      </w:pPr>
      <w:r>
        <w:t xml:space="preserve">Assistente RAG Científico-Normativo</w:t>
      </w:r>
    </w:p>
    <w:p>
      <w:pPr>
        <w:spacing w:after="200" w:before="0"/>
        <w:jc w:val="both"/>
      </w:pPr>
      <w:r>
        <w:rPr>
          <w:b w:val="false"/>
          <w:bCs w:val="false"/>
          <w:i w:val="false"/>
          <w:iCs w:val="false"/>
        </w:rPr>
        <w:t xml:space="preserve">Corpus segregado em quatro categorias: eFenotipagem (indicadores), literatura_cientifica (peer-reviewed/OMS), normativo (ECA Digital/NR-1/LGPD) e metodologia (honestidade metodológica do próprio produto). Busca por contagem de palavras-chave no título+texto+corpus (não é inferência de LLM), citação obrigatória de fonte em toda resposta, e recusa explícita de perguntas de diagnóstico ou conduta clínica individual.</w:t>
      </w:r>
    </w:p>
    <w:p>
      <w:pPr>
        <w:pStyle w:val="Heading3"/>
      </w:pPr>
      <w:r>
        <w:t xml:space="preserve">Autocontenção — Arquivo Único</w:t>
      </w:r>
    </w:p>
    <w:p>
      <w:pPr>
        <w:spacing w:after="200" w:before="0"/>
        <w:jc w:val="both"/>
      </w:pPr>
      <w:r>
        <w:rPr>
          <w:b w:val="false"/>
          <w:bCs w:val="false"/>
          <w:i w:val="false"/>
          <w:iCs w:val="false"/>
        </w:rPr>
        <w:t xml:space="preserve">D3.js (vendor/d3.v7.min.js) e a logo da Vísent (antes carregada de ../assets/) foram embutidos como dados inline diretamente no index.html. O arquivo funciona sozinho, em qualquer pasta, sem nenhuma dependência externa.</w:t>
      </w:r>
    </w:p>
    <w:p>
      <w:pPr>
        <w:pStyle w:val="Heading2"/>
      </w:pPr>
      <w:r>
        <w:t xml:space="preserve">2.2 Stack</w:t>
      </w:r>
    </w:p>
    <w:p>
      <w:pPr>
        <w:spacing w:after="200" w:before="0"/>
        <w:jc w:val="both"/>
      </w:pPr>
      <w:r>
        <w:rPr>
          <w:b w:val="false"/>
          <w:bCs w:val="false"/>
          <w:i w:val="false"/>
          <w:iCs w:val="false"/>
        </w:rPr>
        <w:t xml:space="preserve">D3.js v7 (embutido inline) para o dígrafo força-dirigido; HTML5/CSS/JavaScript puro para o restante — sem framework de build, sem backend, sem banco de dados.</w:t>
      </w:r>
    </w:p>
    <w:p>
      <w:pPr>
        <w:pStyle w:val="Heading2"/>
      </w:pPr>
      <w:r>
        <w:t xml:space="preserve">2.3 Desempenho</w:t>
      </w:r>
    </w:p>
    <w:p>
      <w:pPr>
        <w:spacing w:after="200" w:before="0"/>
        <w:jc w:val="both"/>
      </w:pPr>
      <w:r>
        <w:rPr>
          <w:b w:val="false"/>
          <w:bCs w:val="false"/>
          <w:i w:val="false"/>
          <w:iCs w:val="false"/>
        </w:rPr>
        <w:t xml:space="preserve">Escala pequena por desenho: 9 nós no backbone (7 comportamentais + 2 absorventes), 3 cohorts × 8 semanas de série sintética. Todo o cálculo (Markov, Brandes, JSD, HHI, ciclos) roda instantaneamente no navegador, sem necessidade de otimização de performance nesta escala.</w:t>
      </w:r>
    </w:p>
    <w:p>
      <w:pPr>
        <w:pStyle w:val="Heading2"/>
      </w:pPr>
      <w:r>
        <w:t xml:space="preserve">2.4 Parametrização</w:t>
      </w:r>
    </w:p>
    <w:p>
      <w:pPr>
        <w:spacing w:after="200" w:before="0"/>
        <w:jc w:val="both"/>
      </w:pPr>
      <w:r>
        <w:rPr>
          <w:b w:val="false"/>
          <w:bCs w:val="false"/>
          <w:i w:val="false"/>
          <w:iCs w:val="false"/>
        </w:rPr>
        <w:t xml:space="preserve">BASE_AFFINITY (matriz de afinidade de transição) é fixa para todos os cohorts — o que muda por cohort/semana é apenas o fator de escalonamento aplicado a cada nó, nunca a estrutura de afinidade em si. Não há arquivo de configuração externo; alterações exigem edição do código-fonte.</w:t>
      </w:r>
    </w:p>
    <w:p>
      <w:pPr>
        <w:pStyle w:val="Heading2"/>
      </w:pPr>
      <w:r>
        <w:t xml:space="preserve">2.5 ML / IA / RAG / Agentes — Motor Matemático</w:t>
      </w:r>
    </w:p>
    <w:p>
      <w:pPr>
        <w:spacing w:after="200" w:before="0"/>
        <w:jc w:val="both"/>
      </w:pPr>
      <w:r>
        <w:rPr>
          <w:b w:val="false"/>
          <w:bCs w:val="false"/>
          <w:i w:val="false"/>
          <w:iCs w:val="false"/>
        </w:rPr>
        <w:t xml:space="preserve">Declaração explícita, por componente, do nível real de sofisticação analítica: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Natureza real</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Detalhe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Backbone Estrutural (BASE_AFFINITY)</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Matriz fixa, fundamentada em literatura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Matriz de afinidade de transição entre os 7 nós comportamentais + 2 estados absorventes — igual para todos os cohorts.</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Prevalência por nó</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Vetor de escalonamento observado (corrigido)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Ver nota de honestidade metodológica em §5.6 — não é mais calculada via distribuição estacionária da cadeia de Markov.</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Cadeia de Markov Absorvente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Modelo estatístico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Dois estados absorventes competitivos (Crise/Estabilização), via matriz fundamental N=(I−Q)⁻¹ e B=N·R. P(Crise) e P(Estabilização) somam 1 e variam de verdade por nó.</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Centralidade de Brandes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Algoritmo real (O(VE))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Papel topológico (Núcleo/Ponte/Âncora/Satélite), combinando betweenness com peso/prevalência do nó — mesma lógica do JourneyGraph para papéis de SVA.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HHI e Divergência de Jensen-Shannon (σ)</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Métricas reais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HHI mede concentração de prevalência; σ mede variação estrutural semana a semana — escalado por min-max observado, não limiar absoluto.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Detecção de Ciclos de Reforço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Cálculo estrutural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Pares i,j onde P(i→j) e P(j→i) excedem 0,10 na semana em exibição — fundamentado na Teoria de Rede da Psicopatologia (Borsboom, 2017).</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Assistente RAG científico-normativo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Busca lexical (contagem de palavras-chave)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Não é inferência de LLM real. Citação obrigatória de fonte; recusa explícita de perguntas de diagnóstico/conduta clínica individual.</w:t>
            </w:r>
          </w:p>
        </w:tc>
      </w:tr>
    </w:tbl>
    <w:p>
      <w:pPr>
        <w:pStyle w:val="Heading1"/>
      </w:pPr>
      <w:r>
        <w:t xml:space="preserve">3. Data Reference</w:t>
      </w:r>
    </w:p>
    <w:p>
      <w:pPr>
        <w:pStyle w:val="Heading2"/>
      </w:pPr>
      <w:r>
        <w:t xml:space="preserve">3.1 Dicionário de Dados</w:t>
      </w:r>
    </w:p>
    <w:p>
      <w:pPr>
        <w:pStyle w:val="Heading3"/>
      </w:pPr>
      <w:r>
        <w:t xml:space="preserve">Schema do Corpus do Assistente</w:t>
      </w:r>
    </w:p>
    <w:p>
      <w:pPr>
        <w:spacing w:after="200" w:before="0"/>
        <w:jc w:val="both"/>
      </w:pPr>
      <w:r>
        <w:rPr>
          <w:b w:val="false"/>
          <w:bCs w:val="false"/>
          <w:i w:val="false"/>
          <w:iCs w:val="false"/>
        </w:rPr>
        <w:t xml:space="preserve">O Égide Vita declara o corpus como objeto JavaScript literal, sem aspas nas chaves (mesmo dialeto sintático do NetGraph, diferente do JourneyGraph): {id, secao, corpus, titulo, fonte, texto} — schema mínimo definido no padrão de documentação, §5. 45 documentos ao todo, cobrindo Resumo Executivo, Problemas/Oportunidades, Arquitetura, Funcionalidades, Cohorts, Motor Matemático, Interações, Anexo A (Glossário de Indicadores), Anexo B (Bases Teóricas), Anexo C (Fundamentação Regulatória) e Histórico de Evolução.</w:t>
      </w:r>
    </w:p>
    <w:p>
      <w:pPr>
        <w:pStyle w:val="Heading3"/>
      </w:pPr>
      <w:r>
        <w:t xml:space="preserve">Indicadores de Saúde Digital (Anexo A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Indicador</w:t>
            </w:r>
          </w:p>
        </w:tc>
        <w:tc>
          <w:tcPr>
            <w:tcW w:type="dxa" w:w="42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Definição</w:t>
            </w:r>
          </w:p>
        </w:tc>
        <w:tc>
          <w:tcPr>
            <w:tcW w:type="dxa" w:w="25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Fonte</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Vamping</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Intensidade de uso digital crítico noturno (22h–6h)</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Oliveira et al., 2023 — Rev. Bras. Psiquiatria</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Verificação Compulsiva</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Frequência e brevidade de sessões (circuitos dopaminérgicos)</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Santos, 2022 — Dissertação UFRJ</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Binge Watching</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Sessões prolongadas de streaming/gaming</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Lima, 2021 — Tese USP</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Apostas Online (Bets)</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Maior P(Crise) estrutural entre os satélites (60,6%)</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Relatório de Impacto Vísent, 2026, §5.2</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Índice de Retração Espacial (IRE) / Isolamento</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Variação do raio de deslocamento físico; maior P(Crise) do backbone (62,5%)</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Relatório de Impacto Vísent, 2026, §7.2</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Dependência de IA Generativa</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Interação compulsiva com assistentes conversacionais; papel de Âncora</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Relatório de Impacto Vísent, 2026, §8</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Burnout / Presenteísmo Digital</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Esgotamento por conectividade compulsória fora do expediente</w:t>
            </w:r>
          </w:p>
        </w:tc>
        <w:tc>
          <w:tcPr>
            <w:tcW w:type="dxa" w:w="25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Relatório de Impacto Vísent, 2026, §5.3</w:t>
            </w:r>
          </w:p>
        </w:tc>
      </w:tr>
    </w:tbl>
    <w:p>
      <w:pPr>
        <w:pStyle w:val="Heading2"/>
      </w:pPr>
      <w:r>
        <w:t xml:space="preserve">3.2 Volumetria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Métrica</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Valor de referência</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Observação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Cohorts sintéticos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3</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Município Alfa, Organização Beta, Turma Gama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Janela de série sintética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 semanas por cohort</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Gerador determinístico com seed fixa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Nós do backbone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9</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7 comportamentais + 2 estados absorventes (Crise/Estabilização)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Corpus do Assistente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45 documentos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4 categorias: eFenotipagem, literatura_cientifica, normativo, metodologia</w:t>
            </w:r>
          </w:p>
        </w:tc>
      </w:tr>
    </w:tbl>
    <w:p>
      <w:pPr>
        <w:pStyle w:val="Heading2"/>
      </w:pPr>
      <w:r>
        <w:t xml:space="preserve">3.3 Esquema de Saída</w:t>
      </w:r>
    </w:p>
    <w:p>
      <w:pPr>
        <w:spacing w:after="200" w:before="0"/>
        <w:jc w:val="both"/>
      </w:pPr>
      <w:r>
        <w:rPr>
          <w:b w:val="false"/>
          <w:bCs w:val="false"/>
          <w:i w:val="false"/>
          <w:iCs w:val="false"/>
        </w:rPr>
        <w:t xml:space="preserve">Todo o resultado permanece em memória no navegador, embutido no HTML final — sem banco de dados, API ou exportação estruturada separada. Mesmo padrão de artefato único do JourneyGraph.</w:t>
      </w:r>
    </w:p>
    <w:p>
      <w:pPr>
        <w:pStyle w:val="Heading1"/>
      </w:pPr>
      <w:r>
        <w:t xml:space="preserve">4. Base Metodológica</w:t>
      </w:r>
    </w:p>
    <w:p>
      <w:pPr>
        <w:pStyle w:val="Heading2"/>
      </w:pPr>
      <w:r>
        <w:t xml:space="preserve">4.1 Bases Teóricas dos Algoritmos</w:t>
      </w:r>
    </w:p>
    <w:p>
      <w:pPr>
        <w:pStyle w:val="ListParagraph"/>
        <w:numPr>
          <w:ilvl w:val="0"/>
          <w:numId w:val="2"/>
        </w:numPr>
        <w:spacing w:after="120"/>
      </w:pPr>
      <w:r>
        <w:rPr>
          <w:b/>
          <w:bCs/>
        </w:rPr>
        <w:t xml:space="preserve">Cadeias de Markov Absorventes: </w:t>
      </w:r>
      <w:r>
        <w:t xml:space="preserve">matriz fundamental N=(I−Q)⁻¹ (Q = submatriz transiente-transiente) dá o número esperado de visitas antes da absorção; B=N·R dá a probabilidade de absorção em cada estado. Com um único estado absorvente, essa probabilidade é trivialmente 1 — por isso o Égide Vita usa dois estados absorventes competitivos, técnica padrão de "riscos competitivos" em cadeias de Markov.</w:t>
      </w:r>
    </w:p>
    <w:p>
      <w:pPr>
        <w:pStyle w:val="ListParagraph"/>
        <w:numPr>
          <w:ilvl w:val="0"/>
          <w:numId w:val="2"/>
        </w:numPr>
        <w:spacing w:after="120"/>
      </w:pPr>
      <w:r>
        <w:rPr>
          <w:b/>
          <w:bCs/>
        </w:rPr>
        <w:t xml:space="preserve">Centralidade de Intermediação (Brandes): </w:t>
      </w:r>
      <w:r>
        <w:t xml:space="preserve">algoritmo eficiente O(VE) para calcular a centralidade de intermediação de todos os nós de um grafo. Usado no Égide Vita (e no JourneyGraph, para papéis de SVA) para identificar nós-ponte estruturais.</w:t>
      </w:r>
    </w:p>
    <w:p>
      <w:pPr>
        <w:pStyle w:val="ListParagraph"/>
        <w:numPr>
          <w:ilvl w:val="0"/>
          <w:numId w:val="2"/>
        </w:numPr>
        <w:spacing w:after="120"/>
      </w:pPr>
      <w:r>
        <w:rPr>
          <w:b/>
          <w:bCs/>
        </w:rPr>
        <w:t xml:space="preserve">Divergência de Jensen-Shannon (JSD): </w:t>
      </w:r>
      <w:r>
        <w:t xml:space="preserve">medida simétrica e limitada (0 a 1) de divergência entre distribuições de probabilidade. Usada para medir o quanto a topologia/prevalência de uma semana difere da anterior (σ).</w:t>
      </w:r>
    </w:p>
    <w:p>
      <w:pPr>
        <w:pStyle w:val="ListParagraph"/>
        <w:numPr>
          <w:ilvl w:val="0"/>
          <w:numId w:val="2"/>
        </w:numPr>
        <w:spacing w:after="120"/>
      </w:pPr>
      <w:r>
        <w:rPr>
          <w:b/>
          <w:bCs/>
        </w:rPr>
        <w:t xml:space="preserve">Índice Herfindahl-Hirschman (HHI): </w:t>
      </w:r>
      <w:r>
        <w:t xml:space="preserve">soma dos quadrados dos market shares — aqui, participação de cada nó na prevalência do cohort. Usado como proxy de fixação/concentração comportamental.</w:t>
      </w:r>
    </w:p>
    <w:p>
      <w:pPr>
        <w:pStyle w:val="ListParagraph"/>
        <w:numPr>
          <w:ilvl w:val="0"/>
          <w:numId w:val="2"/>
        </w:numPr>
        <w:spacing w:after="120"/>
      </w:pPr>
      <w:r>
        <w:rPr>
          <w:b/>
          <w:bCs/>
        </w:rPr>
        <w:t xml:space="preserve">Teoria de Rede da Psicopatologia: </w:t>
      </w:r>
      <w:r>
        <w:t xml:space="preserve">transtornos mentais podem ser modelados como redes de sintomas que se sustentam via loops de feedback (ciclos de reforço), não como categoria única com causa central (Borsboom, D., World Psychiatry, 2017). Fundamenta a leitura de ciclos no Dígrafo Sindrômico.</w:t>
      </w:r>
    </w:p>
    <w:p>
      <w:pPr>
        <w:pStyle w:val="Heading2"/>
      </w:pPr>
      <w:r>
        <w:t xml:space="preserve">4.2 Normas e Frameworks Setoriais</w:t>
      </w:r>
    </w:p>
    <w:p>
      <w:pPr>
        <w:pStyle w:val="Heading3"/>
      </w:pPr>
      <w:r>
        <w:t xml:space="preserve">ECA Digital — Vedação de Perfilamento</w:t>
      </w:r>
    </w:p>
    <w:p>
      <w:pPr>
        <w:spacing w:after="200" w:before="0"/>
        <w:jc w:val="both"/>
      </w:pPr>
      <w:r>
        <w:rPr>
          <w:b w:val="false"/>
          <w:bCs w:val="false"/>
          <w:i w:val="false"/>
          <w:iCs w:val="false"/>
        </w:rPr>
        <w:t xml:space="preserve">Lei nº 15.211/2025 (em vigor desde 17/03/2026), Art. 22 e 26: indicadores comportamentais de rede são restritos exclusivamente à saúde preventiva e supervisão parental, sendo vedada sua utilização para publicidade direcionada ou monetização de vulnerabilidades. Exige mecanismos confiáveis de verificação etária e privacidade desde o design.</w:t>
      </w:r>
    </w:p>
    <w:p>
      <w:pPr>
        <w:pStyle w:val="Heading3"/>
      </w:pPr>
      <w:r>
        <w:t xml:space="preserve">NR-1 — Gerenciamento de Riscos Ocupacionais</w:t>
      </w:r>
    </w:p>
    <w:p>
      <w:pPr>
        <w:spacing w:after="200" w:before="0"/>
        <w:jc w:val="both"/>
      </w:pPr>
      <w:r>
        <w:rPr>
          <w:b w:val="false"/>
          <w:bCs w:val="false"/>
          <w:i w:val="false"/>
          <w:iCs w:val="false"/>
        </w:rPr>
        <w:t xml:space="preserve">MTE, NR-1 (atualizada 2022), GRO/PGR: obriga empresas a gerenciar riscos ocupacionais, incluindo fatores psicossociais que afetam a saúde mental dos trabalhadores. O módulo corporativo do Égide Vita é apresentado, no material institucional da Vísent, como o único instrumento objetivo de mensuração dessa exigência hoje identificado no mercado brasileiro.</w:t>
      </w:r>
    </w:p>
    <w:p>
      <w:pPr>
        <w:pStyle w:val="Heading3"/>
      </w:pPr>
      <w:r>
        <w:t xml:space="preserve">Marco Legal da Inteligência Artificial (PL 2338/2023)</w:t>
      </w:r>
    </w:p>
    <w:p>
      <w:pPr>
        <w:spacing w:after="200" w:before="0"/>
        <w:jc w:val="both"/>
      </w:pPr>
      <w:r>
        <w:rPr>
          <w:b w:val="false"/>
          <w:bCs w:val="false"/>
          <w:i w:val="false"/>
          <w:iCs w:val="false"/>
        </w:rPr>
        <w:t xml:space="preserve">Aprovado no Senado em dez/2024, em tramitação na Câmara dos Deputados. Classifica sistemas de IA em saúde como de alto risco, exigindo explicabilidade, contestabilidade e supervisão humana. O Égide Vita já nasce pré-aderente: nenhuma saída é decisão automatizada, todo alerta crítico exige encaminhamento humano, e a arquitetura é auditável (matriz de transição explícita, não rede neural opaca).</w:t>
      </w:r>
    </w:p>
    <w:p>
      <w:pPr>
        <w:pStyle w:val="Heading3"/>
      </w:pPr>
      <w:r>
        <w:t xml:space="preserve">Plano Brasileiro de Inteligência Artificial (PBIA 2024–2028)</w:t>
      </w:r>
    </w:p>
    <w:p>
      <w:pPr>
        <w:spacing w:after="200" w:before="0"/>
        <w:jc w:val="both"/>
      </w:pPr>
      <w:r>
        <w:rPr>
          <w:b w:val="false"/>
          <w:bCs w:val="false"/>
          <w:i w:val="false"/>
          <w:iCs w:val="false"/>
        </w:rPr>
        <w:t xml:space="preserve">R$ 23,03 bilhões distribuídos em cinco pilares, incluindo soberania tecnológica/autonomia nacional e aplicações prioritárias em saúde. O KDD Cognitivo Soberano é apresentado, no posicionamento institucional da Vísent, como instância direta desse pilar.</w:t>
      </w:r>
    </w:p>
    <w:p>
      <w:pPr>
        <w:pStyle w:val="Heading2"/>
      </w:pPr>
      <w:r>
        <w:t xml:space="preserve">4.3 Referências Bibliográficas</w:t>
      </w:r>
    </w:p>
    <w:p>
      <w:pPr>
        <w:spacing w:after="200" w:before="0"/>
        <w:jc w:val="both"/>
      </w:pPr>
      <w:r>
        <w:rPr>
          <w:b w:val="false"/>
          <w:bCs w:val="false"/>
          <w:i w:val="false"/>
          <w:iCs w:val="false"/>
        </w:rPr>
        <w:t xml:space="preserve">Oliveira et al., 2023 — Revista Brasileira de Psiquiatria (Vamping). · Santos, 2022 — Dissertação UFRJ (Verificação Compulsiva). · Lima, 2021 — Tese USP (Binge Watching). · Borsboom, D. World Psychiatry, v.16, n.1, p.5-13, 2017 (Teoria de Rede da Psicopatologia). · World Health Organization, ICD-11 (Gaming Disorder). · Relatório de Impacto Vísent, 2026 (§5.2, §5.3, §7.2, §8). · Lei nº 15.211/2025 (ECA Digital). · NR-1/GRO-PGR (MTE, 2022). · Lei nº 13.709/2018 (LGPD), art. 7º e 14. · PL 2338/2023 (Marco Legal da IA). · Ministério da Ciência, Tecnologia e Inovação — PBIA 2024–2028.</w:t>
      </w:r>
    </w:p>
    <w:p>
      <w:pPr>
        <w:pStyle w:val="Heading1"/>
      </w:pPr>
      <w:r>
        <w:t xml:space="preserve">5. Use Cases</w:t>
      </w:r>
    </w:p>
    <w:p>
      <w:pPr>
        <w:pStyle w:val="Heading2"/>
      </w:pPr>
      <w:r>
        <w:t xml:space="preserve">Caso 1 — Detecção de Transição Sindrômica Crítica (Turma Gama)</w:t>
      </w:r>
    </w:p>
    <w:p>
      <w:pPr>
        <w:spacing w:after="200"/>
        <w:jc w:val="both"/>
      </w:pPr>
      <w:r>
        <w:rPr>
          <w:b/>
          <w:bCs/>
        </w:rPr>
        <w:t xml:space="preserve">Contexto: </w:t>
      </w:r>
      <w:r>
        <w:t xml:space="preserve">cohort escolar/parental com escalonamento sintético enfatizando Isolamento, Dependência de IA Generativa e Vamping — é o cohort que dispara o alerta de demonstração do produto.</w:t>
      </w:r>
    </w:p>
    <w:p>
      <w:pPr>
        <w:spacing w:after="200"/>
        <w:jc w:val="both"/>
      </w:pPr>
      <w:r>
        <w:rPr>
          <w:b/>
          <w:bCs/>
        </w:rPr>
        <w:t xml:space="preserve">Benefícios: </w:t>
      </w:r>
      <w:r>
        <w:t xml:space="preserve">alerta "Transição Sindrômica Crítica" disparado quando risco agregado do cohort ou σ estrutural cruza limiar, com botão de encaminhamento a responsável humano como ação primária e campo de status auditável.</w:t>
      </w:r>
    </w:p>
    <w:p>
      <w:pPr>
        <w:spacing w:after="200"/>
        <w:jc w:val="both"/>
      </w:pPr>
      <w:r>
        <w:rPr>
          <w:b/>
          <w:bCs/>
        </w:rPr>
        <w:t xml:space="preserve">Limitações: </w:t>
      </w:r>
      <w:r>
        <w:t xml:space="preserve">dado 100% sintético; qualquer piloto com dado real exige validação científica e parecer de comitê de ética, conforme o próprio material de posicionamento da Vísent já adverte.</w:t>
      </w:r>
    </w:p>
    <w:p>
      <w:pPr>
        <w:spacing w:after="200"/>
        <w:jc w:val="both"/>
      </w:pPr>
      <w:r>
        <w:rPr>
          <w:b/>
          <w:bCs/>
        </w:rPr>
        <w:t xml:space="preserve">Benchmark: </w:t>
      </w:r>
      <w:r>
        <w:t xml:space="preserve">não há concorrente doméstico direto identificado que combine fenotipagem digital com os três contextos de consentimento (saúde pública, corporativo, parental) num único produto.</w:t>
      </w:r>
    </w:p>
    <w:p>
      <w:pPr>
        <w:spacing w:after="200"/>
        <w:jc w:val="both"/>
      </w:pPr>
      <w:r>
        <w:rPr>
          <w:b/>
          <w:bCs/>
        </w:rPr>
        <w:t xml:space="preserve">Exemplos: </w:t>
      </w:r>
      <w:r>
        <w:t xml:space="preserve">ciclo de reforço Isolamento ⇄ Dependência de IA Generativa como o mais forte do backbone — assinatura estrutural de padrão auto-sustentado.</w:t>
      </w:r>
    </w:p>
    <w:p>
      <w:pPr>
        <w:pStyle w:val="Heading2"/>
      </w:pPr>
      <w:r>
        <w:t xml:space="preserve">Caso 2 — Gestão de Risco Psicossocial Ocupacional (Organização Beta)</w:t>
      </w:r>
    </w:p>
    <w:p>
      <w:pPr>
        <w:spacing w:after="200"/>
        <w:jc w:val="both"/>
      </w:pPr>
      <w:r>
        <w:rPr>
          <w:b/>
          <w:bCs/>
        </w:rPr>
        <w:t xml:space="preserve">Contexto: </w:t>
      </w:r>
      <w:r>
        <w:t xml:space="preserve">obrigação legal de GRO/PGR (NR-1) sem instrumento objetivo de mensuração disponível no mercado.</w:t>
      </w:r>
    </w:p>
    <w:p>
      <w:pPr>
        <w:spacing w:after="200"/>
        <w:jc w:val="both"/>
      </w:pPr>
      <w:r>
        <w:rPr>
          <w:b/>
          <w:bCs/>
        </w:rPr>
        <w:t xml:space="preserve">Benefícios: </w:t>
      </w:r>
      <w:r>
        <w:t xml:space="preserve">indicadores agregados de Burnout/Presenteísmo Digital, Verificação Compulsiva e Vamping por organização, com consentimento coletivo ativo e finalidade restrita a GRO/PGR.</w:t>
      </w:r>
    </w:p>
    <w:p>
      <w:pPr>
        <w:spacing w:after="200"/>
        <w:jc w:val="both"/>
      </w:pPr>
      <w:r>
        <w:rPr>
          <w:b/>
          <w:bCs/>
        </w:rPr>
        <w:t xml:space="preserve">Limitações: </w:t>
      </w:r>
      <w:r>
        <w:t xml:space="preserve">não substitui avaliação de saúde ocupacional formal — é instrumento de apoio, não diagnóstico.</w:t>
      </w:r>
    </w:p>
    <w:p>
      <w:pPr>
        <w:spacing w:after="200"/>
        <w:jc w:val="both"/>
      </w:pPr>
      <w:r>
        <w:rPr>
          <w:b/>
          <w:bCs/>
        </w:rPr>
        <w:t xml:space="preserve">Benchmark: </w:t>
      </w:r>
      <w:r>
        <w:t xml:space="preserve">não identificado instrumento de mercado equivalente para o mesmo requisito regulatório brasileiro (NR-1) no material consultado.</w:t>
      </w:r>
    </w:p>
    <w:p>
      <w:pPr>
        <w:spacing w:after="200"/>
        <w:jc w:val="both"/>
      </w:pPr>
      <w:r>
        <w:rPr>
          <w:b/>
          <w:bCs/>
        </w:rPr>
        <w:t xml:space="preserve">Exemplos: </w:t>
      </w:r>
      <w:r>
        <w:t xml:space="preserve">arquétipo "Padrão Vamping-IA-Dependente" derivado dos dois nós de maior prevalência na semana atual do cohort.</w:t>
      </w:r>
    </w:p>
    <w:p>
      <w:pPr>
        <w:pStyle w:val="Heading1"/>
      </w:pPr>
      <w:r>
        <w:t xml:space="preserve">Ressalvas / Honestidade Metodológica</w:t>
      </w:r>
    </w:p>
    <w:p>
      <w:pPr>
        <w:spacing w:after="200" w:before="0"/>
        <w:jc w:val="both"/>
      </w:pPr>
      <w:r>
        <w:rPr>
          <w:b w:val="false"/>
          <w:bCs w:val="false"/>
          <w:i w:val="false"/>
          <w:iCs w:val="false"/>
        </w:rPr>
        <w:t xml:space="preserve">Consolidação das notas de honestidade metodológica deste documento. O Égide Vita pratica a nota inline no ponto exato da alegação (dentro das próprias seções do Tech Reference, §2.5), reproduzidas aqui de forma consolidada, conforme exigido pelo padrão de documentação da Vísent.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Prevalência Observada vs. Distribuição Estacionária (correção de desenho): </w:t>
            </w:r>
            <w:r>
              <w:rPr>
                <w:color w:val="594019"/>
                <w:sz w:val="19"/>
                <w:szCs w:val="19"/>
              </w:rPr>
              <w:t xml:space="preserve">a primeira versão calculava a prevalência de cada nó via distribuição estacionária da cadeia de Markov (power iteration), mas isso fazia os três cohorts convergirem para o mesmo padrão dominante (Isolamento/Dependência de IA), por causa de um atrator estrutural forte no backbone — mascarando a diferença real entre cohorts. Corrigido para usar o vetor de escalonamento observado diretamente (normalizado). A matriz de transição continua reservada para a topologia do grafo e detecção de ciclos, não para a prevalência.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Cadeia de Markov Absorvente com Desfechos Competitivos: </w:t>
            </w:r>
            <w:r>
              <w:rPr>
                <w:color w:val="594019"/>
                <w:sz w:val="19"/>
                <w:szCs w:val="19"/>
              </w:rPr>
              <w:t xml:space="preserve">a primeira versão usava um único estado absorvente ("Crise"), o que faz a probabilidade de absorção convergir trivialmente para 1 em qualquer nó — resultado tecnicamente correto, mas inútil para diferenciar risco entre nós. Corrigido para dois estados absorventes competitivos (Crise/Estabilização). A métrica que varia com a intensidade/escalonamento é o tempo esperado até o desfecho (passos esperados), não a probabilidade — que é propriedade estrutural do grafo, igual para todos os cohorts.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Fundamentação de literatura científica: </w:t>
            </w:r>
            <w:r>
              <w:rPr>
                <w:color w:val="594019"/>
                <w:sz w:val="19"/>
                <w:szCs w:val="19"/>
              </w:rPr>
              <w:t xml:space="preserve">as fontes citadas (Oliveira et al. 2023, Santos 2022, Lima 2021, Relatório de Impacto Vísent 2026) informam o enquadramento geral de cada indicador — não constituem validação clínica formal dos scores calculados pelo produto. Protótipo com dado 100% sintético — não constitui diagnóstico clínico. Requer validação científica e parecer de comitê de ética antes de qualquer piloto com dado real (advertência já presente no material de posicionamento institucional da Vísent para este produto).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Assistente RAG científico-normativo: </w:t>
            </w:r>
            <w:r>
              <w:rPr>
                <w:color w:val="594019"/>
                <w:sz w:val="19"/>
                <w:szCs w:val="19"/>
              </w:rPr>
              <w:t xml:space="preserve">busca por contagem de palavras-chave, não inferência real de LLM — mesmo padrão do JourneyGraph, com corpus próprio. Recusa explícita de perguntas de diagnóstico ou conduta clínica individual, redirecionando sempre a encaminhamento humano.</w:t>
            </w:r>
          </w:p>
        </w:tc>
      </w:tr>
    </w:tbl>
    <w:p>
      <w:pPr>
        <w:pStyle w:val="Heading1"/>
      </w:pPr>
      <w:r>
        <w:t xml:space="preserve">Base Legal / Controle de Acesso a Dado Pessoal</w:t>
      </w:r>
    </w:p>
    <w:p>
      <w:pPr>
        <w:spacing w:after="200" w:before="0"/>
        <w:jc w:val="both"/>
      </w:pPr>
      <w:r>
        <w:rPr>
          <w:b w:val="false"/>
          <w:bCs w:val="false"/>
          <w:i w:val="false"/>
          <w:iCs w:val="false"/>
        </w:rPr>
        <w:t xml:space="preserve">O Égide Vita não implementa uma funcionalidade de "Consulta Individual restrita" no mesmo padrão do JourneyGraph/NetGraph (senha + motivo/protocolo + log de auditoria + hipóteses de uso nomeadas) — os cohorts operam em nível agregado por desenho. Ainda assim, o produto trata explicitamente a base legal de consentimento por cohort, o que justifica registrar este capítulo (em vez de omiti-lo silenciosamente, conforme o padrão de documentação da Vísent exige).</w:t>
      </w:r>
    </w:p>
    <w:p>
      <w:pPr>
        <w:pStyle w:val="Heading2"/>
      </w:pPr>
      <w:r>
        <w:t xml:space="preserve">Base Legal por Cohort (LGPD, Lei nº 13.709/2018, art. 7º e 14)</w:t>
      </w:r>
    </w:p>
    <w:p>
      <w:pPr>
        <w:pStyle w:val="ListParagraph"/>
        <w:numPr>
          <w:ilvl w:val="0"/>
          <w:numId w:val="2"/>
        </w:numPr>
        <w:spacing w:after="120"/>
      </w:pPr>
      <w:r>
        <w:rPr>
          <w:b/>
          <w:bCs/>
        </w:rPr>
        <w:t xml:space="preserve">Saúde Pública (Município Alfa): </w:t>
      </w:r>
      <w:r>
        <w:t xml:space="preserve">opera sobre dado agregado e anônimo, sem exigir consentimento individual — cohort de 12.400 habitantes tratado em nível populacional.</w:t>
      </w:r>
    </w:p>
    <w:p>
      <w:pPr>
        <w:pStyle w:val="ListParagraph"/>
        <w:numPr>
          <w:ilvl w:val="0"/>
          <w:numId w:val="2"/>
        </w:numPr>
        <w:spacing w:after="120"/>
      </w:pPr>
      <w:r>
        <w:rPr>
          <w:b/>
          <w:bCs/>
        </w:rPr>
        <w:t xml:space="preserve">Corporativo (Organização Beta): </w:t>
      </w:r>
      <w:r>
        <w:t xml:space="preserve">consentimento coletivo obrigatório, finalidade restrita a GRO/PGR (NR-1).</w:t>
      </w:r>
    </w:p>
    <w:p>
      <w:pPr>
        <w:pStyle w:val="ListParagraph"/>
        <w:numPr>
          <w:ilvl w:val="0"/>
          <w:numId w:val="2"/>
        </w:numPr>
        <w:spacing w:after="120"/>
      </w:pPr>
      <w:r>
        <w:rPr>
          <w:b/>
          <w:bCs/>
        </w:rPr>
        <w:t xml:space="preserve">Parental/Escolar (Turma Gama): </w:t>
      </w:r>
      <w:r>
        <w:t xml:space="preserve">consentimento do responsável legal obrigatório, alinhado ao ECA Digital (Lei nº 15.211/2025).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Não aplicável nesta versão do produto: funcionalidade de Consulta Individual restrita (padrão JourneyGraph Anexo E / NetGraph §6.3, com senha + motivo/protocolo + log de auditoria + hipóteses de uso nomeadas). O Égide Vita opera exclusivamente em nível de cohort agregado por desenho de produto — não há tela de consulta a indivíduo identificado. Caso uma versão futura introduza esse tipo de consulta, este capítulo deve ser expandido para o formato completo definido no padrão de documentação da Vísent.</w:t>
            </w:r>
          </w:p>
        </w:tc>
      </w:tr>
    </w:tbl>
    <w:p>
      <w:pPr>
        <w:pStyle w:val="Heading1"/>
      </w:pPr>
      <w:r>
        <w:t xml:space="preserve">Glossário e Siglas</w:t>
      </w:r>
    </w:p>
    <w:p>
      <w:pPr>
        <w:spacing w:after="200" w:before="0"/>
        <w:jc w:val="both"/>
      </w:pPr>
      <w:r>
        <w:rPr>
          <w:b w:val="false"/>
          <w:bCs w:val="false"/>
          <w:i w:val="false"/>
          <w:iCs w:val="false"/>
        </w:rPr>
        <w:t xml:space="preserve">Consolida, em ordem alfabética, os indicadores de saúde digital, os modelos matemáticos (Markov absorvente, Brandes, JSD, HHI) e os frameworks normativos (ECA Digital, NR-1, Marco Legal da IA, PBIA) efetivamente citados no corpus técnico do Égide Vita.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Termo</w:t>
            </w:r>
          </w:p>
        </w:tc>
        <w:tc>
          <w:tcPr>
            <w:tcW w:type="dxa" w:w="15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Categoria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Definição</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Apostas Online (Bets)</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Nó comportamental do Dígrafo Sindrômico com a maior P(Crise) estrutural entre os satélites (60,6%).</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BASE_AFFINITY</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Matriz de afinidade de transição fixa entre os 7 nós comportamentais + 2 estados absorventes — igual para todos os cohorts; só o fator de escalonamento muda por cohort/semana.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Binge Watching</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Nó comportamental de sessões prolongadas de streaming/gaming.</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Brandes (Centralidade de Intermediação)</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Algoritmo eficiente O(VE) para calcular a centralidade de intermediação de todos os nós de um grafo; identifica papel topológico (Núcleo/Ponte/Âncora/Satélite).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Burnout / Presenteísmo Digital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Esgotamento por conectividade compulsória fora do expediente; indicador do cohort Corporativo/NR-1.</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CID-11 (ICD-11)</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Classificação Internacional de Doenças, 11ª edição (OMS) — referência para Gaming Disorder, usada como fundamentação do indicador Binge Watching.</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Dependência de IA Generativa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Interação compulsiva com assistentes conversacionais; papel de Âncora no backbone do Dígrafo Sindrômico.</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ECA Digital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Lei nº 15.211/2025 (em vigor desde 17/03/2026), Art. 22 e 26 — restringe indicadores comportamentais de rede a saúde preventiva e supervisão parental, vedando uso para publicidade direcionada; base do cohort Parental/Escolar.</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GRO/PGR</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Gerenciamento de Riscos Ocupacionais / Programa de Gerenciamento de Riscos, exigido pela NR-1 desde 2022; finalidade restrita do cohort Corporativo.</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HHI</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Índice Herfindahl-Hirschman — soma dos quadrados dos market-shares; mede concentração de prevalência de cada nó no cohort.</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IRE (Índice de Retração Espacial)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Variação do raio de deslocamento físico; associado ao nó Isolamento, com a maior P(Crise) do backbone (62,5%).</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JSD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Divergência de Jensen-Shannon — medida simétrica e limitada (0 a 1) de divergência entre distribuições de probabilidade; mede a variação estrutural (σ) semana a semana.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KDD Cognitivo Soberano</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Knowledge Discovery in Databases — programa institucional da Vísent do qual o Égide Vita é o segundo produto-piloto no domínio Saúde.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LGPD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Lei Geral de Proteção de Dados (Lei nº 13.709/2018, art. 7º e 14); base legal de consentimento por cohort (agregado, coletivo ou do responsável legal).</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Marco Legal da IA (PL 2338/2023)</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Aprovado no Senado em dez/2024, em tramitação na Câmara; classifica sistemas de IA em saúde como de alto risco, exigindo explicabilidade e supervisão humana.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Markov Absorvente (Cadeia de Markov Absorvente)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Matriz fundamental N=(I−Q)⁻¹ e B=N·R sobre dois estados absorventes competitivos (Crise/Estabilização); calcula a probabilidade estrutural de desfecho de cada nó.</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NR-1</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Norma Regulamentadora 1 (MTE, atualizada 2022) — gestão de riscos ocupacionais, incluindo fatores psicossociais; base do módulo Corporativo/GRO-PGR.</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PBIA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Plano Brasileiro de Inteligência Artificial 2024–2028 — R$ 23,03 bilhões em cinco pilares, incluindo soberania tecnológica e aplicações prioritárias em saúde.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RAG</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Retrieval-Augmented Generation — nome do padrão do Assistente do produto; implementação real é busca por contagem de palavras-chave, sem inferência de LLM.</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Teoria de Rede da Psicopatologia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Transtornos mentais modelados como redes de sintomas sustentadas por loops de feedback, não como categoria única com causa central (Borsboom, 2017); fundamenta a leitura de ciclos de reforço no Dígrafo Sindrômico.</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Vamping</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Intensidade de uso digital crítico noturno (22h–6h).</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Verificação Compulsiva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Indicador</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Frequência e brevidade de sessões, associada a circuitos dopaminérgicos na literatura citada.</w:t>
            </w:r>
          </w:p>
        </w:tc>
      </w:tr>
    </w:tbl>
    <w:p>
      <w:pPr>
        <w:spacing w:after="0" w:before="0"/>
        <w:jc w:val="both"/>
      </w:pPr>
      <w:r>
        <w:rPr>
          <w:b w:val="false"/>
          <w:bCs w:val="false"/>
          <w:i w:val="false"/>
          <w:iCs w:val="false"/>
        </w:rPr>
        <w:t xml:space="preserve">Termos institucionais recorrentes em toda a série de documentos da Lounge de Soluções ISP (RAG, LGPD) seguem a mesma definição em todos os Product Reports desta série, por força do padrão de documentação da Vísent (docs/PADRAO_DOCUMENTACAO_PRODUTO.md).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DOC INTERNO | </w:t>
    </w:r>
    <w:r>
      <w:rPr>
        <w:i/>
        <w:iCs/>
        <w:color w:val="595959"/>
        <w:sz w:val="20"/>
        <w:szCs w:val="20"/>
      </w:rPr>
      <w:t xml:space="preserve">CONFIDENCIAL</w:t>
    </w:r>
    <w:r>
      <w:rPr>
        <w:color w:val="808080"/>
        <w:sz w:val="16"/>
        <w:szCs w:val="16"/>
      </w:rPr>
      <w:t xml:space="preserve">	pag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CONFIDENCIAL</w:t>
    </w:r>
    <w:r>
      <w:rPr>
        <w:sz w:val="20"/>
        <w:szCs w:val="20"/>
      </w:rPr>
      <w:t xml:space="preserve">   </w:t>
    </w:r>
    <w:r>
      <w:rPr>
        <w:i/>
        <w:iCs/>
        <w:color w:val="1155CC"/>
        <w:sz w:val="20"/>
        <w:szCs w:val="20"/>
        <w:u w:val="single"/>
      </w:rPr>
      <w:t xml:space="preserve">www.visent.com.br</w:t>
    </w:r>
    <w:r>
      <w:rPr>
        <w:color w:val="808080"/>
        <w:sz w:val="16"/>
        <w:szCs w:val="16"/>
      </w:rPr>
      <w:t xml:space="preserve">	Página </w:t>
    </w:r>
    <w:r>
      <w:rPr>
        <w:b/>
        <w:bCs/>
        <w:color w:val="808080"/>
        <w:sz w:val="16"/>
        <w:szCs w:val="16"/>
      </w:rPr>
      <w:fldChar w:fldCharType="begin"/>
      <w:instrText xml:space="preserve">PAGE</w:instrText>
      <w:fldChar w:fldCharType="separate"/>
      <w:fldChar w:fldCharType="end"/>
    </w:r>
    <w:r>
      <w:rPr>
        <w:color w:val="808080"/>
        <w:sz w:val="16"/>
        <w:szCs w:val="16"/>
      </w:rPr>
      <w:t xml:space="preserve"> de </w:t>
    </w:r>
    <w:r>
      <w:rPr>
        <w:b/>
        <w:bCs/>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Inteligência de dados para Telecom e ISPs</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Égide Vita — Fenotipagem Digital para Saúde</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560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be74fc48295a32170b5616ddd6fee806f291e2.png"/></Relationships>
</file>

<file path=word/_rels/header2.xml.rels><?xml version="1.0" encoding="UTF-8"?><Relationships xmlns="http://schemas.openxmlformats.org/package/2006/relationships"><Relationship Id="rId0" Type="http://schemas.openxmlformats.org/officeDocument/2006/relationships/image" Target="media/23be74fc48295a32170b5616ddd6fee806f291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2026-08-02T11:16:18.683Z</dcterms:created>
  <dcterms:modified xsi:type="dcterms:W3CDTF">2026-08-02T11:16:18.683Z</dcterms:modified>
</cp:coreProperties>
</file>

<file path=docProps/custom.xml><?xml version="1.0" encoding="utf-8"?>
<Properties xmlns="http://schemas.openxmlformats.org/officeDocument/2006/custom-properties" xmlns:vt="http://schemas.openxmlformats.org/officeDocument/2006/docPropsVTypes"/>
</file>