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JourneyGraph MNO Edition</w:t>
      </w:r>
    </w:p>
    <w:p>
      <w:pPr>
        <w:jc w:val="center"/>
      </w:pPr>
      <w:r>
        <w:rPr>
          <w:sz w:val="28"/>
        </w:rPr>
        <w:t>Product Report, Tech Reference, Data Reference e Base Metodológica</w:t>
      </w:r>
    </w:p>
    <w:p>
      <w:pPr>
        <w:jc w:val="center"/>
      </w:pPr>
      <w:r>
        <w:rPr>
          <w:i/>
          <w:sz w:val="24"/>
        </w:rPr>
        <w:t>Documentação de Produto</w:t>
      </w:r>
    </w:p>
    <w:p>
      <w:pPr>
        <w:jc w:val="center"/>
      </w:pPr>
      <w:r>
        <w:rPr>
          <w:sz w:val="22"/>
        </w:rPr>
        <w:t>CDRView MNO Edition · Subscriber &amp; Network Intelligence — para uso interno e apresentação a parceiros/clientes de operadoras móveis</w:t>
      </w:r>
    </w:p>
    <w:p>
      <w:pPr>
        <w:jc w:val="center"/>
      </w:pPr>
      <w:r>
        <w:rPr>
          <w:sz w:val="22"/>
        </w:rPr>
        <w:t>Agosto de 2026</w:t>
      </w:r>
    </w:p>
    <w:p/>
    <w:p>
      <w:pPr>
        <w:jc w:val="center"/>
      </w:pPr>
      <w:r>
        <w:rPr>
          <w:i/>
          <w:sz w:val="18"/>
        </w:rPr>
        <w:t>Documento gerado a partir do código-fonte de journeygraph-mno/ e poc_personas_v2/pipeline/, do histórico real de commits do repositório, e do padrão docs/PADRAO_DOCUMENTACAO_PRODUTO.md.</w:t>
      </w:r>
    </w:p>
    <w:p>
      <w:r>
        <w:br w:type="page"/>
      </w:r>
    </w:p>
    <w:p>
      <w:pPr>
        <w:pStyle w:val="Heading1"/>
      </w:pPr>
      <w:r>
        <w:t>1. Product Report</w:t>
      </w:r>
    </w:p>
    <w:p>
      <w:pPr>
        <w:pStyle w:val="Heading2"/>
      </w:pPr>
      <w:r>
        <w:t>1.1 Objeto</w:t>
      </w:r>
    </w:p>
    <w:p>
      <w:r>
        <w:rPr>
          <w:b w:val="0"/>
          <w:i w:val="0"/>
        </w:rPr>
        <w:t>JourneyGraph MNO Edition é a variante do produto JourneyGraph para operadoras de telefonia móvel (MNO — Mobile Network Operator). Une, numa única ferramenta, duas visões que normalmente vivem em sistemas separados: o perfil comportamental do assinante (personas, jornada de uso de serviço, indicador transversal de Vamping) e a engenharia/operação da rede móvel (topologia Core→PGW/UPF→SGW→Site, alertas de rede priorizados, projeção de capacidade, detecção de anomalia). Roda sobre uma base sintética determinística construída a partir de antenas reais licenciadas pela Anatel (base pública de Estações Licenciadas SMP) para a operadora Claro em Brasília/DF.</w:t>
      </w:r>
    </w:p>
    <w:p>
      <w:pPr>
        <w:pStyle w:val="Heading2"/>
      </w:pPr>
      <w:r>
        <w:t>1.2 Objetivo</w:t>
      </w:r>
    </w:p>
    <w:p>
      <w:r>
        <w:rPr>
          <w:b w:val="0"/>
          <w:i w:val="0"/>
        </w:rPr>
        <w:t>Responder, com a mesma base de dados, perguntas de dois públicos que normalmente usam ferramentas diferentes: para Marketing/CRM, "quem são meus assinantes, o que eles fazem, e quem está em risco de churn ou já demonstra sinais de baixo bem-estar digital (Vamping)?"; para Engenharia/NOC, "onde a rede está com problema, por que provavelmente está acontecendo, e o que eu resolvo primeiro?". Ferramentas de CVM/CRM não têm profundidade de engenharia de rede; ferramentas de NMS/OSS não têm segmentação comportamental de assinante — o JourneyGraph MNO une as duas vistas com rastreabilidade ponta a ponta entre persona e nó de rede (mesmo cluster geográfico, mesma antena).</w:t>
      </w:r>
    </w:p>
    <w:p>
      <w:pPr>
        <w:pStyle w:val="Heading2"/>
      </w:pPr>
      <w:r>
        <w:t>1.3 Aplicações</w:t>
      </w:r>
    </w:p>
    <w:p>
      <w:pPr>
        <w:pStyle w:val="ListBullet"/>
      </w:pPr>
      <w:r>
        <w:t>Marketing/CRM: segmentação por 9 personas (K-Means + XGBoost) com jornada de uso de serviço (categorias RG: Streaming, Gaming, Social, Comunicação, VPN/Corporativo, Outros).</w:t>
      </w:r>
    </w:p>
    <w:p>
      <w:pPr>
        <w:pStyle w:val="ListBullet"/>
      </w:pPr>
      <w:r>
        <w:t>Qualidade de experiência: IPED (Índice Ponderado de qualidade no DEslocamento) por trajeto, indicador transversal de Vamping (exposição a telas na madrugada).</w:t>
      </w:r>
    </w:p>
    <w:p>
      <w:pPr>
        <w:pStyle w:val="ListBullet"/>
      </w:pPr>
      <w:r>
        <w:t>NOC/Engenharia de Rede: Alertas de Rede priorizados por score combinado de gravidade técnica × impacto de negócio, causa provável via rede Bayesiana.</w:t>
      </w:r>
    </w:p>
    <w:p>
      <w:pPr>
        <w:pStyle w:val="ListBullet"/>
      </w:pPr>
      <w:r>
        <w:t>Planejamento de capacidade: projeção de saturação por regressão linear real e detecção de outlier por duas técnicas independentes (MAD e filtro Bayesiano recursivo).</w:t>
      </w:r>
    </w:p>
    <w:p>
      <w:pPr>
        <w:pStyle w:val="ListBullet"/>
      </w:pPr>
      <w:r>
        <w:t>Compliance/LGPD: Consulta Individual de assinante restrita, com senha, motivo de acesso e log de auditoria.</w:t>
      </w:r>
    </w:p>
    <w:p>
      <w:pPr>
        <w:pStyle w:val="Heading2"/>
      </w:pPr>
      <w:r>
        <w:t>1.4 Benefícios</w:t>
      </w:r>
    </w:p>
    <w:p>
      <w:pPr>
        <w:pStyle w:val="ListBullet"/>
      </w:pPr>
      <w:r>
        <w:t>Uma única fonte de dado para decisão comercial e de engenharia — elimina a divergência entre "o que o Marketing vê" e "o que o NOC vê" quando são sistemas separados sobre a mesma base de assinantes.</w:t>
      </w:r>
    </w:p>
    <w:p>
      <w:pPr>
        <w:pStyle w:val="ListBullet"/>
      </w:pPr>
      <w:r>
        <w:t>Toda "causa provável" e todo "score de prioridade" do produto é auditável até a fórmula e a evidência que o gerou — nenhum indicador é uma cor decorativa sem cálculo por trás.</w:t>
      </w:r>
    </w:p>
    <w:p>
      <w:pPr>
        <w:pStyle w:val="ListBullet"/>
      </w:pPr>
      <w:r>
        <w:t>Zero infraestrutura de servidor: entrega como arquivo único, publicável em qualquer hospedagem estática (GitHub Pages nesta versão).</w:t>
      </w:r>
    </w:p>
    <w:p>
      <w:pPr>
        <w:pStyle w:val="Heading2"/>
      </w:pPr>
      <w:r>
        <w:t>1.5 Diferenciais</w:t>
      </w:r>
    </w:p>
    <w:p>
      <w:r>
        <w:rPr>
          <w:b w:val="0"/>
          <w:i w:val="0"/>
        </w:rPr>
        <w:t>Frente a plataformas de CVM/CRM de mercado (que segmentam assinante mas não enxergam a rede) e plataformas de NMS/OSS/Service Assurance (que monitoram a rede mas não segmentam o assinante), o diferencial do JourneyGraph MNO é unir as duas camadas com o mesmo motor analítico real (Markov, Bayes, MAD, regressão, filtro Bayesiano recursivo) em ambos os domínios — a persona P3 "Comutador Urbano" e o site de rede que ela mais usa aparecem no mesmo aplicativo, com o mesmo vocabulário de qualidade (drop, congestionamento, IPED).</w:t>
      </w:r>
    </w:p>
    <w:p>
      <w:pPr>
        <w:pStyle w:val="Heading2"/>
      </w:pPr>
      <w:r>
        <w:t>1.6 Arquitetura (visão executiva)</w:t>
      </w:r>
    </w:p>
    <w:p>
      <w:r>
        <w:rPr>
          <w:b w:val="0"/>
          <w:i w:val="0"/>
        </w:rPr>
        <w:t>Base geográfica real: 4.186 antenas licenciadas pela Anatel para a operadora Claro em Brasília/DF (base pública de Estações Licenciadas SMP), agrupadas em 35 clusters por K-Means e nomeadas por Região Administrativa do Distrito Federal. Sobre essa base geográfica real, um pipeline Python determinístico gera 100.000 perfis de assinante sintéticos e sua atividade de rede (CDR) ao longo de 15 dias, com estrutura real de variação (por padrão de mobilidade, fim de semana, deriva orgânica) — não ruído puramente aleatório. Uma topologia de núcleo móvel sintética (1 Core → 3 PGW/UPF → 6 SGW → 213 Sites físicos, mais 6 MME/AMF num pool paralelo de controle) é derivada dessas mesmas antenas por atribuição hash determinística.</w:t>
      </w:r>
    </w:p>
    <w:p>
      <w:pPr>
        <w:pStyle w:val="Heading2"/>
      </w:pPr>
      <w:r>
        <w:t>1.7 Funcionalidades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3050"/>
          </w:tcPr>
          <w:p>
            <w:r>
              <w:rPr>
                <w:b/>
                <w:color w:val="FFFFFF"/>
                <w:sz w:val="19"/>
              </w:rPr>
              <w:t>Tela</w:t>
            </w:r>
          </w:p>
        </w:tc>
        <w:tc>
          <w:tcPr>
            <w:tcW w:type="dxa" w:w="4320"/>
            <w:shd w:val="clear" w:color="auto" w:fill="1A3050"/>
          </w:tcPr>
          <w:p>
            <w:r>
              <w:rPr>
                <w:b/>
                <w:color w:val="FFFFFF"/>
                <w:sz w:val="19"/>
              </w:rPr>
              <w:t>O que o usuário faz</w:t>
            </w:r>
          </w:p>
        </w:tc>
      </w:tr>
      <w:tr>
        <w:tc>
          <w:tcPr>
            <w:tcW w:type="dxa" w:w="4320"/>
          </w:tcPr>
          <w:p>
            <w:r>
              <w:rPr>
                <w:sz w:val="19"/>
              </w:rPr>
              <w:t>Visão Geral</w:t>
            </w:r>
          </w:p>
        </w:tc>
        <w:tc>
          <w:tcPr>
            <w:tcW w:type="dxa" w:w="4320"/>
          </w:tcPr>
          <w:p>
            <w:r>
              <w:rPr>
                <w:sz w:val="19"/>
              </w:rPr>
              <w:t>Indicadores executivos consolidados: assinantes, alertas abertos, top categorias de uso, top clusters em risco, e novo line chart diário de % de pessoas por persona (série sintética personas_daily).</w:t>
            </w:r>
          </w:p>
        </w:tc>
      </w:tr>
      <w:tr>
        <w:tc>
          <w:tcPr>
            <w:tcW w:type="dxa" w:w="4320"/>
          </w:tcPr>
          <w:p>
            <w:r>
              <w:rPr>
                <w:sz w:val="19"/>
              </w:rPr>
              <w:t>Dígrafo</w:t>
            </w:r>
          </w:p>
        </w:tc>
        <w:tc>
          <w:tcPr>
            <w:tcW w:type="dxa" w:w="4320"/>
          </w:tcPr>
          <w:p>
            <w:r>
              <w:rPr>
                <w:sz w:val="19"/>
              </w:rPr>
              <w:t>Grafo força-dirigida (D3) dos 35 clusters geográficos, arestas coloridas por IPED. Tooltip customizado em cruz na aresta com % sobre o total de trajetos do nó de origem. Line chart de Sigma Index topológico (evolução diária, grau ponderado por dia). Nós sem aresta ganham atração suave ao centro (não derivam do grafo principal). Path builder: clique em nós contíguos monta um caminho, com pessoas/% por aresta e pessoas distintas aproximadas (limite pelo gargalo do caminho). Filtros: Persona, Segmento (pós/controle/pré-pago), Cluster, Dia+Período, Dispositivos↔Pessoas (m/c/p configurável), trajeto por volume mínimo/máximo e faixa IPED — persona agora filtra também as arestas, não só os nós.</w:t>
            </w:r>
          </w:p>
        </w:tc>
      </w:tr>
      <w:tr>
        <w:tc>
          <w:tcPr>
            <w:tcW w:type="dxa" w:w="4320"/>
          </w:tcPr>
          <w:p>
            <w:r>
              <w:rPr>
                <w:sz w:val="19"/>
              </w:rPr>
              <w:t>Mapa</w:t>
            </w:r>
          </w:p>
        </w:tc>
        <w:tc>
          <w:tcPr>
            <w:tcW w:type="dxa" w:w="4320"/>
          </w:tcPr>
          <w:p>
            <w:r>
              <w:rPr>
                <w:sz w:val="19"/>
              </w:rPr>
              <w:t>Mapa real (Leaflet/OpenStreetMap) com clusters, trajetos, antenas (camada opcional), divisão de Voronoi com indicador selecionável, geofence customizado desenhável pelo usuário. Popups mostram nome da persona (não só código), % de concentração de pessoas por nó e % de partida por aresta. Filtro min/máx de pessoas por nó e por aresta, além de Segmento/Cluster/Dia/Período.</w:t>
            </w:r>
          </w:p>
        </w:tc>
      </w:tr>
      <w:tr>
        <w:tc>
          <w:tcPr>
            <w:tcW w:type="dxa" w:w="4320"/>
          </w:tcPr>
          <w:p>
            <w:r>
              <w:rPr>
                <w:sz w:val="19"/>
              </w:rPr>
              <w:t>Jornada RG</w:t>
            </w:r>
          </w:p>
        </w:tc>
        <w:tc>
          <w:tcPr>
            <w:tcW w:type="dxa" w:w="4320"/>
          </w:tcPr>
          <w:p>
            <w:r>
              <w:rPr>
                <w:sz w:val="19"/>
              </w:rPr>
              <w:t>Dígrafo das transições entre categorias de serviço (RG) por persona — agora com o mesmo layout de força (d3.forceSimulation) do Dígrafo por clusters, em vez do círculo fixo anterior; nós arrastáveis (só o nó solto se move), zoom/pan. Clique em nó mostra contagem de sessões e % sobre os demais nós; clique em aresta mostra transições absolutas e % a partir do nó de origem. Line chart de Sigma Index topológico (série sintética — não há série diária real para este grafo). Path builder por clique, mesmo padrão do Dígrafo.</w:t>
            </w:r>
          </w:p>
        </w:tc>
      </w:tr>
      <w:tr>
        <w:tc>
          <w:tcPr>
            <w:tcW w:type="dxa" w:w="4320"/>
          </w:tcPr>
          <w:p>
            <w:r>
              <w:rPr>
                <w:sz w:val="19"/>
              </w:rPr>
              <w:t>Rede</w:t>
            </w:r>
          </w:p>
        </w:tc>
        <w:tc>
          <w:tcPr>
            <w:tcW w:type="dxa" w:w="4320"/>
          </w:tcPr>
          <w:p>
            <w:r>
              <w:rPr>
                <w:sz w:val="19"/>
              </w:rPr>
              <w:t>Árvore radial da topologia Core→PGW→SGW→Site, blast radius e aviso de SPOF por nó, alerta de saúde (Markov+Bayes) e capacidade/outliers por nó ao clicar. Filtro de Dia com marcador visual no gráfico de série e nos valores exibidos no painel de detalhe (usa a série diária real de RAW.series_rede — sem filtro de Persona, que não tem efeito nesse domínio de dado).</w:t>
            </w:r>
          </w:p>
        </w:tc>
      </w:tr>
      <w:tr>
        <w:tc>
          <w:tcPr>
            <w:tcW w:type="dxa" w:w="4320"/>
          </w:tcPr>
          <w:p>
            <w:r>
              <w:rPr>
                <w:sz w:val="19"/>
              </w:rPr>
              <w:t>Outliers</w:t>
            </w:r>
          </w:p>
        </w:tc>
        <w:tc>
          <w:tcPr>
            <w:tcW w:type="dxa" w:w="4320"/>
          </w:tcPr>
          <w:p>
            <w:r>
              <w:rPr>
                <w:sz w:val="19"/>
              </w:rPr>
              <w:t>Séries temporais por indicador (tráfego, drop, congestionamento) por SGW/PGW/site sinalizado, com MAD e filtro Bayesiano recursivo lado a lado, atribuição de causa tráfego×capacidade. Filtro de Dia com marcador visual (linha + ponto destacado) sobre a série real (sem filtro de Persona, sem efeito nesse domínio de dado).</w:t>
            </w:r>
          </w:p>
        </w:tc>
      </w:tr>
      <w:tr>
        <w:tc>
          <w:tcPr>
            <w:tcW w:type="dxa" w:w="4320"/>
          </w:tcPr>
          <w:p>
            <w:r>
              <w:rPr>
                <w:sz w:val="19"/>
              </w:rPr>
              <w:t>Personas</w:t>
            </w:r>
          </w:p>
        </w:tc>
        <w:tc>
          <w:tcPr>
            <w:tcW w:type="dxa" w:w="4320"/>
          </w:tcPr>
          <w:p>
            <w:r>
              <w:rPr>
                <w:sz w:val="19"/>
              </w:rPr>
              <w:t>Cartão por persona com critério de inclusão/exclusão, distribuição, indicadores de qualidade esperada e Vamping, com ícone distinto por perfil (em vez de um emoji genérico). Gráfico de pizza da participação % por persona, posicionado como card normal ao final da grade (ao lado do cartão do Gamer).</w:t>
            </w:r>
          </w:p>
        </w:tc>
      </w:tr>
      <w:tr>
        <w:tc>
          <w:tcPr>
            <w:tcW w:type="dxa" w:w="4320"/>
          </w:tcPr>
          <w:p>
            <w:r>
              <w:rPr>
                <w:sz w:val="19"/>
              </w:rPr>
              <w:t>Qualidade</w:t>
            </w:r>
          </w:p>
        </w:tc>
        <w:tc>
          <w:tcPr>
            <w:tcW w:type="dxa" w:w="4320"/>
          </w:tcPr>
          <w:p>
            <w:r>
              <w:rPr>
                <w:sz w:val="19"/>
              </w:rPr>
              <w:t>Indicadores de drop, congestionamento, completamento de voz e SMS por persona, mais novo gráfico de IPED médio por persona (derivado do IPED das arestas ponderado pelo mix de personas dos nós). Filtros de Segmento/Cluster/Dia recalculam Drop/Congestionamento (Voz/SMS seguem o agregado da janela toda, sem granularidade por cluster/dia na base). Sem filtro de Persona — a tela já mostra todas as personas lado a lado.</w:t>
            </w:r>
          </w:p>
        </w:tc>
      </w:tr>
      <w:tr>
        <w:tc>
          <w:tcPr>
            <w:tcW w:type="dxa" w:w="4320"/>
          </w:tcPr>
          <w:p>
            <w:r>
              <w:rPr>
                <w:sz w:val="19"/>
              </w:rPr>
              <w:t>Alertas</w:t>
            </w:r>
          </w:p>
        </w:tc>
        <w:tc>
          <w:tcPr>
            <w:tcW w:type="dxa" w:w="4320"/>
          </w:tcPr>
          <w:p>
            <w:r>
              <w:rPr>
                <w:sz w:val="19"/>
              </w:rPr>
              <w:t>Duas visões: "Por Persona" (Markov+Bayes por correlação) e "Por Rede" (lista priorizada por score combinado, explicabilidade em 7 seções). Layout reequilibrado: a lista de personas/alertas agora é a coluna lateral estreita e a explicabilidade ocupa a área principal, mais ampla. Removido o disclaimer "(paráfrase para fins de demonstração, ver Assistente)" da narrativa — o texto normativo sobre indicadores de qualidade do SMP permanece, sem a ressalva embutida na interface (ver Ressalvas).</w:t>
            </w:r>
          </w:p>
        </w:tc>
      </w:tr>
      <w:tr>
        <w:tc>
          <w:tcPr>
            <w:tcW w:type="dxa" w:w="4320"/>
          </w:tcPr>
          <w:p>
            <w:r>
              <w:rPr>
                <w:sz w:val="19"/>
              </w:rPr>
              <w:t>Assistente</w:t>
            </w:r>
          </w:p>
        </w:tc>
        <w:tc>
          <w:tcPr>
            <w:tcW w:type="dxa" w:w="4320"/>
          </w:tcPr>
          <w:p>
            <w:r>
              <w:rPr>
                <w:sz w:val="19"/>
              </w:rPr>
              <w:t>Chat RAG mock por palavras-chave sobre corpus técnico estático (13 documentos).</w:t>
            </w:r>
          </w:p>
        </w:tc>
      </w:tr>
      <w:tr>
        <w:tc>
          <w:tcPr>
            <w:tcW w:type="dxa" w:w="4320"/>
          </w:tcPr>
          <w:p>
            <w:r>
              <w:rPr>
                <w:sz w:val="19"/>
              </w:rPr>
              <w:t>Individual (restrita)</w:t>
            </w:r>
          </w:p>
        </w:tc>
        <w:tc>
          <w:tcPr>
            <w:tcW w:type="dxa" w:w="4320"/>
          </w:tcPr>
          <w:p>
            <w:r>
              <w:rPr>
                <w:sz w:val="19"/>
              </w:rPr>
              <w:t>Consulta de assinante por hash — senha, log de auditoria. Ver capítulo Base Legal.</w:t>
            </w:r>
          </w:p>
        </w:tc>
      </w:tr>
      <w:tr>
        <w:tc>
          <w:tcPr>
            <w:tcW w:type="dxa" w:w="4320"/>
          </w:tcPr>
          <w:p>
            <w:r>
              <w:rPr>
                <w:sz w:val="19"/>
              </w:rPr>
              <w:t>Glossário</w:t>
            </w:r>
          </w:p>
        </w:tc>
        <w:tc>
          <w:tcPr>
            <w:tcW w:type="dxa" w:w="4320"/>
          </w:tcPr>
          <w:p>
            <w:r>
              <w:rPr>
                <w:sz w:val="19"/>
              </w:rPr>
              <w:t>Quick reference com busca: MAD, IPED, Markov, Bayes/posterior, NQA, blast radius, Sigma Index, K-Means, Segmento, Dispositivos×Pessoas, entre outros. Posicionada como última aba na navegação.</w:t>
            </w:r>
          </w:p>
        </w:tc>
      </w:tr>
    </w:tbl>
    <w:p/>
    <w:p>
      <w:pPr>
        <w:pStyle w:val="Heading2"/>
      </w:pPr>
      <w:r>
        <w:t>1.8 Entradas</w:t>
      </w:r>
    </w:p>
    <w:p>
      <w:pPr>
        <w:pStyle w:val="ListBullet"/>
      </w:pPr>
      <w:r>
        <w:t>Base pública Anatel — Estações Licenciadas SMP (dado real: geolocalização de antena, tecnologia, altura, azimute).</w:t>
      </w:r>
    </w:p>
    <w:p>
      <w:pPr>
        <w:pStyle w:val="ListBullet"/>
      </w:pPr>
      <w:r>
        <w:t>CDR sintético 100% determinístico, gerado pelo pipeline Python (semente fixa 42) — nenhum CDR real de assinante é usado.</w:t>
      </w:r>
    </w:p>
    <w:p>
      <w:pPr>
        <w:pStyle w:val="Heading2"/>
      </w:pPr>
      <w:r>
        <w:t>1.9 Transformações</w:t>
      </w:r>
    </w:p>
    <w:p>
      <w:r>
        <w:rPr>
          <w:b w:val="0"/>
          <w:i w:val="0"/>
        </w:rPr>
        <w:t>Pipeline de 8 estágios (poc_personas_v2/pipeline/): 00 filtragem de antenas por operadora → 01 geração de base de mobilidade/CDR sintético → 02 agregação de trajetos com K-anonimato → 03 tensores semânticos (origem-destino, concentração, fluxo entre antenas, tempo de deslocamento) → 04 features de persona → 05 K-Means (K=9) → 06 XGBoost (classificador supervisionado sobre os rótulos do K-Means) → 14 cálculo de Vamping → build_raw_mno.py, que monta o objeto RAW final consumido pelo app.</w:t>
      </w:r>
    </w:p>
    <w:p>
      <w:pPr>
        <w:pStyle w:val="Heading2"/>
      </w:pPr>
      <w:r>
        <w:t>1.10 Persistência e Saídas</w:t>
      </w:r>
    </w:p>
    <w:p>
      <w:r>
        <w:rPr>
          <w:b w:val="0"/>
          <w:i w:val="0"/>
        </w:rPr>
        <w:t>Sem banco de dados: o objeto RAW (JSON) é embutido diretamente em journeygraph-mno/index.html, um arquivo HTML único e autocontido — 19,5 MB brutos / ~2,3 MB comprimidos (gzip, servido automaticamente pelo GitHub Pages). Mesmo padrão de portabilidade dos demais produtos da Lounge.</w:t>
      </w:r>
    </w:p>
    <w:p>
      <w:pPr>
        <w:pStyle w:val="Heading2"/>
      </w:pPr>
      <w:r>
        <w:t>1.11 Integrações</w:t>
      </w:r>
    </w:p>
    <w:p>
      <w:r>
        <w:rPr>
          <w:b w:val="0"/>
          <w:i w:val="0"/>
        </w:rPr>
        <w:t>Nenhuma integração real de sistema nesta versão. O produto gera, internamente e de forma sintética, um proxy de volume de reclamação (CRM/Ouvidoria) correlacionado por região administrativa — mesmo padrão do NetGraph, não conectado a sistema externo.</w:t>
      </w:r>
    </w:p>
    <w:p>
      <w:pPr>
        <w:pStyle w:val="Heading2"/>
      </w:pPr>
      <w:r>
        <w:t>1.12 Ambientes</w:t>
      </w:r>
    </w:p>
    <w:p>
      <w:r>
        <w:rPr>
          <w:b w:val="0"/>
          <w:i w:val="0"/>
        </w:rPr>
        <w:t>Aplicativo: navegador moderno, arquivo HTML único, sem servidor, banco de dados ou dependência de nuvem além da hospedagem estática (GitHub Pages). Pipeline de dados: executado offline, uma vez, em Python 3.14 com bibliotecas de ciência de dados — não roda no navegador do usuário final.</w:t>
      </w:r>
    </w:p>
    <w:p>
      <w:r>
        <w:rPr>
          <w:b w:val="0"/>
          <w:i w:val="0"/>
        </w:rPr>
        <w:t>Lounge de entrada (index.html na raiz do repositório, fora do app MNO): todos os 6 links de abertura de produto (JourneyGraph ISP, JourneyGraph MNO, NetGraph, ITXView, StepGraph, Égide Vita) passam por um modal de senha (senha ilustrativa, sem persistência — pede a cada clique, mesmo app repetido) antes de navegar para o produto.</w:t>
      </w:r>
    </w:p>
    <w:p>
      <w:pPr>
        <w:pStyle w:val="Heading2"/>
      </w:pPr>
      <w:r>
        <w:t>1.13 Requisitos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3050"/>
          </w:tcPr>
          <w:p>
            <w:r>
              <w:rPr>
                <w:b/>
                <w:color w:val="FFFFFF"/>
                <w:sz w:val="19"/>
              </w:rPr>
              <w:t>Componente</w:t>
            </w:r>
          </w:p>
        </w:tc>
        <w:tc>
          <w:tcPr>
            <w:tcW w:type="dxa" w:w="2880"/>
            <w:shd w:val="clear" w:color="auto" w:fill="1A3050"/>
          </w:tcPr>
          <w:p>
            <w:r>
              <w:rPr>
                <w:b/>
                <w:color w:val="FFFFFF"/>
                <w:sz w:val="19"/>
              </w:rPr>
              <w:t>Versão</w:t>
            </w:r>
          </w:p>
        </w:tc>
        <w:tc>
          <w:tcPr>
            <w:tcW w:type="dxa" w:w="2880"/>
            <w:shd w:val="clear" w:color="auto" w:fill="1A3050"/>
          </w:tcPr>
          <w:p>
            <w:r>
              <w:rPr>
                <w:b/>
                <w:color w:val="FFFFFF"/>
                <w:sz w:val="19"/>
              </w:rPr>
              <w:t>Papel</w:t>
            </w:r>
          </w:p>
        </w:tc>
      </w:tr>
      <w:tr>
        <w:tc>
          <w:tcPr>
            <w:tcW w:type="dxa" w:w="2880"/>
          </w:tcPr>
          <w:p>
            <w:r>
              <w:rPr>
                <w:sz w:val="19"/>
              </w:rPr>
              <w:t>D3.js</w:t>
            </w:r>
          </w:p>
        </w:tc>
        <w:tc>
          <w:tcPr>
            <w:tcW w:type="dxa" w:w="2880"/>
          </w:tcPr>
          <w:p>
            <w:r>
              <w:rPr>
                <w:sz w:val="19"/>
              </w:rPr>
              <w:t>7.8.5 (CDN)</w:t>
            </w:r>
          </w:p>
        </w:tc>
        <w:tc>
          <w:tcPr>
            <w:tcW w:type="dxa" w:w="2880"/>
          </w:tcPr>
          <w:p>
            <w:r>
              <w:rPr>
                <w:sz w:val="19"/>
              </w:rPr>
              <w:t>Todos os grafos/dígrafos e gráficos de série temporal do app</w:t>
            </w:r>
          </w:p>
        </w:tc>
      </w:tr>
      <w:tr>
        <w:tc>
          <w:tcPr>
            <w:tcW w:type="dxa" w:w="2880"/>
          </w:tcPr>
          <w:p>
            <w:r>
              <w:rPr>
                <w:sz w:val="19"/>
              </w:rPr>
              <w:t>Leaflet</w:t>
            </w:r>
          </w:p>
        </w:tc>
        <w:tc>
          <w:tcPr>
            <w:tcW w:type="dxa" w:w="2880"/>
          </w:tcPr>
          <w:p>
            <w:r>
              <w:rPr>
                <w:sz w:val="19"/>
              </w:rPr>
              <w:t>1.9.4 (CDN)</w:t>
            </w:r>
          </w:p>
        </w:tc>
        <w:tc>
          <w:tcPr>
            <w:tcW w:type="dxa" w:w="2880"/>
          </w:tcPr>
          <w:p>
            <w:r>
              <w:rPr>
                <w:sz w:val="19"/>
              </w:rPr>
              <w:t>Mapa geográfico real (tiles OpenStreetMap)</w:t>
            </w:r>
          </w:p>
        </w:tc>
      </w:tr>
      <w:tr>
        <w:tc>
          <w:tcPr>
            <w:tcW w:type="dxa" w:w="2880"/>
          </w:tcPr>
          <w:p>
            <w:r>
              <w:rPr>
                <w:sz w:val="19"/>
              </w:rPr>
              <w:t>Navegador</w:t>
            </w:r>
          </w:p>
        </w:tc>
        <w:tc>
          <w:tcPr>
            <w:tcW w:type="dxa" w:w="2880"/>
          </w:tcPr>
          <w:p>
            <w:r>
              <w:rPr>
                <w:sz w:val="19"/>
              </w:rPr>
              <w:t>Chrome/Edge/Firefox modernos</w:t>
            </w:r>
          </w:p>
        </w:tc>
        <w:tc>
          <w:tcPr>
            <w:tcW w:type="dxa" w:w="2880"/>
          </w:tcPr>
          <w:p>
            <w:r>
              <w:rPr>
                <w:sz w:val="19"/>
              </w:rPr>
              <w:t>Execução de todo o motor analítico client-side</w:t>
            </w:r>
          </w:p>
        </w:tc>
      </w:tr>
      <w:tr>
        <w:tc>
          <w:tcPr>
            <w:tcW w:type="dxa" w:w="2880"/>
          </w:tcPr>
          <w:p>
            <w:r>
              <w:rPr>
                <w:sz w:val="19"/>
              </w:rPr>
              <w:t>Python</w:t>
            </w:r>
          </w:p>
        </w:tc>
        <w:tc>
          <w:tcPr>
            <w:tcW w:type="dxa" w:w="2880"/>
          </w:tcPr>
          <w:p>
            <w:r>
              <w:rPr>
                <w:sz w:val="19"/>
              </w:rPr>
              <w:t>3.14</w:t>
            </w:r>
          </w:p>
        </w:tc>
        <w:tc>
          <w:tcPr>
            <w:tcW w:type="dxa" w:w="2880"/>
          </w:tcPr>
          <w:p>
            <w:r>
              <w:rPr>
                <w:sz w:val="19"/>
              </w:rPr>
              <w:t>Pipeline de geração de dados (offline, não roda no navegador)</w:t>
            </w:r>
          </w:p>
        </w:tc>
      </w:tr>
      <w:tr>
        <w:tc>
          <w:tcPr>
            <w:tcW w:type="dxa" w:w="2880"/>
          </w:tcPr>
          <w:p>
            <w:r>
              <w:rPr>
                <w:sz w:val="19"/>
              </w:rPr>
              <w:t>pandas / scikit-learn / xgboost / openpyxl / pyyaml</w:t>
            </w:r>
          </w:p>
        </w:tc>
        <w:tc>
          <w:tcPr>
            <w:tcW w:type="dxa" w:w="2880"/>
          </w:tcPr>
          <w:p>
            <w:r>
              <w:rPr>
                <w:sz w:val="19"/>
              </w:rPr>
              <w:t>atual</w:t>
            </w:r>
          </w:p>
        </w:tc>
        <w:tc>
          <w:tcPr>
            <w:tcW w:type="dxa" w:w="2880"/>
          </w:tcPr>
          <w:p>
            <w:r>
              <w:rPr>
                <w:sz w:val="19"/>
              </w:rPr>
              <w:t>Processamento de dado, K-Means, XGBoost, leitura da planilha de curadoria IPED, config de cidade</w:t>
            </w:r>
          </w:p>
        </w:tc>
      </w:tr>
    </w:tbl>
    <w:p/>
    <w:p>
      <w:pPr>
        <w:pStyle w:val="Heading2"/>
      </w:pPr>
      <w:r>
        <w:t>1.14 Deploy</w:t>
      </w:r>
    </w:p>
    <w:p>
      <w:r>
        <w:rPr>
          <w:b w:val="0"/>
          <w:i w:val="0"/>
        </w:rPr>
        <w:t>O pipeline Python roda offline gerando dados_bsb/raw_mno_bsb.json; um passo de montagem concatena journeygraph-mno/_part1.html + o RAW gerado + journeygraph-mno/_part2.js em journeygraph-mno/index.html; a publicação é um git push para o branch main, servido automaticamente pelo GitHub Pages. Nenhum passo de build de frontend (sem bundler, sem transpilação).</w:t>
      </w:r>
    </w:p>
    <w:p>
      <w:pPr>
        <w:pStyle w:val="Heading2"/>
      </w:pPr>
      <w:r>
        <w:t>1.15 Testes</w:t>
      </w:r>
    </w:p>
    <w:p>
      <w:r>
        <w:rPr>
          <w:b w:val="0"/>
          <w:i w:val="0"/>
        </w:rPr>
        <w:t>Não há suíte de testes automatizados publicada neste repositório. A verificação de cada mudança segue um roteiro manual consistente ao longo de todo o desenvolvimento: checar console de erros no navegador, exercitar a funcionalidade nova via JavaScript no console, e validar responsividade em 375px (mobile) e desktop antes de cada publicação.</w:t>
      </w:r>
    </w:p>
    <w:p>
      <w:pPr>
        <w:pStyle w:val="Heading2"/>
      </w:pPr>
      <w:r>
        <w:t>1.16 Capacitação</w:t>
      </w:r>
    </w:p>
    <w:p>
      <w:r>
        <w:rPr>
          <w:b w:val="0"/>
          <w:i w:val="0"/>
        </w:rPr>
        <w:t>Assistente RAG embutido (aba dedicada), mock por palavras-chave sobre um corpus estático de 13 documentos cobrindo metodologia (IPED, Vamping, Markov/Bayes, filtro Bayesiano recursivo, Alertas de Rede), fonte de dados, glossário técnico e privacidade/LGPD.</w:t>
      </w:r>
    </w:p>
    <w:p>
      <w:pPr>
        <w:pStyle w:val="Heading2"/>
      </w:pPr>
      <w:r>
        <w:t>1.17 Sustentação</w:t>
      </w:r>
    </w:p>
    <w:p>
      <w:r>
        <w:rPr>
          <w:b w:val="0"/>
          <w:i w:val="0"/>
        </w:rPr>
        <w:t>Toda mudança de modelo analítico ou parâmetro é refletida no corpus do Assistente no mesmo commit em que é implementada — mesmo princípio recomendado para o NetGraph em seu próprio documento de produto.</w:t>
      </w:r>
    </w:p>
    <w:p>
      <w:pPr>
        <w:pStyle w:val="Heading2"/>
      </w:pPr>
      <w:r>
        <w:t>1.18 Histórico de Evolução</w:t>
      </w:r>
    </w:p>
    <w:p>
      <w:r>
        <w:rPr>
          <w:b w:val="0"/>
          <w:i/>
        </w:rPr>
        <w:t>Linha do tempo real, reconstruída a partir de `git log --oneline --date=short -- journeygraph-mno/ docs/JOURNEYGRAPH_MNO_PROMPT.md` deste repositório, não de memória.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3050"/>
          </w:tcPr>
          <w:p>
            <w:r>
              <w:rPr>
                <w:b/>
                <w:color w:val="FFFFFF"/>
                <w:sz w:val="19"/>
              </w:rPr>
              <w:t>Commit</w:t>
            </w:r>
          </w:p>
        </w:tc>
        <w:tc>
          <w:tcPr>
            <w:tcW w:type="dxa" w:w="2880"/>
            <w:shd w:val="clear" w:color="auto" w:fill="1A3050"/>
          </w:tcPr>
          <w:p>
            <w:r>
              <w:rPr>
                <w:b/>
                <w:color w:val="FFFFFF"/>
                <w:sz w:val="19"/>
              </w:rPr>
              <w:t>Data</w:t>
            </w:r>
          </w:p>
        </w:tc>
        <w:tc>
          <w:tcPr>
            <w:tcW w:type="dxa" w:w="2880"/>
            <w:shd w:val="clear" w:color="auto" w:fill="1A3050"/>
          </w:tcPr>
          <w:p>
            <w:r>
              <w:rPr>
                <w:b/>
                <w:color w:val="FFFFFF"/>
                <w:sz w:val="19"/>
              </w:rPr>
              <w:t>Entrega</w:t>
            </w:r>
          </w:p>
        </w:tc>
      </w:tr>
      <w:tr>
        <w:tc>
          <w:tcPr>
            <w:tcW w:type="dxa" w:w="2880"/>
          </w:tcPr>
          <w:p>
            <w:r>
              <w:rPr>
                <w:sz w:val="19"/>
              </w:rPr>
              <w:t>83509dd</w:t>
            </w:r>
          </w:p>
        </w:tc>
        <w:tc>
          <w:tcPr>
            <w:tcW w:type="dxa" w:w="2880"/>
          </w:tcPr>
          <w:p>
            <w:r>
              <w:rPr>
                <w:sz w:val="19"/>
              </w:rPr>
              <w:t>2026-08-04</w:t>
            </w:r>
          </w:p>
        </w:tc>
        <w:tc>
          <w:tcPr>
            <w:tcW w:type="dxa" w:w="2880"/>
          </w:tcPr>
          <w:p>
            <w:r>
              <w:rPr>
                <w:sz w:val="19"/>
              </w:rPr>
              <w:t>Adiciona prompt de desenvolvimento do JourneyGraph MNO Edition.</w:t>
            </w:r>
          </w:p>
        </w:tc>
      </w:tr>
      <w:tr>
        <w:tc>
          <w:tcPr>
            <w:tcW w:type="dxa" w:w="2880"/>
          </w:tcPr>
          <w:p>
            <w:r>
              <w:rPr>
                <w:sz w:val="19"/>
              </w:rPr>
              <w:t>baa6275</w:t>
            </w:r>
          </w:p>
        </w:tc>
        <w:tc>
          <w:tcPr>
            <w:tcW w:type="dxa" w:w="2880"/>
          </w:tcPr>
          <w:p>
            <w:r>
              <w:rPr>
                <w:sz w:val="19"/>
              </w:rPr>
              <w:t>2026-08-04</w:t>
            </w:r>
          </w:p>
        </w:tc>
        <w:tc>
          <w:tcPr>
            <w:tcW w:type="dxa" w:w="2880"/>
          </w:tcPr>
          <w:p>
            <w:r>
              <w:rPr>
                <w:sz w:val="19"/>
              </w:rPr>
              <w:t>Implementa o JourneyGraph MNO Edition (Brasília/Claro) — v1.</w:t>
            </w:r>
          </w:p>
        </w:tc>
      </w:tr>
      <w:tr>
        <w:tc>
          <w:tcPr>
            <w:tcW w:type="dxa" w:w="2880"/>
          </w:tcPr>
          <w:p>
            <w:r>
              <w:rPr>
                <w:sz w:val="19"/>
              </w:rPr>
              <w:t>a2e4bb3</w:t>
            </w:r>
          </w:p>
        </w:tc>
        <w:tc>
          <w:tcPr>
            <w:tcW w:type="dxa" w:w="2880"/>
          </w:tcPr>
          <w:p>
            <w:r>
              <w:rPr>
                <w:sz w:val="19"/>
              </w:rPr>
              <w:t>2026-08-04</w:t>
            </w:r>
          </w:p>
        </w:tc>
        <w:tc>
          <w:tcPr>
            <w:tcW w:type="dxa" w:w="2880"/>
          </w:tcPr>
          <w:p>
            <w:r>
              <w:rPr>
                <w:sz w:val="19"/>
              </w:rPr>
              <w:t>Adiciona handoff para continuar o prompt do JourneyGraph MNO localmente.</w:t>
            </w:r>
          </w:p>
        </w:tc>
      </w:tr>
      <w:tr>
        <w:tc>
          <w:tcPr>
            <w:tcW w:type="dxa" w:w="2880"/>
          </w:tcPr>
          <w:p>
            <w:r>
              <w:rPr>
                <w:sz w:val="19"/>
              </w:rPr>
              <w:t>25ad113</w:t>
            </w:r>
          </w:p>
        </w:tc>
        <w:tc>
          <w:tcPr>
            <w:tcW w:type="dxa" w:w="2880"/>
          </w:tcPr>
          <w:p>
            <w:r>
              <w:rPr>
                <w:sz w:val="19"/>
              </w:rPr>
              <w:t>2026-08-05</w:t>
            </w:r>
          </w:p>
        </w:tc>
        <w:tc>
          <w:tcPr>
            <w:tcW w:type="dxa" w:w="2880"/>
          </w:tcPr>
          <w:p>
            <w:r>
              <w:rPr>
                <w:sz w:val="19"/>
              </w:rPr>
              <w:t>Adiciona mapa real (Leaflet) e nomes de região ao JourneyGraph MNO.</w:t>
            </w:r>
          </w:p>
        </w:tc>
      </w:tr>
      <w:tr>
        <w:tc>
          <w:tcPr>
            <w:tcW w:type="dxa" w:w="2880"/>
          </w:tcPr>
          <w:p>
            <w:r>
              <w:rPr>
                <w:sz w:val="19"/>
              </w:rPr>
              <w:t>478c17c</w:t>
            </w:r>
          </w:p>
        </w:tc>
        <w:tc>
          <w:tcPr>
            <w:tcW w:type="dxa" w:w="2880"/>
          </w:tcPr>
          <w:p>
            <w:r>
              <w:rPr>
                <w:sz w:val="19"/>
              </w:rPr>
              <w:t>2026-08-05</w:t>
            </w:r>
          </w:p>
        </w:tc>
        <w:tc>
          <w:tcPr>
            <w:tcW w:type="dxa" w:w="2880"/>
          </w:tcPr>
          <w:p>
            <w:r>
              <w:rPr>
                <w:sz w:val="19"/>
              </w:rPr>
              <w:t>Corrige drag do dígrafo: outros nós não devem mais se mover.</w:t>
            </w:r>
          </w:p>
        </w:tc>
      </w:tr>
      <w:tr>
        <w:tc>
          <w:tcPr>
            <w:tcW w:type="dxa" w:w="2880"/>
          </w:tcPr>
          <w:p>
            <w:r>
              <w:rPr>
                <w:sz w:val="19"/>
              </w:rPr>
              <w:t>6e67c01</w:t>
            </w:r>
          </w:p>
        </w:tc>
        <w:tc>
          <w:tcPr>
            <w:tcW w:type="dxa" w:w="2880"/>
          </w:tcPr>
          <w:p>
            <w:r>
              <w:rPr>
                <w:sz w:val="19"/>
              </w:rPr>
              <w:t>2026-08-05</w:t>
            </w:r>
          </w:p>
        </w:tc>
        <w:tc>
          <w:tcPr>
            <w:tcW w:type="dxa" w:w="2880"/>
          </w:tcPr>
          <w:p>
            <w:r>
              <w:rPr>
                <w:sz w:val="19"/>
              </w:rPr>
              <w:t>Corrige contraste do texto no popup do mapa.</w:t>
            </w:r>
          </w:p>
        </w:tc>
      </w:tr>
      <w:tr>
        <w:tc>
          <w:tcPr>
            <w:tcW w:type="dxa" w:w="2880"/>
          </w:tcPr>
          <w:p>
            <w:r>
              <w:rPr>
                <w:sz w:val="19"/>
              </w:rPr>
              <w:t>c9b5dfd</w:t>
            </w:r>
          </w:p>
        </w:tc>
        <w:tc>
          <w:tcPr>
            <w:tcW w:type="dxa" w:w="2880"/>
          </w:tcPr>
          <w:p>
            <w:r>
              <w:rPr>
                <w:sz w:val="19"/>
              </w:rPr>
              <w:t>2026-08-05</w:t>
            </w:r>
          </w:p>
        </w:tc>
        <w:tc>
          <w:tcPr>
            <w:tcW w:type="dxa" w:w="2880"/>
          </w:tcPr>
          <w:p>
            <w:r>
              <w:rPr>
                <w:sz w:val="19"/>
              </w:rPr>
              <w:t>Mostra trajetos entre clusters no mapa geográfico.</w:t>
            </w:r>
          </w:p>
        </w:tc>
      </w:tr>
      <w:tr>
        <w:tc>
          <w:tcPr>
            <w:tcW w:type="dxa" w:w="2880"/>
          </w:tcPr>
          <w:p>
            <w:r>
              <w:rPr>
                <w:sz w:val="19"/>
              </w:rPr>
              <w:t>7ff5ddc</w:t>
            </w:r>
          </w:p>
        </w:tc>
        <w:tc>
          <w:tcPr>
            <w:tcW w:type="dxa" w:w="2880"/>
          </w:tcPr>
          <w:p>
            <w:r>
              <w:rPr>
                <w:sz w:val="19"/>
              </w:rPr>
              <w:t>2026-08-05</w:t>
            </w:r>
          </w:p>
        </w:tc>
        <w:tc>
          <w:tcPr>
            <w:tcW w:type="dxa" w:w="2880"/>
          </w:tcPr>
          <w:p>
            <w:r>
              <w:rPr>
                <w:sz w:val="19"/>
              </w:rPr>
              <w:t>Adiciona dígrafo de Jornada RG (equivalente ao SVA→SVA do ISP).</w:t>
            </w:r>
          </w:p>
        </w:tc>
      </w:tr>
      <w:tr>
        <w:tc>
          <w:tcPr>
            <w:tcW w:type="dxa" w:w="2880"/>
          </w:tcPr>
          <w:p>
            <w:r>
              <w:rPr>
                <w:sz w:val="19"/>
              </w:rPr>
              <w:t>6888106</w:t>
            </w:r>
          </w:p>
        </w:tc>
        <w:tc>
          <w:tcPr>
            <w:tcW w:type="dxa" w:w="2880"/>
          </w:tcPr>
          <w:p>
            <w:r>
              <w:rPr>
                <w:sz w:val="19"/>
              </w:rPr>
              <w:t>2026-08-05</w:t>
            </w:r>
          </w:p>
        </w:tc>
        <w:tc>
          <w:tcPr>
            <w:tcW w:type="dxa" w:w="2880"/>
          </w:tcPr>
          <w:p>
            <w:r>
              <w:rPr>
                <w:sz w:val="19"/>
              </w:rPr>
              <w:t>Adiciona filtro min/máx de pessoas por trajeto no Dígrafo.</w:t>
            </w:r>
          </w:p>
        </w:tc>
      </w:tr>
      <w:tr>
        <w:tc>
          <w:tcPr>
            <w:tcW w:type="dxa" w:w="2880"/>
          </w:tcPr>
          <w:p>
            <w:r>
              <w:rPr>
                <w:sz w:val="19"/>
              </w:rPr>
              <w:t>42b00ad</w:t>
            </w:r>
          </w:p>
        </w:tc>
        <w:tc>
          <w:tcPr>
            <w:tcW w:type="dxa" w:w="2880"/>
          </w:tcPr>
          <w:p>
            <w:r>
              <w:rPr>
                <w:sz w:val="19"/>
              </w:rPr>
              <w:t>2026-08-05</w:t>
            </w:r>
          </w:p>
        </w:tc>
        <w:tc>
          <w:tcPr>
            <w:tcW w:type="dxa" w:w="2880"/>
          </w:tcPr>
          <w:p>
            <w:r>
              <w:rPr>
                <w:sz w:val="19"/>
              </w:rPr>
              <w:t>Adiciona IPED real (qualidade no deslocamento) ao Dígrafo e Mapa.</w:t>
            </w:r>
          </w:p>
        </w:tc>
      </w:tr>
      <w:tr>
        <w:tc>
          <w:tcPr>
            <w:tcW w:type="dxa" w:w="2880"/>
          </w:tcPr>
          <w:p>
            <w:r>
              <w:rPr>
                <w:sz w:val="19"/>
              </w:rPr>
              <w:t>d6baba6</w:t>
            </w:r>
          </w:p>
        </w:tc>
        <w:tc>
          <w:tcPr>
            <w:tcW w:type="dxa" w:w="2880"/>
          </w:tcPr>
          <w:p>
            <w:r>
              <w:rPr>
                <w:sz w:val="19"/>
              </w:rPr>
              <w:t>2026-08-05</w:t>
            </w:r>
          </w:p>
        </w:tc>
        <w:tc>
          <w:tcPr>
            <w:tcW w:type="dxa" w:w="2880"/>
          </w:tcPr>
          <w:p>
            <w:r>
              <w:rPr>
                <w:sz w:val="19"/>
              </w:rPr>
              <w:t>Expande para 8 personas (P5-P8, Wave 2, adaptadas sem CRM).</w:t>
            </w:r>
          </w:p>
        </w:tc>
      </w:tr>
      <w:tr>
        <w:tc>
          <w:tcPr>
            <w:tcW w:type="dxa" w:w="2880"/>
          </w:tcPr>
          <w:p>
            <w:r>
              <w:rPr>
                <w:sz w:val="19"/>
              </w:rPr>
              <w:t>7f94373</w:t>
            </w:r>
          </w:p>
        </w:tc>
        <w:tc>
          <w:tcPr>
            <w:tcW w:type="dxa" w:w="2880"/>
          </w:tcPr>
          <w:p>
            <w:r>
              <w:rPr>
                <w:sz w:val="19"/>
              </w:rPr>
              <w:t>2026-08-05</w:t>
            </w:r>
          </w:p>
        </w:tc>
        <w:tc>
          <w:tcPr>
            <w:tcW w:type="dxa" w:w="2880"/>
          </w:tcPr>
          <w:p>
            <w:r>
              <w:rPr>
                <w:sz w:val="19"/>
              </w:rPr>
              <w:t>Separa Streamer/Gamer (P2/P9) e adiciona Vamping como indicador real.</w:t>
            </w:r>
          </w:p>
        </w:tc>
      </w:tr>
      <w:tr>
        <w:tc>
          <w:tcPr>
            <w:tcW w:type="dxa" w:w="2880"/>
          </w:tcPr>
          <w:p>
            <w:r>
              <w:rPr>
                <w:sz w:val="19"/>
              </w:rPr>
              <w:t>f6f38a2</w:t>
            </w:r>
          </w:p>
        </w:tc>
        <w:tc>
          <w:tcPr>
            <w:tcW w:type="dxa" w:w="2880"/>
          </w:tcPr>
          <w:p>
            <w:r>
              <w:rPr>
                <w:sz w:val="19"/>
              </w:rPr>
              <w:t>2026-08-05</w:t>
            </w:r>
          </w:p>
        </w:tc>
        <w:tc>
          <w:tcPr>
            <w:tcW w:type="dxa" w:w="2880"/>
          </w:tcPr>
          <w:p>
            <w:r>
              <w:rPr>
                <w:sz w:val="19"/>
              </w:rPr>
              <w:t>Adiciona camada opcional de antenas reais no Mapa.</w:t>
            </w:r>
          </w:p>
        </w:tc>
      </w:tr>
      <w:tr>
        <w:tc>
          <w:tcPr>
            <w:tcW w:type="dxa" w:w="2880"/>
          </w:tcPr>
          <w:p>
            <w:r>
              <w:rPr>
                <w:sz w:val="19"/>
              </w:rPr>
              <w:t>051dbc2</w:t>
            </w:r>
          </w:p>
        </w:tc>
        <w:tc>
          <w:tcPr>
            <w:tcW w:type="dxa" w:w="2880"/>
          </w:tcPr>
          <w:p>
            <w:r>
              <w:rPr>
                <w:sz w:val="19"/>
              </w:rPr>
              <w:t>2026-08-05</w:t>
            </w:r>
          </w:p>
        </w:tc>
        <w:tc>
          <w:tcPr>
            <w:tcW w:type="dxa" w:w="2880"/>
          </w:tcPr>
          <w:p>
            <w:r>
              <w:rPr>
                <w:sz w:val="19"/>
              </w:rPr>
              <w:t>Adiciona geofence: desenhar e nomear cluster customizado no Mapa.</w:t>
            </w:r>
          </w:p>
        </w:tc>
      </w:tr>
      <w:tr>
        <w:tc>
          <w:tcPr>
            <w:tcW w:type="dxa" w:w="2880"/>
          </w:tcPr>
          <w:p>
            <w:r>
              <w:rPr>
                <w:sz w:val="19"/>
              </w:rPr>
              <w:t>b7dc64d</w:t>
            </w:r>
          </w:p>
        </w:tc>
        <w:tc>
          <w:tcPr>
            <w:tcW w:type="dxa" w:w="2880"/>
          </w:tcPr>
          <w:p>
            <w:r>
              <w:rPr>
                <w:sz w:val="19"/>
              </w:rPr>
              <w:t>2026-08-05</w:t>
            </w:r>
          </w:p>
        </w:tc>
        <w:tc>
          <w:tcPr>
            <w:tcW w:type="dxa" w:w="2880"/>
          </w:tcPr>
          <w:p>
            <w:r>
              <w:rPr>
                <w:sz w:val="19"/>
              </w:rPr>
              <w:t>Adiciona divisão Voronoi no Mapa, com indicadores selecionáveis.</w:t>
            </w:r>
          </w:p>
        </w:tc>
      </w:tr>
      <w:tr>
        <w:tc>
          <w:tcPr>
            <w:tcW w:type="dxa" w:w="2880"/>
          </w:tcPr>
          <w:p>
            <w:r>
              <w:rPr>
                <w:sz w:val="19"/>
              </w:rPr>
              <w:t>02193fe</w:t>
            </w:r>
          </w:p>
        </w:tc>
        <w:tc>
          <w:tcPr>
            <w:tcW w:type="dxa" w:w="2880"/>
          </w:tcPr>
          <w:p>
            <w:r>
              <w:rPr>
                <w:sz w:val="19"/>
              </w:rPr>
              <w:t>2026-08-05</w:t>
            </w:r>
          </w:p>
        </w:tc>
        <w:tc>
          <w:tcPr>
            <w:tcW w:type="dxa" w:w="2880"/>
          </w:tcPr>
          <w:p>
            <w:r>
              <w:rPr>
                <w:sz w:val="19"/>
              </w:rPr>
              <w:t>Corrige nomes de região duplicados e torna Jornada RG interativo.</w:t>
            </w:r>
          </w:p>
        </w:tc>
      </w:tr>
      <w:tr>
        <w:tc>
          <w:tcPr>
            <w:tcW w:type="dxa" w:w="2880"/>
          </w:tcPr>
          <w:p>
            <w:r>
              <w:rPr>
                <w:sz w:val="19"/>
              </w:rPr>
              <w:t>f13dbdd</w:t>
            </w:r>
          </w:p>
        </w:tc>
        <w:tc>
          <w:tcPr>
            <w:tcW w:type="dxa" w:w="2880"/>
          </w:tcPr>
          <w:p>
            <w:r>
              <w:rPr>
                <w:sz w:val="19"/>
              </w:rPr>
              <w:t>2026-08-05</w:t>
            </w:r>
          </w:p>
        </w:tc>
        <w:tc>
          <w:tcPr>
            <w:tcW w:type="dxa" w:w="2880"/>
          </w:tcPr>
          <w:p>
            <w:r>
              <w:rPr>
                <w:sz w:val="19"/>
              </w:rPr>
              <w:t>[NetGraph→MNO 1/3] Adiciona topologia de rede (Core→PGW→SGW→Sites).</w:t>
            </w:r>
          </w:p>
        </w:tc>
      </w:tr>
      <w:tr>
        <w:tc>
          <w:tcPr>
            <w:tcW w:type="dxa" w:w="2880"/>
          </w:tcPr>
          <w:p>
            <w:r>
              <w:rPr>
                <w:sz w:val="19"/>
              </w:rPr>
              <w:t>a5d5abf</w:t>
            </w:r>
          </w:p>
        </w:tc>
        <w:tc>
          <w:tcPr>
            <w:tcW w:type="dxa" w:w="2880"/>
          </w:tcPr>
          <w:p>
            <w:r>
              <w:rPr>
                <w:sz w:val="19"/>
              </w:rPr>
              <w:t>2026-08-05</w:t>
            </w:r>
          </w:p>
        </w:tc>
        <w:tc>
          <w:tcPr>
            <w:tcW w:type="dxa" w:w="2880"/>
          </w:tcPr>
          <w:p>
            <w:r>
              <w:rPr>
                <w:sz w:val="19"/>
              </w:rPr>
              <w:t>[NetGraph→MNO 2/3] Adiciona alertas de rede (Markov + Bayes por nó).</w:t>
            </w:r>
          </w:p>
        </w:tc>
      </w:tr>
      <w:tr>
        <w:tc>
          <w:tcPr>
            <w:tcW w:type="dxa" w:w="2880"/>
          </w:tcPr>
          <w:p>
            <w:r>
              <w:rPr>
                <w:sz w:val="19"/>
              </w:rPr>
              <w:t>3fcd463</w:t>
            </w:r>
          </w:p>
        </w:tc>
        <w:tc>
          <w:tcPr>
            <w:tcW w:type="dxa" w:w="2880"/>
          </w:tcPr>
          <w:p>
            <w:r>
              <w:rPr>
                <w:sz w:val="19"/>
              </w:rPr>
              <w:t>2026-08-05</w:t>
            </w:r>
          </w:p>
        </w:tc>
        <w:tc>
          <w:tcPr>
            <w:tcW w:type="dxa" w:w="2880"/>
          </w:tcPr>
          <w:p>
            <w:r>
              <w:rPr>
                <w:sz w:val="19"/>
              </w:rPr>
              <w:t>[NetGraph→MNO 3/3] Adiciona capacidade (projeção) e outliers (MAD) por nó.</w:t>
            </w:r>
          </w:p>
        </w:tc>
      </w:tr>
      <w:tr>
        <w:tc>
          <w:tcPr>
            <w:tcW w:type="dxa" w:w="2880"/>
          </w:tcPr>
          <w:p>
            <w:r>
              <w:rPr>
                <w:sz w:val="19"/>
              </w:rPr>
              <w:t>16cf385</w:t>
            </w:r>
          </w:p>
        </w:tc>
        <w:tc>
          <w:tcPr>
            <w:tcW w:type="dxa" w:w="2880"/>
          </w:tcPr>
          <w:p>
            <w:r>
              <w:rPr>
                <w:sz w:val="19"/>
              </w:rPr>
              <w:t>2026-08-05</w:t>
            </w:r>
          </w:p>
        </w:tc>
        <w:tc>
          <w:tcPr>
            <w:tcW w:type="dxa" w:w="2880"/>
          </w:tcPr>
          <w:p>
            <w:r>
              <w:rPr>
                <w:sz w:val="19"/>
              </w:rPr>
              <w:t>Corrige nós travados no dígrafo de Jornada RG (agora arrastáveis).</w:t>
            </w:r>
          </w:p>
        </w:tc>
      </w:tr>
      <w:tr>
        <w:tc>
          <w:tcPr>
            <w:tcW w:type="dxa" w:w="2880"/>
          </w:tcPr>
          <w:p>
            <w:r>
              <w:rPr>
                <w:sz w:val="19"/>
              </w:rPr>
              <w:t>0181ef1</w:t>
            </w:r>
          </w:p>
        </w:tc>
        <w:tc>
          <w:tcPr>
            <w:tcW w:type="dxa" w:w="2880"/>
          </w:tcPr>
          <w:p>
            <w:r>
              <w:rPr>
                <w:sz w:val="19"/>
              </w:rPr>
              <w:t>2026-08-05</w:t>
            </w:r>
          </w:p>
        </w:tc>
        <w:tc>
          <w:tcPr>
            <w:tcW w:type="dxa" w:w="2880"/>
          </w:tcPr>
          <w:p>
            <w:r>
              <w:rPr>
                <w:sz w:val="19"/>
              </w:rPr>
              <w:t>Corrige matriz de Markov sempre idêntica: adiciona estrutura real ao gerador de drop/congestionamento.</w:t>
            </w:r>
          </w:p>
        </w:tc>
      </w:tr>
      <w:tr>
        <w:tc>
          <w:tcPr>
            <w:tcW w:type="dxa" w:w="2880"/>
          </w:tcPr>
          <w:p>
            <w:r>
              <w:rPr>
                <w:sz w:val="19"/>
              </w:rPr>
              <w:t>c61b19e</w:t>
            </w:r>
          </w:p>
        </w:tc>
        <w:tc>
          <w:tcPr>
            <w:tcW w:type="dxa" w:w="2880"/>
          </w:tcPr>
          <w:p>
            <w:r>
              <w:rPr>
                <w:sz w:val="19"/>
              </w:rPr>
              <w:t>2026-08-05</w:t>
            </w:r>
          </w:p>
        </w:tc>
        <w:tc>
          <w:tcPr>
            <w:tcW w:type="dxa" w:w="2880"/>
          </w:tcPr>
          <w:p>
            <w:r>
              <w:rPr>
                <w:sz w:val="19"/>
              </w:rPr>
              <w:t>Adiciona aba Outliers: filtro Bayesiano recursivo ao lado do MAD, com atribuição de causa tráfego×capacidade.</w:t>
            </w:r>
          </w:p>
        </w:tc>
      </w:tr>
      <w:tr>
        <w:tc>
          <w:tcPr>
            <w:tcW w:type="dxa" w:w="2880"/>
          </w:tcPr>
          <w:p>
            <w:r>
              <w:rPr>
                <w:sz w:val="19"/>
              </w:rPr>
              <w:t>0f50ae8</w:t>
            </w:r>
          </w:p>
        </w:tc>
        <w:tc>
          <w:tcPr>
            <w:tcW w:type="dxa" w:w="2880"/>
          </w:tcPr>
          <w:p>
            <w:r>
              <w:rPr>
                <w:sz w:val="19"/>
              </w:rPr>
              <w:t>2026-08-05</w:t>
            </w:r>
          </w:p>
        </w:tc>
        <w:tc>
          <w:tcPr>
            <w:tcW w:type="dxa" w:w="2880"/>
          </w:tcPr>
          <w:p>
            <w:r>
              <w:rPr>
                <w:sz w:val="19"/>
              </w:rPr>
              <w:t>Aumenta amostra sintética de 15.000 para 100.000 assinantes (~6,7% da base estimada).</w:t>
            </w:r>
          </w:p>
        </w:tc>
      </w:tr>
      <w:tr>
        <w:tc>
          <w:tcPr>
            <w:tcW w:type="dxa" w:w="2880"/>
          </w:tcPr>
          <w:p>
            <w:r>
              <w:rPr>
                <w:sz w:val="19"/>
              </w:rPr>
              <w:t>134a986</w:t>
            </w:r>
          </w:p>
        </w:tc>
        <w:tc>
          <w:tcPr>
            <w:tcW w:type="dxa" w:w="2880"/>
          </w:tcPr>
          <w:p>
            <w:r>
              <w:rPr>
                <w:sz w:val="19"/>
              </w:rPr>
              <w:t>2026-08-05</w:t>
            </w:r>
          </w:p>
        </w:tc>
        <w:tc>
          <w:tcPr>
            <w:tcW w:type="dxa" w:w="2880"/>
          </w:tcPr>
          <w:p>
            <w:r>
              <w:rPr>
                <w:sz w:val="19"/>
              </w:rPr>
              <w:t>[NetGraph→MNO 4/4] Adiciona Alertas de Rede priorizados: centralidade, Bayes ingênuo, score combinado, explicabilidade em 7 seções.</w:t>
            </w:r>
          </w:p>
        </w:tc>
      </w:tr>
      <w:tr>
        <w:tc>
          <w:tcPr>
            <w:tcW w:type="dxa" w:w="2880"/>
          </w:tcPr>
          <w:p>
            <w:r>
              <w:rPr>
                <w:sz w:val="19"/>
              </w:rPr>
              <w:t>bca5c1e</w:t>
            </w:r>
          </w:p>
        </w:tc>
        <w:tc>
          <w:tcPr>
            <w:tcW w:type="dxa" w:w="2880"/>
          </w:tcPr>
          <w:p>
            <w:r>
              <w:rPr>
                <w:sz w:val="19"/>
              </w:rPr>
              <w:t>2026-08-11</w:t>
            </w:r>
          </w:p>
        </w:tc>
        <w:tc>
          <w:tcPr>
            <w:tcW w:type="dxa" w:w="2880"/>
          </w:tcPr>
          <w:p>
            <w:r>
              <w:rPr>
                <w:sz w:val="19"/>
              </w:rPr>
              <w:t>Lounge: gate de senha por aplicação e reescreve descrição do card MNO.</w:t>
            </w:r>
          </w:p>
        </w:tc>
      </w:tr>
      <w:tr>
        <w:tc>
          <w:tcPr>
            <w:tcW w:type="dxa" w:w="2880"/>
          </w:tcPr>
          <w:p>
            <w:r>
              <w:rPr>
                <w:sz w:val="19"/>
              </w:rPr>
              <w:t>8a204ec</w:t>
            </w:r>
          </w:p>
        </w:tc>
        <w:tc>
          <w:tcPr>
            <w:tcW w:type="dxa" w:w="2880"/>
          </w:tcPr>
          <w:p>
            <w:r>
              <w:rPr>
                <w:sz w:val="19"/>
              </w:rPr>
              <w:t>2026-08-11</w:t>
            </w:r>
          </w:p>
        </w:tc>
        <w:tc>
          <w:tcPr>
            <w:tcW w:type="dxa" w:w="2880"/>
          </w:tcPr>
          <w:p>
            <w:r>
              <w:rPr>
                <w:sz w:val="19"/>
              </w:rPr>
              <w:t>JourneyGraph MNO: implementa punch-list completo — filtros (Segmento/Cluster/Dia/Período/Dispositivos×Pessoas), Dígrafo (tooltip de aresta, Sigma Index, path builder), Mapa, Jornada RG, Rede/Outliers, Personas (pizza+ícones), Qualidade (IPED por persona), Alertas, Glossário; corrige bug de Markov duplicado entre personas.</w:t>
            </w:r>
          </w:p>
        </w:tc>
      </w:tr>
      <w:tr>
        <w:tc>
          <w:tcPr>
            <w:tcW w:type="dxa" w:w="2880"/>
          </w:tcPr>
          <w:p>
            <w:r>
              <w:rPr>
                <w:sz w:val="19"/>
              </w:rPr>
              <w:t>97d270c</w:t>
            </w:r>
          </w:p>
        </w:tc>
        <w:tc>
          <w:tcPr>
            <w:tcW w:type="dxa" w:w="2880"/>
          </w:tcPr>
          <w:p>
            <w:r>
              <w:rPr>
                <w:sz w:val="19"/>
              </w:rPr>
              <w:t>2026-08-11</w:t>
            </w:r>
          </w:p>
        </w:tc>
        <w:tc>
          <w:tcPr>
            <w:tcW w:type="dxa" w:w="2880"/>
          </w:tcPr>
          <w:p>
            <w:r>
              <w:rPr>
                <w:sz w:val="19"/>
              </w:rPr>
              <w:t>Lounge: senha sempre pede de novo, sem persistir por sessão.</w:t>
            </w:r>
          </w:p>
        </w:tc>
      </w:tr>
      <w:tr>
        <w:tc>
          <w:tcPr>
            <w:tcW w:type="dxa" w:w="2880"/>
          </w:tcPr>
          <w:p>
            <w:r>
              <w:rPr>
                <w:sz w:val="19"/>
              </w:rPr>
              <w:t>eeffddc</w:t>
            </w:r>
          </w:p>
        </w:tc>
        <w:tc>
          <w:tcPr>
            <w:tcW w:type="dxa" w:w="2880"/>
          </w:tcPr>
          <w:p>
            <w:r>
              <w:rPr>
                <w:sz w:val="19"/>
              </w:rPr>
              <w:t>2026-08-11</w:t>
            </w:r>
          </w:p>
        </w:tc>
        <w:tc>
          <w:tcPr>
            <w:tcW w:type="dxa" w:w="2880"/>
          </w:tcPr>
          <w:p>
            <w:r>
              <w:rPr>
                <w:sz w:val="19"/>
              </w:rPr>
              <w:t>JourneyGraph MNO: ajustes de revisão — Glossário movido para última posição, fórmula Dispositivos×Pessoas corrigida, Jornada RG com layout de força (igual Dígrafo), filtro de Persona removido de Rede/Outliers/Qualidade, pizza de Personas reposicionada, área de explicabilidade de Alertas ampliada.</w:t>
            </w:r>
          </w:p>
        </w:tc>
      </w:tr>
    </w:tbl>
    <w:p/>
    <w:p>
      <w:r>
        <w:br w:type="page"/>
      </w:r>
    </w:p>
    <w:p>
      <w:pPr>
        <w:pStyle w:val="Heading1"/>
      </w:pPr>
      <w:r>
        <w:t>2. Tech Reference</w:t>
      </w:r>
    </w:p>
    <w:p>
      <w:pPr>
        <w:pStyle w:val="Heading2"/>
      </w:pPr>
      <w:r>
        <w:t>2.1 Arquitetura Detalhada</w:t>
      </w:r>
    </w:p>
    <w:p>
      <w:r>
        <w:rPr>
          <w:b w:val="0"/>
          <w:i w:val="0"/>
        </w:rPr>
        <w:t>Clona a arquitetura de journeygraph/index.html (telas, sidebars, dígrafo D3, Alertas, Consulta Individual restrita, Assistente), adaptando o domínio de "jornada de banda larga fixa" para "jornada e rede de assinante móvel", e incorpora quatro capacidades adicionais portadas do NetGraph (topologia hierárquica, Markov/Bayes de rede, MAD/regressão de capacidade, priorização de alertas por score combinado) — recalibradas para o domínio móvel em cada ponto onde a metodologia original do NetGraph era específica de banda fixa (fibra/OLT).</w:t>
      </w:r>
    </w:p>
    <w:p>
      <w:pPr>
        <w:pStyle w:val="Heading3"/>
      </w:pPr>
      <w:r>
        <w:t>Hierarquia de rede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3050"/>
          </w:tcPr>
          <w:p>
            <w:r>
              <w:rPr>
                <w:b/>
                <w:color w:val="FFFFFF"/>
                <w:sz w:val="19"/>
              </w:rPr>
              <w:t>Nível</w:t>
            </w:r>
          </w:p>
        </w:tc>
        <w:tc>
          <w:tcPr>
            <w:tcW w:type="dxa" w:w="2880"/>
            <w:shd w:val="clear" w:color="auto" w:fill="1A3050"/>
          </w:tcPr>
          <w:p>
            <w:r>
              <w:rPr>
                <w:b/>
                <w:color w:val="FFFFFF"/>
                <w:sz w:val="19"/>
              </w:rPr>
              <w:t>Quantidade</w:t>
            </w:r>
          </w:p>
        </w:tc>
        <w:tc>
          <w:tcPr>
            <w:tcW w:type="dxa" w:w="2880"/>
            <w:shd w:val="clear" w:color="auto" w:fill="1A3050"/>
          </w:tcPr>
          <w:p>
            <w:r>
              <w:rPr>
                <w:b/>
                <w:color w:val="FFFFFF"/>
                <w:sz w:val="19"/>
              </w:rPr>
              <w:t>Atributos-chave</w:t>
            </w:r>
          </w:p>
        </w:tc>
      </w:tr>
      <w:tr>
        <w:tc>
          <w:tcPr>
            <w:tcW w:type="dxa" w:w="2880"/>
          </w:tcPr>
          <w:p>
            <w:r>
              <w:rPr>
                <w:sz w:val="19"/>
              </w:rPr>
              <w:t>Core</w:t>
            </w:r>
          </w:p>
        </w:tc>
        <w:tc>
          <w:tcPr>
            <w:tcW w:type="dxa" w:w="2880"/>
          </w:tcPr>
          <w:p>
            <w:r>
              <w:rPr>
                <w:sz w:val="19"/>
              </w:rPr>
              <w:t>1 (agregação lógica)</w:t>
            </w:r>
          </w:p>
        </w:tc>
        <w:tc>
          <w:tcPr>
            <w:tcW w:type="dxa" w:w="2880"/>
          </w:tcPr>
          <w:p>
            <w:r>
              <w:rPr>
                <w:sz w:val="19"/>
              </w:rPr>
              <w:t>n_usuarios_est agregado de todos os sites; não é um equipamento físico distinto nesta topologia.</w:t>
            </w:r>
          </w:p>
        </w:tc>
      </w:tr>
      <w:tr>
        <w:tc>
          <w:tcPr>
            <w:tcW w:type="dxa" w:w="2880"/>
          </w:tcPr>
          <w:p>
            <w:r>
              <w:rPr>
                <w:sz w:val="19"/>
              </w:rPr>
              <w:t>PGW/UPF</w:t>
            </w:r>
          </w:p>
        </w:tc>
        <w:tc>
          <w:tcPr>
            <w:tcW w:type="dxa" w:w="2880"/>
          </w:tcPr>
          <w:p>
            <w:r>
              <w:rPr>
                <w:sz w:val="19"/>
              </w:rPr>
              <w:t>3</w:t>
            </w:r>
          </w:p>
        </w:tc>
        <w:tc>
          <w:tcPr>
            <w:tcW w:type="dxa" w:w="2880"/>
          </w:tcPr>
          <w:p>
            <w:r>
              <w:rPr>
                <w:sz w:val="19"/>
              </w:rPr>
              <w:t>Round-robin a partir dos 6 SGW; agrega drop/congestionamento médio dos SGW filhos.</w:t>
            </w:r>
          </w:p>
        </w:tc>
      </w:tr>
      <w:tr>
        <w:tc>
          <w:tcPr>
            <w:tcW w:type="dxa" w:w="2880"/>
          </w:tcPr>
          <w:p>
            <w:r>
              <w:rPr>
                <w:sz w:val="19"/>
              </w:rPr>
              <w:t>SGW</w:t>
            </w:r>
          </w:p>
        </w:tc>
        <w:tc>
          <w:tcPr>
            <w:tcW w:type="dxa" w:w="2880"/>
          </w:tcPr>
          <w:p>
            <w:r>
              <w:rPr>
                <w:sz w:val="19"/>
              </w:rPr>
              <w:t>6</w:t>
            </w:r>
          </w:p>
        </w:tc>
        <w:tc>
          <w:tcPr>
            <w:tcW w:type="dxa" w:w="2880"/>
          </w:tcPr>
          <w:p>
            <w:r>
              <w:rPr>
                <w:sz w:val="19"/>
              </w:rPr>
              <w:t>Atribuição hash estável por índice de site; agrega drop/congestionamento médio dos sites filhos.</w:t>
            </w:r>
          </w:p>
        </w:tc>
      </w:tr>
      <w:tr>
        <w:tc>
          <w:tcPr>
            <w:tcW w:type="dxa" w:w="2880"/>
          </w:tcPr>
          <w:p>
            <w:r>
              <w:rPr>
                <w:sz w:val="19"/>
              </w:rPr>
              <w:t>Site (físico)</w:t>
            </w:r>
          </w:p>
        </w:tc>
        <w:tc>
          <w:tcPr>
            <w:tcW w:type="dxa" w:w="2880"/>
          </w:tcPr>
          <w:p>
            <w:r>
              <w:rPr>
                <w:sz w:val="19"/>
              </w:rPr>
              <w:t>213</w:t>
            </w:r>
          </w:p>
        </w:tc>
        <w:tc>
          <w:tcPr>
            <w:tcW w:type="dxa" w:w="2880"/>
          </w:tcPr>
          <w:p>
            <w:r>
              <w:rPr>
                <w:sz w:val="19"/>
              </w:rPr>
              <w:t>Agrupamento de antenas por coordenada idêntica (setores/bandas co-locados); ponto de entrada real da hierarquia.</w:t>
            </w:r>
          </w:p>
        </w:tc>
      </w:tr>
      <w:tr>
        <w:tc>
          <w:tcPr>
            <w:tcW w:type="dxa" w:w="2880"/>
          </w:tcPr>
          <w:p>
            <w:r>
              <w:rPr>
                <w:sz w:val="19"/>
              </w:rPr>
              <w:t>MME/AMF</w:t>
            </w:r>
          </w:p>
        </w:tc>
        <w:tc>
          <w:tcPr>
            <w:tcW w:type="dxa" w:w="2880"/>
          </w:tcPr>
          <w:p>
            <w:r>
              <w:rPr>
                <w:sz w:val="19"/>
              </w:rPr>
              <w:t>6 (pool paralelo)</w:t>
            </w:r>
          </w:p>
        </w:tc>
        <w:tc>
          <w:tcPr>
            <w:tcW w:type="dxa" w:w="2880"/>
          </w:tcPr>
          <w:p>
            <w:r>
              <w:rPr>
                <w:sz w:val="19"/>
              </w:rPr>
              <w:t>Controle/sinalização — não faz parte da árvore de dados Core→PGW→SGW→Site.</w:t>
            </w:r>
          </w:p>
        </w:tc>
      </w:tr>
    </w:tbl>
    <w:p/>
    <w:p>
      <w:r>
        <w:rPr>
          <w:b w:val="0"/>
          <w:i w:val="0"/>
        </w:rPr>
        <w:t>Estados de saúde por nó de rede (Markov, §2.5): Saudável → Degradado → Crítico → Falha, por limiares de drop_pct calibrados sobre a distribuição real observada nesta execução (ver Ressalvas / Honestidade Metodológica).</w:t>
      </w:r>
    </w:p>
    <w:p>
      <w:pPr>
        <w:pStyle w:val="Heading2"/>
      </w:pPr>
      <w:r>
        <w:t>2.2 Stack</w:t>
      </w:r>
    </w:p>
    <w:p>
      <w:r>
        <w:rPr>
          <w:b w:val="0"/>
          <w:i w:val="0"/>
        </w:rPr>
        <w:t>D3.js v7.8.5 e Leaflet v1.9.4 via CDN para toda a visualização (grafos, mapa, gráficos de série temporal); HTML5/CSS/JavaScript puro para o motor analítico client-side — sem framework de build, sem backend, sem banco de dados no app. Pipeline de dados em Python 3.14 (pandas, scikit-learn, XGBoost, openpyxl, PyYAML), executado offline uma única vez por publicação.</w:t>
      </w:r>
    </w:p>
    <w:p>
      <w:pPr>
        <w:pStyle w:val="Heading2"/>
      </w:pPr>
      <w:r>
        <w:t>2.3 Desempenho</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3050"/>
          </w:tcPr>
          <w:p>
            <w:r>
              <w:rPr>
                <w:b/>
                <w:color w:val="FFFFFF"/>
                <w:sz w:val="19"/>
              </w:rPr>
              <w:t>Métrica</w:t>
            </w:r>
          </w:p>
        </w:tc>
        <w:tc>
          <w:tcPr>
            <w:tcW w:type="dxa" w:w="4320"/>
            <w:shd w:val="clear" w:color="auto" w:fill="1A3050"/>
          </w:tcPr>
          <w:p>
            <w:r>
              <w:rPr>
                <w:b/>
                <w:color w:val="FFFFFF"/>
                <w:sz w:val="19"/>
              </w:rPr>
              <w:t>Valor</w:t>
            </w:r>
          </w:p>
        </w:tc>
      </w:tr>
      <w:tr>
        <w:tc>
          <w:tcPr>
            <w:tcW w:type="dxa" w:w="4320"/>
          </w:tcPr>
          <w:p>
            <w:r>
              <w:rPr>
                <w:sz w:val="19"/>
              </w:rPr>
              <w:t>Linhas de CDR sintético gerado</w:t>
            </w:r>
          </w:p>
        </w:tc>
        <w:tc>
          <w:tcPr>
            <w:tcW w:type="dxa" w:w="4320"/>
          </w:tcPr>
          <w:p>
            <w:r>
              <w:rPr>
                <w:sz w:val="19"/>
              </w:rPr>
              <w:t>4.610.999 (100.000 assinantes × 15 dias)</w:t>
            </w:r>
          </w:p>
        </w:tc>
      </w:tr>
      <w:tr>
        <w:tc>
          <w:tcPr>
            <w:tcW w:type="dxa" w:w="4320"/>
          </w:tcPr>
          <w:p>
            <w:r>
              <w:rPr>
                <w:sz w:val="19"/>
              </w:rPr>
              <w:t>Tempo do pipeline completo (geração→RAW)</w:t>
            </w:r>
          </w:p>
        </w:tc>
        <w:tc>
          <w:tcPr>
            <w:tcW w:type="dxa" w:w="4320"/>
          </w:tcPr>
          <w:p>
            <w:r>
              <w:rPr>
                <w:sz w:val="19"/>
              </w:rPr>
              <w:t>~15 min (multiprocessing, 8 workers, na etapa de geração de CDR)</w:t>
            </w:r>
          </w:p>
        </w:tc>
      </w:tr>
      <w:tr>
        <w:tc>
          <w:tcPr>
            <w:tcW w:type="dxa" w:w="4320"/>
          </w:tcPr>
          <w:p>
            <w:r>
              <w:rPr>
                <w:sz w:val="19"/>
              </w:rPr>
              <w:t>Tamanho do CDR bruto em disco (intermediário)</w:t>
            </w:r>
          </w:p>
        </w:tc>
        <w:tc>
          <w:tcPr>
            <w:tcW w:type="dxa" w:w="4320"/>
          </w:tcPr>
          <w:p>
            <w:r>
              <w:rPr>
                <w:sz w:val="19"/>
              </w:rPr>
              <w:t>~780 MB (tensor_mobilidade.csv, não publicado)</w:t>
            </w:r>
          </w:p>
        </w:tc>
      </w:tr>
      <w:tr>
        <w:tc>
          <w:tcPr>
            <w:tcW w:type="dxa" w:w="4320"/>
          </w:tcPr>
          <w:p>
            <w:r>
              <w:rPr>
                <w:sz w:val="19"/>
              </w:rPr>
              <w:t>Tamanho do RAW embutido no app</w:t>
            </w:r>
          </w:p>
        </w:tc>
        <w:tc>
          <w:tcPr>
            <w:tcW w:type="dxa" w:w="4320"/>
          </w:tcPr>
          <w:p>
            <w:r>
              <w:rPr>
                <w:sz w:val="19"/>
              </w:rPr>
              <w:t>~26,4 MB (JSON) — cresceu de 18,9 MB nesta rodada com a adição de segmento, séries diárias por nó/aresta, personas_daily e iped_by_persona</w:t>
            </w:r>
          </w:p>
        </w:tc>
      </w:tr>
      <w:tr>
        <w:tc>
          <w:tcPr>
            <w:tcW w:type="dxa" w:w="4320"/>
          </w:tcPr>
          <w:p>
            <w:r>
              <w:rPr>
                <w:sz w:val="19"/>
              </w:rPr>
              <w:t>Tamanho final de index.html</w:t>
            </w:r>
          </w:p>
        </w:tc>
        <w:tc>
          <w:tcPr>
            <w:tcW w:type="dxa" w:w="4320"/>
          </w:tcPr>
          <w:p>
            <w:r>
              <w:rPr>
                <w:sz w:val="19"/>
              </w:rPr>
              <w:t>~26,97 MB bruto / ~3,2 MB comprimido (estimado, mesma razão de compressão gzip anterior)</w:t>
            </w:r>
          </w:p>
        </w:tc>
      </w:tr>
      <w:tr>
        <w:tc>
          <w:tcPr>
            <w:tcW w:type="dxa" w:w="4320"/>
          </w:tcPr>
          <w:p>
            <w:r>
              <w:rPr>
                <w:sz w:val="19"/>
              </w:rPr>
              <w:t>Linhas de código do motor analítico client-side</w:t>
            </w:r>
          </w:p>
        </w:tc>
        <w:tc>
          <w:tcPr>
            <w:tcW w:type="dxa" w:w="4320"/>
          </w:tcPr>
          <w:p>
            <w:r>
              <w:rPr>
                <w:sz w:val="19"/>
              </w:rPr>
              <w:t>~2.700 (journeygraph-mno/_part2.js)</w:t>
            </w:r>
          </w:p>
        </w:tc>
      </w:tr>
      <w:tr>
        <w:tc>
          <w:tcPr>
            <w:tcW w:type="dxa" w:w="4320"/>
          </w:tcPr>
          <w:p>
            <w:r>
              <w:rPr>
                <w:sz w:val="19"/>
              </w:rPr>
              <w:t>Linhas de código do pipeline de geração</w:t>
            </w:r>
          </w:p>
        </w:tc>
        <w:tc>
          <w:tcPr>
            <w:tcW w:type="dxa" w:w="4320"/>
          </w:tcPr>
          <w:p>
            <w:r>
              <w:rPr>
                <w:sz w:val="19"/>
              </w:rPr>
              <w:t>~1.100 (build_raw_mno.py, sem contar os 8 scripts numerados)</w:t>
            </w:r>
          </w:p>
        </w:tc>
      </w:tr>
    </w:tbl>
    <w:p/>
    <w:p>
      <w:pPr>
        <w:pStyle w:val="Heading2"/>
      </w:pPr>
      <w:r>
        <w:t>2.4 Parametrização</w:t>
      </w:r>
    </w:p>
    <w:p>
      <w:r>
        <w:rPr>
          <w:b w:val="0"/>
          <w:i w:val="0"/>
        </w:rPr>
        <w:t>Cidade-alvo, operadora (MNO), número de assinantes, número de dias e semente aleatória são parâmetros de linha de comando do pipeline (--cidade, --mno, --assinantes, --dias, --semente), não hardcoded — a mesma base de código já gerou uma execução para São Paulo antes de migrar para Brasília. Pesos de Markov/Bayes de rede, limiares de estado, causas candidatas e sensibilidade do filtro Bayesiano recursivo são constantes no código-fonte (build_raw_mno.py e _part2.js), não expostas em arquivo de configuração externo nesta versão.</w:t>
      </w:r>
    </w:p>
    <w:p>
      <w:pPr>
        <w:pStyle w:val="Heading2"/>
      </w:pPr>
      <w:r>
        <w:t>2.5 ML / IA / RAG / Agentes — Motor Analítico Real</w:t>
      </w:r>
    </w:p>
    <w:p>
      <w:r>
        <w:rPr>
          <w:b w:val="0"/>
          <w:i w:val="0"/>
        </w:rPr>
        <w:t>Declaração explícita, por componente, da natureza real de cada peça "inteligente" do produto — exigência de primeira classe do padrão de documentação da Vísent (§1.2 do padrão).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3050"/>
          </w:tcPr>
          <w:p>
            <w:r>
              <w:rPr>
                <w:b/>
                <w:color w:val="FFFFFF"/>
                <w:sz w:val="19"/>
              </w:rPr>
              <w:t>Componente</w:t>
            </w:r>
          </w:p>
        </w:tc>
        <w:tc>
          <w:tcPr>
            <w:tcW w:type="dxa" w:w="2880"/>
            <w:shd w:val="clear" w:color="auto" w:fill="1A3050"/>
          </w:tcPr>
          <w:p>
            <w:r>
              <w:rPr>
                <w:b/>
                <w:color w:val="FFFFFF"/>
                <w:sz w:val="19"/>
              </w:rPr>
              <w:t>Natureza real</w:t>
            </w:r>
          </w:p>
        </w:tc>
        <w:tc>
          <w:tcPr>
            <w:tcW w:type="dxa" w:w="2880"/>
            <w:shd w:val="clear" w:color="auto" w:fill="1A3050"/>
          </w:tcPr>
          <w:p>
            <w:r>
              <w:rPr>
                <w:b/>
                <w:color w:val="FFFFFF"/>
                <w:sz w:val="19"/>
              </w:rPr>
              <w:t>Detalhe</w:t>
            </w:r>
          </w:p>
        </w:tc>
      </w:tr>
      <w:tr>
        <w:tc>
          <w:tcPr>
            <w:tcW w:type="dxa" w:w="2880"/>
          </w:tcPr>
          <w:p>
            <w:r>
              <w:rPr>
                <w:sz w:val="19"/>
              </w:rPr>
              <w:t>Classificação de Persona</w:t>
            </w:r>
          </w:p>
        </w:tc>
        <w:tc>
          <w:tcPr>
            <w:tcW w:type="dxa" w:w="2880"/>
          </w:tcPr>
          <w:p>
            <w:r>
              <w:rPr>
                <w:sz w:val="19"/>
              </w:rPr>
              <w:t>Modelo estatístico real</w:t>
            </w:r>
          </w:p>
        </w:tc>
        <w:tc>
          <w:tcPr>
            <w:tcW w:type="dxa" w:w="2880"/>
          </w:tcPr>
          <w:p>
            <w:r>
              <w:rPr>
                <w:sz w:val="19"/>
              </w:rPr>
              <w:t>K-Means (MiniBatchKMeans, K=9) sobre 21 features + XGBoost supervisionado treinado sobre os rótulos do K-Means (acurácia 91% na amostra de teste) — não um rótulo manual.</w:t>
            </w:r>
          </w:p>
        </w:tc>
      </w:tr>
      <w:tr>
        <w:tc>
          <w:tcPr>
            <w:tcW w:type="dxa" w:w="2880"/>
          </w:tcPr>
          <w:p>
            <w:r>
              <w:rPr>
                <w:sz w:val="19"/>
              </w:rPr>
              <w:t>IPED (Qualidade no Deslocamento)</w:t>
            </w:r>
          </w:p>
        </w:tc>
        <w:tc>
          <w:tcPr>
            <w:tcW w:type="dxa" w:w="2880"/>
          </w:tcPr>
          <w:p>
            <w:r>
              <w:rPr>
                <w:sz w:val="19"/>
              </w:rPr>
              <w:t>Índice ponderado real</w:t>
            </w:r>
          </w:p>
        </w:tc>
        <w:tc>
          <w:tcPr>
            <w:tcW w:type="dxa" w:w="2880"/>
          </w:tcPr>
          <w:p>
            <w:r>
              <w:rPr>
                <w:sz w:val="19"/>
              </w:rPr>
              <w:t>Índice Ponderado de qualidade no DEslocamento — 4 componentes ativos (de 6 definidos) sobre 8 KQIs ativos (de 10), min-max normalizados, pesos e faixas lidos de planilha de curadoria (curadoria_iped_mno.xlsx) — mesma metodologia da StepGraph, não inventada para o MNO.</w:t>
            </w:r>
          </w:p>
        </w:tc>
      </w:tr>
      <w:tr>
        <w:tc>
          <w:tcPr>
            <w:tcW w:type="dxa" w:w="2880"/>
          </w:tcPr>
          <w:p>
            <w:r>
              <w:rPr>
                <w:sz w:val="19"/>
              </w:rPr>
              <w:t>Vamping</w:t>
            </w:r>
          </w:p>
        </w:tc>
        <w:tc>
          <w:tcPr>
            <w:tcW w:type="dxa" w:w="2880"/>
          </w:tcPr>
          <w:p>
            <w:r>
              <w:rPr>
                <w:sz w:val="19"/>
              </w:rPr>
              <w:t>Fórmula real, cópia verbatim</w:t>
            </w:r>
          </w:p>
        </w:tc>
        <w:tc>
          <w:tcPr>
            <w:tcW w:type="dxa" w:w="2880"/>
          </w:tcPr>
          <w:p>
            <w:r>
              <w:rPr>
                <w:sz w:val="19"/>
              </w:rPr>
              <w:t>Score 0–100 = 45%×frequência + 30%×volume + 25%×persistência de download na madrugada (00h–06h) acima de 10 MB; flag binário ≥4 noites/semana. Fórmula copiada sem alteração do JourneyGraph ISP Edition (14_calcular_vamping.py).</w:t>
            </w:r>
          </w:p>
        </w:tc>
      </w:tr>
      <w:tr>
        <w:tc>
          <w:tcPr>
            <w:tcW w:type="dxa" w:w="2880"/>
          </w:tcPr>
          <w:p>
            <w:r>
              <w:rPr>
                <w:sz w:val="19"/>
              </w:rPr>
              <w:t>Markov — Alertas por Persona</w:t>
            </w:r>
          </w:p>
        </w:tc>
        <w:tc>
          <w:tcPr>
            <w:tcW w:type="dxa" w:w="2880"/>
          </w:tcPr>
          <w:p>
            <w:r>
              <w:rPr>
                <w:sz w:val="19"/>
              </w:rPr>
              <w:t>Modelo estatístico real</w:t>
            </w:r>
          </w:p>
        </w:tc>
        <w:tc>
          <w:tcPr>
            <w:tcW w:type="dxa" w:w="2880"/>
          </w:tcPr>
          <w:p>
            <w:r>
              <w:rPr>
                <w:sz w:val="19"/>
              </w:rPr>
              <w:t>Matriz de transição contada por ocorrência real na série diária sintética de cada persona (4 estados: Normal/Atenção/Exceção/Crítico) — não uma cor fixa por limiar.</w:t>
            </w:r>
          </w:p>
        </w:tc>
      </w:tr>
      <w:tr>
        <w:tc>
          <w:tcPr>
            <w:tcW w:type="dxa" w:w="2880"/>
          </w:tcPr>
          <w:p>
            <w:r>
              <w:rPr>
                <w:sz w:val="19"/>
              </w:rPr>
              <w:t>Bayes por correlação — Alertas por Persona/Rede (Etapa 2)</w:t>
            </w:r>
          </w:p>
        </w:tc>
        <w:tc>
          <w:tcPr>
            <w:tcW w:type="dxa" w:w="2880"/>
          </w:tcPr>
          <w:p>
            <w:r>
              <w:rPr>
                <w:sz w:val="19"/>
              </w:rPr>
              <w:t>Cálculo estatístico real</w:t>
            </w:r>
          </w:p>
        </w:tc>
        <w:tc>
          <w:tcPr>
            <w:tcW w:type="dxa" w:w="2880"/>
          </w:tcPr>
          <w:p>
            <w:r>
              <w:rPr>
                <w:sz w:val="19"/>
              </w:rPr>
              <w:t>Evidência = correlação de Pearson real entre séries diárias (drop × congestionamento/tráfego/sessões/mix WCDMA), normalizada em posterior — mais simples que a rede Bayesiana ingênua de §2.5 seguinte, usada como primeira camada de causa provável.</w:t>
            </w:r>
          </w:p>
        </w:tc>
      </w:tr>
      <w:tr>
        <w:tc>
          <w:tcPr>
            <w:tcW w:type="dxa" w:w="2880"/>
          </w:tcPr>
          <w:p>
            <w:r>
              <w:rPr>
                <w:sz w:val="19"/>
              </w:rPr>
              <w:t>Rede Bayesiana ingênua — Alertas de Rede priorizados (Etapa 4)</w:t>
            </w:r>
          </w:p>
        </w:tc>
        <w:tc>
          <w:tcPr>
            <w:tcW w:type="dxa" w:w="2880"/>
          </w:tcPr>
          <w:p>
            <w:r>
              <w:rPr>
                <w:sz w:val="19"/>
              </w:rPr>
              <w:t>Modelo estatístico real</w:t>
            </w:r>
          </w:p>
        </w:tc>
        <w:tc>
          <w:tcPr>
            <w:tcW w:type="dxa" w:w="2880"/>
          </w:tcPr>
          <w:p>
            <w:r>
              <w:rPr>
                <w:sz w:val="19"/>
              </w:rPr>
              <w:t>6 causas candidatas nomeadas (sobrecarga de rede, saturação de backhaul, sinalização MME, cobertura RF legada, falha de energia de site, falha de equipamento ativo), cada uma com prior fixo (0,10–0,20, somando 1,0) e tabela de likelihood sobre 8 evidências binárias reais por nó (é SPOF, blast radius pequeno/amplo, outlier de drop/congestionamento, queda de tráfego, nível de site/agregação). Posterior calculado via Bayes ingênuo (naive Bayes) — mesma arquitetura do NetGraph §5.3, causas recalibradas para rede móvel.</w:t>
            </w:r>
          </w:p>
        </w:tc>
      </w:tr>
      <w:tr>
        <w:tc>
          <w:tcPr>
            <w:tcW w:type="dxa" w:w="2880"/>
          </w:tcPr>
          <w:p>
            <w:r>
              <w:rPr>
                <w:sz w:val="19"/>
              </w:rPr>
              <w:t>Detector de Outlier (MAD)</w:t>
            </w:r>
          </w:p>
        </w:tc>
        <w:tc>
          <w:tcPr>
            <w:tcW w:type="dxa" w:w="2880"/>
          </w:tcPr>
          <w:p>
            <w:r>
              <w:rPr>
                <w:sz w:val="19"/>
              </w:rPr>
              <w:t>Cálculo estatístico real</w:t>
            </w:r>
          </w:p>
        </w:tc>
        <w:tc>
          <w:tcPr>
            <w:tcW w:type="dxa" w:w="2880"/>
          </w:tcPr>
          <w:p>
            <w:r>
              <w:rPr>
                <w:sz w:val="19"/>
              </w:rPr>
              <w:t>Mediana + desvio absoluto mediano (MAD), z robusto = 0,6745×(x−mediana)/MAD, limiar |z|&gt;3,5 (Iglewicz &amp; Hoya, 1993) — aplicado a drop/congestionamento por site e tráfego por site/SGW/PGW.</w:t>
            </w:r>
          </w:p>
        </w:tc>
      </w:tr>
      <w:tr>
        <w:tc>
          <w:tcPr>
            <w:tcW w:type="dxa" w:w="2880"/>
          </w:tcPr>
          <w:p>
            <w:r>
              <w:rPr>
                <w:sz w:val="19"/>
              </w:rPr>
              <w:t>Filtro Bayesiano Recursivo (aba Outliers)</w:t>
            </w:r>
          </w:p>
        </w:tc>
        <w:tc>
          <w:tcPr>
            <w:tcW w:type="dxa" w:w="2880"/>
          </w:tcPr>
          <w:p>
            <w:r>
              <w:rPr>
                <w:sz w:val="19"/>
              </w:rPr>
              <w:t>Modelo estatístico real</w:t>
            </w:r>
          </w:p>
        </w:tc>
        <w:tc>
          <w:tcPr>
            <w:tcW w:type="dxa" w:w="2880"/>
          </w:tcPr>
          <w:p>
            <w:r>
              <w:rPr>
                <w:sz w:val="19"/>
              </w:rPr>
              <w:t>Modelo local-level (equivalente a um filtro de Kalman): estimativa do nível esperado atualizada a cada dia via máximo a posteriori, com 1 parâmetro de sensibilidade (razão ruído-de-processo/ruído-de-observação, ajustável na tela); z-score do erro de predição classifica em anomalia fraca (|z|&gt;2) ou forte (|z|&gt;3). Ruído de observação estimado por diferenças sucessivas (von Neumann), não pela variância bruta da série (que fica contaminada pela própria tendência).</w:t>
            </w:r>
          </w:p>
        </w:tc>
      </w:tr>
      <w:tr>
        <w:tc>
          <w:tcPr>
            <w:tcW w:type="dxa" w:w="2880"/>
          </w:tcPr>
          <w:p>
            <w:r>
              <w:rPr>
                <w:sz w:val="19"/>
              </w:rPr>
              <w:t>Projeção de Capacidade</w:t>
            </w:r>
          </w:p>
        </w:tc>
        <w:tc>
          <w:tcPr>
            <w:tcW w:type="dxa" w:w="2880"/>
          </w:tcPr>
          <w:p>
            <w:r>
              <w:rPr>
                <w:sz w:val="19"/>
              </w:rPr>
              <w:t>Regressão real</w:t>
            </w:r>
          </w:p>
        </w:tc>
        <w:tc>
          <w:tcPr>
            <w:tcW w:type="dxa" w:w="2880"/>
          </w:tcPr>
          <w:p>
            <w:r>
              <w:rPr>
                <w:sz w:val="19"/>
              </w:rPr>
              <w:t>Regressão linear por mínimos quadrados sobre a série de 15 dias de tráfego, com intervalo de confiança de 95% no coeficiente angular — projeta quando o nó atinge 90% do próprio pico observado na janela (sem dado de capacidade nominal de equipamento na base).</w:t>
            </w:r>
          </w:p>
        </w:tc>
      </w:tr>
      <w:tr>
        <w:tc>
          <w:tcPr>
            <w:tcW w:type="dxa" w:w="2880"/>
          </w:tcPr>
          <w:p>
            <w:r>
              <w:rPr>
                <w:sz w:val="19"/>
              </w:rPr>
              <w:t>Centralidade estrutural e SPOF</w:t>
            </w:r>
          </w:p>
        </w:tc>
        <w:tc>
          <w:tcPr>
            <w:tcW w:type="dxa" w:w="2880"/>
          </w:tcPr>
          <w:p>
            <w:r>
              <w:rPr>
                <w:sz w:val="19"/>
              </w:rPr>
              <w:t>Cálculo estrutural real</w:t>
            </w:r>
          </w:p>
        </w:tc>
        <w:tc>
          <w:tcPr>
            <w:tcW w:type="dxa" w:w="2880"/>
          </w:tcPr>
          <w:p>
            <w:r>
              <w:rPr>
                <w:sz w:val="19"/>
              </w:rPr>
              <w:t>Centralidade: proxy fechado de betweenness numa árvore — tamanho_subárvore(v)×(N−tamanho_subárvore(v)), normalizado 0–100. SPOF: todo SGW/PGW é ponto único de falha por construção (sem dado de redundância de enlace na base) — mesma fórmula do NetGraph §5.1.</w:t>
            </w:r>
          </w:p>
        </w:tc>
      </w:tr>
      <w:tr>
        <w:tc>
          <w:tcPr>
            <w:tcW w:type="dxa" w:w="2880"/>
          </w:tcPr>
          <w:p>
            <w:r>
              <w:rPr>
                <w:sz w:val="19"/>
              </w:rPr>
              <w:t>Score de Priorização de Alertas de Rede</w:t>
            </w:r>
          </w:p>
        </w:tc>
        <w:tc>
          <w:tcPr>
            <w:tcW w:type="dxa" w:w="2880"/>
          </w:tcPr>
          <w:p>
            <w:r>
              <w:rPr>
                <w:sz w:val="19"/>
              </w:rPr>
              <w:t>Score combinado, determinístico</w:t>
            </w:r>
          </w:p>
        </w:tc>
        <w:tc>
          <w:tcPr>
            <w:tcW w:type="dxa" w:w="2880"/>
          </w:tcPr>
          <w:p>
            <w:r>
              <w:rPr>
                <w:sz w:val="19"/>
              </w:rPr>
              <w:t>Gravidade técnica (estado 40% + Markov 25% + outlier 20% + SPOF 15%) × Impacto de negócio (assinantes em log-escala 40% + segmento de alto valor 20% + CRM sintético 20% + Ouvidoria 20%); score final = média simples dos dois — mesmos pesos do NetGraph §5.5.</w:t>
            </w:r>
          </w:p>
        </w:tc>
      </w:tr>
      <w:tr>
        <w:tc>
          <w:tcPr>
            <w:tcW w:type="dxa" w:w="2880"/>
          </w:tcPr>
          <w:p>
            <w:r>
              <w:rPr>
                <w:sz w:val="19"/>
              </w:rPr>
              <w:t>Voronoi</w:t>
            </w:r>
          </w:p>
        </w:tc>
        <w:tc>
          <w:tcPr>
            <w:tcW w:type="dxa" w:w="2880"/>
          </w:tcPr>
          <w:p>
            <w:r>
              <w:rPr>
                <w:sz w:val="19"/>
              </w:rPr>
              <w:t>Cálculo geométrico real</w:t>
            </w:r>
          </w:p>
        </w:tc>
        <w:tc>
          <w:tcPr>
            <w:tcW w:type="dxa" w:w="2880"/>
          </w:tcPr>
          <w:p>
            <w:r>
              <w:rPr>
                <w:sz w:val="19"/>
              </w:rPr>
              <w:t>Tesselação de Voronoi (d3.Delaunay) sobre os 213 sites físicos (antenas deduplicadas por coordenada); assinantes redistribuídos proporcionalmente à área da célula dentro do cluster; indicadores de qualidade herdados do cluster pai (rotulado como tal na interface).</w:t>
            </w:r>
          </w:p>
        </w:tc>
      </w:tr>
      <w:tr>
        <w:tc>
          <w:tcPr>
            <w:tcW w:type="dxa" w:w="2880"/>
          </w:tcPr>
          <w:p>
            <w:r>
              <w:rPr>
                <w:sz w:val="19"/>
              </w:rPr>
              <w:t>Assistente RAG/SLM</w:t>
            </w:r>
          </w:p>
        </w:tc>
        <w:tc>
          <w:tcPr>
            <w:tcW w:type="dxa" w:w="2880"/>
          </w:tcPr>
          <w:p>
            <w:r>
              <w:rPr>
                <w:sz w:val="19"/>
              </w:rPr>
              <w:t>Mock por palavras-chave</w:t>
            </w:r>
          </w:p>
        </w:tc>
        <w:tc>
          <w:tcPr>
            <w:tcW w:type="dxa" w:w="2880"/>
          </w:tcPr>
          <w:p>
            <w:r>
              <w:rPr>
                <w:sz w:val="19"/>
              </w:rPr>
              <w:t>Busca lexical sobre corpus estático de 13 documentos — sem embeddings, sem LLM real de produção. O Assistente narra os modelos acima corretamente; ele próprio não é um dos modelos reais.</w:t>
            </w:r>
          </w:p>
        </w:tc>
      </w:tr>
    </w:tbl>
    <w:p/>
    <w:p>
      <w:r>
        <w:br w:type="page"/>
      </w:r>
    </w:p>
    <w:p>
      <w:pPr>
        <w:pStyle w:val="Heading1"/>
      </w:pPr>
      <w:r>
        <w:t>3. Data Reference</w:t>
      </w:r>
    </w:p>
    <w:p>
      <w:pPr>
        <w:pStyle w:val="Heading2"/>
      </w:pPr>
      <w:r>
        <w:t>3.1 Dicionário de Dados</w:t>
      </w:r>
    </w:p>
    <w:p>
      <w:pPr>
        <w:pStyle w:val="Heading3"/>
      </w:pPr>
      <w:r>
        <w:t>Nó de Rede (site/SGW/PGW)</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3050"/>
          </w:tcPr>
          <w:p>
            <w:r>
              <w:rPr>
                <w:b/>
                <w:color w:val="FFFFFF"/>
                <w:sz w:val="19"/>
              </w:rPr>
              <w:t>Campo</w:t>
            </w:r>
          </w:p>
        </w:tc>
        <w:tc>
          <w:tcPr>
            <w:tcW w:type="dxa" w:w="2880"/>
            <w:shd w:val="clear" w:color="auto" w:fill="1A3050"/>
          </w:tcPr>
          <w:p>
            <w:r>
              <w:rPr>
                <w:b/>
                <w:color w:val="FFFFFF"/>
                <w:sz w:val="19"/>
              </w:rPr>
              <w:t>Tipo</w:t>
            </w:r>
          </w:p>
        </w:tc>
        <w:tc>
          <w:tcPr>
            <w:tcW w:type="dxa" w:w="2880"/>
            <w:shd w:val="clear" w:color="auto" w:fill="1A3050"/>
          </w:tcPr>
          <w:p>
            <w:r>
              <w:rPr>
                <w:b/>
                <w:color w:val="FFFFFF"/>
                <w:sz w:val="19"/>
              </w:rPr>
              <w:t>Uso no produto</w:t>
            </w:r>
          </w:p>
        </w:tc>
      </w:tr>
      <w:tr>
        <w:tc>
          <w:tcPr>
            <w:tcW w:type="dxa" w:w="2880"/>
          </w:tcPr>
          <w:p>
            <w:r>
              <w:rPr>
                <w:sz w:val="19"/>
              </w:rPr>
              <w:t>n_usuarios_est</w:t>
            </w:r>
          </w:p>
        </w:tc>
        <w:tc>
          <w:tcPr>
            <w:tcW w:type="dxa" w:w="2880"/>
          </w:tcPr>
          <w:p>
            <w:r>
              <w:rPr>
                <w:sz w:val="19"/>
              </w:rPr>
              <w:t>float</w:t>
            </w:r>
          </w:p>
        </w:tc>
        <w:tc>
          <w:tcPr>
            <w:tcW w:type="dxa" w:w="2880"/>
          </w:tcPr>
          <w:p>
            <w:r>
              <w:rPr>
                <w:sz w:val="19"/>
              </w:rPr>
              <w:t>Blast radius — assinantes downstream, distribuído proporcionalmente por setores dentro do cluster</w:t>
            </w:r>
          </w:p>
        </w:tc>
      </w:tr>
      <w:tr>
        <w:tc>
          <w:tcPr>
            <w:tcW w:type="dxa" w:w="2880"/>
          </w:tcPr>
          <w:p>
            <w:r>
              <w:rPr>
                <w:sz w:val="19"/>
              </w:rPr>
              <w:t>drop_medio, cong_medio</w:t>
            </w:r>
          </w:p>
        </w:tc>
        <w:tc>
          <w:tcPr>
            <w:tcW w:type="dxa" w:w="2880"/>
          </w:tcPr>
          <w:p>
            <w:r>
              <w:rPr>
                <w:sz w:val="19"/>
              </w:rPr>
              <w:t>float</w:t>
            </w:r>
          </w:p>
        </w:tc>
        <w:tc>
          <w:tcPr>
            <w:tcW w:type="dxa" w:w="2880"/>
          </w:tcPr>
          <w:p>
            <w:r>
              <w:rPr>
                <w:sz w:val="19"/>
              </w:rPr>
              <w:t>Qualidade herdada do cluster pai; insumo direto de Markov/Bayes/outlier</w:t>
            </w:r>
          </w:p>
        </w:tc>
      </w:tr>
      <w:tr>
        <w:tc>
          <w:tcPr>
            <w:tcW w:type="dxa" w:w="2880"/>
          </w:tcPr>
          <w:p>
            <w:r>
              <w:rPr>
                <w:sz w:val="19"/>
              </w:rPr>
              <w:t>sgw_id, pgw_upf_id, mme_amf_id</w:t>
            </w:r>
          </w:p>
        </w:tc>
        <w:tc>
          <w:tcPr>
            <w:tcW w:type="dxa" w:w="2880"/>
          </w:tcPr>
          <w:p>
            <w:r>
              <w:rPr>
                <w:sz w:val="19"/>
              </w:rPr>
              <w:t>string</w:t>
            </w:r>
          </w:p>
        </w:tc>
        <w:tc>
          <w:tcPr>
            <w:tcW w:type="dxa" w:w="2880"/>
          </w:tcPr>
          <w:p>
            <w:r>
              <w:rPr>
                <w:sz w:val="19"/>
              </w:rPr>
              <w:t>Atribuição hash determinística — define a árvore Core→PGW→SGW→Site</w:t>
            </w:r>
          </w:p>
        </w:tc>
      </w:tr>
      <w:tr>
        <w:tc>
          <w:tcPr>
            <w:tcW w:type="dxa" w:w="2880"/>
          </w:tcPr>
          <w:p>
            <w:r>
              <w:rPr>
                <w:sz w:val="19"/>
              </w:rPr>
              <w:t>area_nome</w:t>
            </w:r>
          </w:p>
        </w:tc>
        <w:tc>
          <w:tcPr>
            <w:tcW w:type="dxa" w:w="2880"/>
          </w:tcPr>
          <w:p>
            <w:r>
              <w:rPr>
                <w:sz w:val="19"/>
              </w:rPr>
              <w:t>string</w:t>
            </w:r>
          </w:p>
        </w:tc>
        <w:tc>
          <w:tcPr>
            <w:tcW w:type="dxa" w:w="2880"/>
          </w:tcPr>
          <w:p>
            <w:r>
              <w:rPr>
                <w:sz w:val="19"/>
              </w:rPr>
              <w:t>Região Administrativa do DF mais próxima, com desambiguação (ver §Ressalvas)</w:t>
            </w:r>
          </w:p>
        </w:tc>
      </w:tr>
    </w:tbl>
    <w:p/>
    <w:p>
      <w:pPr>
        <w:pStyle w:val="Heading3"/>
      </w:pPr>
      <w:r>
        <w:t>Série temporal por nó (RAW.series_rede)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3050"/>
          </w:tcPr>
          <w:p>
            <w:r>
              <w:rPr>
                <w:b/>
                <w:color w:val="FFFFFF"/>
                <w:sz w:val="19"/>
              </w:rPr>
              <w:t>Campo</w:t>
            </w:r>
          </w:p>
        </w:tc>
        <w:tc>
          <w:tcPr>
            <w:tcW w:type="dxa" w:w="2880"/>
            <w:shd w:val="clear" w:color="auto" w:fill="1A3050"/>
          </w:tcPr>
          <w:p>
            <w:r>
              <w:rPr>
                <w:b/>
                <w:color w:val="FFFFFF"/>
                <w:sz w:val="19"/>
              </w:rPr>
              <w:t>Tipo</w:t>
            </w:r>
          </w:p>
        </w:tc>
        <w:tc>
          <w:tcPr>
            <w:tcW w:type="dxa" w:w="2880"/>
            <w:shd w:val="clear" w:color="auto" w:fill="1A3050"/>
          </w:tcPr>
          <w:p>
            <w:r>
              <w:rPr>
                <w:b/>
                <w:color w:val="FFFFFF"/>
                <w:sz w:val="19"/>
              </w:rPr>
              <w:t>Uso no produto</w:t>
            </w:r>
          </w:p>
        </w:tc>
      </w:tr>
      <w:tr>
        <w:tc>
          <w:tcPr>
            <w:tcW w:type="dxa" w:w="2880"/>
          </w:tcPr>
          <w:p>
            <w:r>
              <w:rPr>
                <w:sz w:val="19"/>
              </w:rPr>
              <w:t>dias</w:t>
            </w:r>
          </w:p>
        </w:tc>
        <w:tc>
          <w:tcPr>
            <w:tcW w:type="dxa" w:w="2880"/>
          </w:tcPr>
          <w:p>
            <w:r>
              <w:rPr>
                <w:sz w:val="19"/>
              </w:rPr>
              <w:t>array[string] (15)</w:t>
            </w:r>
          </w:p>
        </w:tc>
        <w:tc>
          <w:tcPr>
            <w:tcW w:type="dxa" w:w="2880"/>
          </w:tcPr>
          <w:p>
            <w:r>
              <w:rPr>
                <w:sz w:val="19"/>
              </w:rPr>
              <w:t>Eixo temporal dos gráficos da aba Outliers</w:t>
            </w:r>
          </w:p>
        </w:tc>
      </w:tr>
      <w:tr>
        <w:tc>
          <w:tcPr>
            <w:tcW w:type="dxa" w:w="2880"/>
          </w:tcPr>
          <w:p>
            <w:r>
              <w:rPr>
                <w:sz w:val="19"/>
              </w:rPr>
              <w:t>trafego_gb</w:t>
            </w:r>
          </w:p>
        </w:tc>
        <w:tc>
          <w:tcPr>
            <w:tcW w:type="dxa" w:w="2880"/>
          </w:tcPr>
          <w:p>
            <w:r>
              <w:rPr>
                <w:sz w:val="19"/>
              </w:rPr>
              <w:t>array[float] (15)</w:t>
            </w:r>
          </w:p>
        </w:tc>
        <w:tc>
          <w:tcPr>
            <w:tcW w:type="dxa" w:w="2880"/>
          </w:tcPr>
          <w:p>
            <w:r>
              <w:rPr>
                <w:sz w:val="19"/>
              </w:rPr>
              <w:t>Tráfego total diário — insumo de MAD, filtro Bayesiano recursivo e regressão de capacidade</w:t>
            </w:r>
          </w:p>
        </w:tc>
      </w:tr>
      <w:tr>
        <w:tc>
          <w:tcPr>
            <w:tcW w:type="dxa" w:w="2880"/>
          </w:tcPr>
          <w:p>
            <w:r>
              <w:rPr>
                <w:sz w:val="19"/>
              </w:rPr>
              <w:t>drop_pct, cong</w:t>
            </w:r>
          </w:p>
        </w:tc>
        <w:tc>
          <w:tcPr>
            <w:tcW w:type="dxa" w:w="2880"/>
          </w:tcPr>
          <w:p>
            <w:r>
              <w:rPr>
                <w:sz w:val="19"/>
              </w:rPr>
              <w:t>array[float] (15)</w:t>
            </w:r>
          </w:p>
        </w:tc>
        <w:tc>
          <w:tcPr>
            <w:tcW w:type="dxa" w:w="2880"/>
          </w:tcPr>
          <w:p>
            <w:r>
              <w:rPr>
                <w:sz w:val="19"/>
              </w:rPr>
              <w:t>Drop e congestionamento diários — insumo de MAD, filtro Bayesiano recursivo e evidência da rede Bayesiana de causa-raiz</w:t>
            </w:r>
          </w:p>
        </w:tc>
      </w:tr>
    </w:tbl>
    <w:p/>
    <w:p>
      <w:pPr>
        <w:pStyle w:val="Heading3"/>
      </w:pPr>
      <w:r>
        <w:t>Alerta de Rede priorizado (calculado em runtime, não persistido)</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3050"/>
          </w:tcPr>
          <w:p>
            <w:r>
              <w:rPr>
                <w:b/>
                <w:color w:val="FFFFFF"/>
                <w:sz w:val="19"/>
              </w:rPr>
              <w:t>Campo</w:t>
            </w:r>
          </w:p>
        </w:tc>
        <w:tc>
          <w:tcPr>
            <w:tcW w:type="dxa" w:w="4320"/>
            <w:shd w:val="clear" w:color="auto" w:fill="1A3050"/>
          </w:tcPr>
          <w:p>
            <w:r>
              <w:rPr>
                <w:b/>
                <w:color w:val="FFFFFF"/>
                <w:sz w:val="19"/>
              </w:rPr>
              <w:t>Uso no produto</w:t>
            </w:r>
          </w:p>
        </w:tc>
      </w:tr>
      <w:tr>
        <w:tc>
          <w:tcPr>
            <w:tcW w:type="dxa" w:w="4320"/>
          </w:tcPr>
          <w:p>
            <w:r>
              <w:rPr>
                <w:sz w:val="19"/>
              </w:rPr>
              <w:t>score.gravidade / score.impacto / score.score</w:t>
            </w:r>
          </w:p>
        </w:tc>
        <w:tc>
          <w:tcPr>
            <w:tcW w:type="dxa" w:w="4320"/>
          </w:tcPr>
          <w:p>
            <w:r>
              <w:rPr>
                <w:sz w:val="19"/>
              </w:rPr>
              <w:t>Os três números que ordenam a lista priorizada — decompostos na seção 5 da explicabilidade</w:t>
            </w:r>
          </w:p>
        </w:tc>
      </w:tr>
      <w:tr>
        <w:tc>
          <w:tcPr>
            <w:tcW w:type="dxa" w:w="4320"/>
          </w:tcPr>
          <w:p>
            <w:r>
              <w:rPr>
                <w:sz w:val="19"/>
              </w:rPr>
              <w:t>bayes.posterior</w:t>
            </w:r>
          </w:p>
        </w:tc>
        <w:tc>
          <w:tcPr>
            <w:tcW w:type="dxa" w:w="4320"/>
          </w:tcPr>
          <w:p>
            <w:r>
              <w:rPr>
                <w:sz w:val="19"/>
              </w:rPr>
              <w:t>As 6 causas candidatas com probabilidade posterior, ordenadas — seção 2 da explicabilidade</w:t>
            </w:r>
          </w:p>
        </w:tc>
      </w:tr>
      <w:tr>
        <w:tc>
          <w:tcPr>
            <w:tcW w:type="dxa" w:w="4320"/>
          </w:tcPr>
          <w:p>
            <w:r>
              <w:rPr>
                <w:sz w:val="19"/>
              </w:rPr>
              <w:t>score.centralidade, score.spof</w:t>
            </w:r>
          </w:p>
        </w:tc>
        <w:tc>
          <w:tcPr>
            <w:tcW w:type="dxa" w:w="4320"/>
          </w:tcPr>
          <w:p>
            <w:r>
              <w:rPr>
                <w:sz w:val="19"/>
              </w:rPr>
              <w:t>Seção 4 da explicabilidade (blast radius / estrutura)</w:t>
            </w:r>
          </w:p>
        </w:tc>
      </w:tr>
      <w:tr>
        <w:tc>
          <w:tcPr>
            <w:tcW w:type="dxa" w:w="4320"/>
          </w:tcPr>
          <w:p>
            <w:r>
              <w:rPr>
                <w:sz w:val="19"/>
              </w:rPr>
              <w:t>score.crmTotal, score.ouvidoria</w:t>
            </w:r>
          </w:p>
        </w:tc>
        <w:tc>
          <w:tcPr>
            <w:tcW w:type="dxa" w:w="4320"/>
          </w:tcPr>
          <w:p>
            <w:r>
              <w:rPr>
                <w:sz w:val="19"/>
              </w:rPr>
              <w:t>Seção 5 da explicabilidade — eixo de impacto de negócio</w:t>
            </w:r>
          </w:p>
        </w:tc>
      </w:tr>
    </w:tbl>
    <w:p/>
    <w:p>
      <w:pPr>
        <w:pStyle w:val="Heading3"/>
      </w:pPr>
      <w:r>
        <w:t>Schema do Corpus do Assistente</w:t>
      </w:r>
    </w:p>
    <w:p>
      <w:r>
        <w:rPr>
          <w:b w:val="0"/>
          <w:i w:val="0"/>
        </w:rPr>
        <w:t>JSON estrito com aspas nas chaves — {"id","corpus","secao","titulo","fonte","texto"} — mesma sintaxe do JourneyGraph (ISP Edition), schema mínimo definido no padrão de documentação §5. 13 documentos, cobrindo metodologia (Vamping, IPED, Markov/Bayes por persona, topologia de rede, Alertas de Rede priorizados, filtro Bayesiano recursivo), dados/proveniência, privacidade/LGPD e glossário técnico (RAT, ecgi).</w:t>
      </w:r>
    </w:p>
    <w:p>
      <w:pPr>
        <w:pStyle w:val="Heading2"/>
      </w:pPr>
      <w:r>
        <w:t>3.2 Volumetria</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3050"/>
          </w:tcPr>
          <w:p>
            <w:r>
              <w:rPr>
                <w:b/>
                <w:color w:val="FFFFFF"/>
                <w:sz w:val="19"/>
              </w:rPr>
              <w:t>Métrica</w:t>
            </w:r>
          </w:p>
        </w:tc>
        <w:tc>
          <w:tcPr>
            <w:tcW w:type="dxa" w:w="4320"/>
            <w:shd w:val="clear" w:color="auto" w:fill="1A3050"/>
          </w:tcPr>
          <w:p>
            <w:r>
              <w:rPr>
                <w:b/>
                <w:color w:val="FFFFFF"/>
                <w:sz w:val="19"/>
              </w:rPr>
              <w:t>Valor de referência</w:t>
            </w:r>
          </w:p>
        </w:tc>
      </w:tr>
      <w:tr>
        <w:tc>
          <w:tcPr>
            <w:tcW w:type="dxa" w:w="4320"/>
          </w:tcPr>
          <w:p>
            <w:r>
              <w:rPr>
                <w:sz w:val="19"/>
              </w:rPr>
              <w:t>Antenas Anatel (Claro, Brasília/DF)</w:t>
            </w:r>
          </w:p>
        </w:tc>
        <w:tc>
          <w:tcPr>
            <w:tcW w:type="dxa" w:w="4320"/>
          </w:tcPr>
          <w:p>
            <w:r>
              <w:rPr>
                <w:sz w:val="19"/>
              </w:rPr>
              <w:t>4.186</w:t>
            </w:r>
          </w:p>
        </w:tc>
      </w:tr>
      <w:tr>
        <w:tc>
          <w:tcPr>
            <w:tcW w:type="dxa" w:w="4320"/>
          </w:tcPr>
          <w:p>
            <w:r>
              <w:rPr>
                <w:sz w:val="19"/>
              </w:rPr>
              <w:t>Clusters (K-Means)</w:t>
            </w:r>
          </w:p>
        </w:tc>
        <w:tc>
          <w:tcPr>
            <w:tcW w:type="dxa" w:w="4320"/>
          </w:tcPr>
          <w:p>
            <w:r>
              <w:rPr>
                <w:sz w:val="19"/>
              </w:rPr>
              <w:t>35</w:t>
            </w:r>
          </w:p>
        </w:tc>
      </w:tr>
      <w:tr>
        <w:tc>
          <w:tcPr>
            <w:tcW w:type="dxa" w:w="4320"/>
          </w:tcPr>
          <w:p>
            <w:r>
              <w:rPr>
                <w:sz w:val="19"/>
              </w:rPr>
              <w:t>Assinantes sintéticos</w:t>
            </w:r>
          </w:p>
        </w:tc>
        <w:tc>
          <w:tcPr>
            <w:tcW w:type="dxa" w:w="4320"/>
          </w:tcPr>
          <w:p>
            <w:r>
              <w:rPr>
                <w:sz w:val="19"/>
              </w:rPr>
              <w:t>100.000 (~6,7% da base estimada de 1,5M linhas Claro na cidade)</w:t>
            </w:r>
          </w:p>
        </w:tc>
      </w:tr>
      <w:tr>
        <w:tc>
          <w:tcPr>
            <w:tcW w:type="dxa" w:w="4320"/>
          </w:tcPr>
          <w:p>
            <w:r>
              <w:rPr>
                <w:sz w:val="19"/>
              </w:rPr>
              <w:t>Janela temporal</w:t>
            </w:r>
          </w:p>
        </w:tc>
        <w:tc>
          <w:tcPr>
            <w:tcW w:type="dxa" w:w="4320"/>
          </w:tcPr>
          <w:p>
            <w:r>
              <w:rPr>
                <w:sz w:val="19"/>
              </w:rPr>
              <w:t>15 dias (2026-03-01 a 2026-03-15)</w:t>
            </w:r>
          </w:p>
        </w:tc>
      </w:tr>
      <w:tr>
        <w:tc>
          <w:tcPr>
            <w:tcW w:type="dxa" w:w="4320"/>
          </w:tcPr>
          <w:p>
            <w:r>
              <w:rPr>
                <w:sz w:val="19"/>
              </w:rPr>
              <w:t>Linhas de CDR sintético</w:t>
            </w:r>
          </w:p>
        </w:tc>
        <w:tc>
          <w:tcPr>
            <w:tcW w:type="dxa" w:w="4320"/>
          </w:tcPr>
          <w:p>
            <w:r>
              <w:rPr>
                <w:sz w:val="19"/>
              </w:rPr>
              <w:t>4.610.999</w:t>
            </w:r>
          </w:p>
        </w:tc>
      </w:tr>
      <w:tr>
        <w:tc>
          <w:tcPr>
            <w:tcW w:type="dxa" w:w="4320"/>
          </w:tcPr>
          <w:p>
            <w:r>
              <w:rPr>
                <w:sz w:val="19"/>
              </w:rPr>
              <w:t>Personas</w:t>
            </w:r>
          </w:p>
        </w:tc>
        <w:tc>
          <w:tcPr>
            <w:tcW w:type="dxa" w:w="4320"/>
          </w:tcPr>
          <w:p>
            <w:r>
              <w:rPr>
                <w:sz w:val="19"/>
              </w:rPr>
              <w:t>9 (K=9)</w:t>
            </w:r>
          </w:p>
        </w:tc>
      </w:tr>
      <w:tr>
        <w:tc>
          <w:tcPr>
            <w:tcW w:type="dxa" w:w="4320"/>
          </w:tcPr>
          <w:p>
            <w:r>
              <w:rPr>
                <w:sz w:val="19"/>
              </w:rPr>
              <w:t>Pares Origem-Destino (K-anonimato K=3)</w:t>
            </w:r>
          </w:p>
        </w:tc>
        <w:tc>
          <w:tcPr>
            <w:tcW w:type="dxa" w:w="4320"/>
          </w:tcPr>
          <w:p>
            <w:r>
              <w:rPr>
                <w:sz w:val="19"/>
              </w:rPr>
              <w:t>1.156 de 1.182 (2,2% suprimidos)</w:t>
            </w:r>
          </w:p>
        </w:tc>
      </w:tr>
      <w:tr>
        <w:tc>
          <w:tcPr>
            <w:tcW w:type="dxa" w:w="4320"/>
          </w:tcPr>
          <w:p>
            <w:r>
              <w:rPr>
                <w:sz w:val="19"/>
              </w:rPr>
              <w:t>Sites/SGW/PGW/MME na topologia de rede</w:t>
            </w:r>
          </w:p>
        </w:tc>
        <w:tc>
          <w:tcPr>
            <w:tcW w:type="dxa" w:w="4320"/>
          </w:tcPr>
          <w:p>
            <w:r>
              <w:rPr>
                <w:sz w:val="19"/>
              </w:rPr>
              <w:t>213 / 6 / 3 / 6</w:t>
            </w:r>
          </w:p>
        </w:tc>
      </w:tr>
      <w:tr>
        <w:tc>
          <w:tcPr>
            <w:tcW w:type="dxa" w:w="4320"/>
          </w:tcPr>
          <w:p>
            <w:r>
              <w:rPr>
                <w:sz w:val="19"/>
              </w:rPr>
              <w:t>Alertas de Rede priorizados (candidatos filtrados)</w:t>
            </w:r>
          </w:p>
        </w:tc>
        <w:tc>
          <w:tcPr>
            <w:tcW w:type="dxa" w:w="4320"/>
          </w:tcPr>
          <w:p>
            <w:r>
              <w:rPr>
                <w:sz w:val="19"/>
              </w:rPr>
              <w:t>37 (de 222 nós na árvore de dados)</w:t>
            </w:r>
          </w:p>
        </w:tc>
      </w:tr>
      <w:tr>
        <w:tc>
          <w:tcPr>
            <w:tcW w:type="dxa" w:w="4320"/>
          </w:tcPr>
          <w:p>
            <w:r>
              <w:rPr>
                <w:sz w:val="19"/>
              </w:rPr>
              <w:t>Causas candidatas — rede Bayesiana</w:t>
            </w:r>
          </w:p>
        </w:tc>
        <w:tc>
          <w:tcPr>
            <w:tcW w:type="dxa" w:w="4320"/>
          </w:tcPr>
          <w:p>
            <w:r>
              <w:rPr>
                <w:sz w:val="19"/>
              </w:rPr>
              <w:t>6 (priors de 0,10 a 0,20, somando 1,0)</w:t>
            </w:r>
          </w:p>
        </w:tc>
      </w:tr>
    </w:tbl>
    <w:p/>
    <w:p>
      <w:pPr>
        <w:pStyle w:val="Heading2"/>
      </w:pPr>
      <w:r>
        <w:t>3.3 Esquema de Saída</w:t>
      </w:r>
    </w:p>
    <w:p>
      <w:r>
        <w:rPr>
          <w:b w:val="0"/>
          <w:i w:val="0"/>
        </w:rPr>
        <w:t>Toda a base (RAW) é um único objeto JSON embutido em journeygraph-mno/index.html — não há exportação estruturada, API ou persistência em banco de dados. O pipeline de geração produz, além do RAW final, artefatos intermediários (CSV/Parquet) usados apenas dentro do próprio pipeline, não publicados no repositório versionado pelo Git.</w:t>
      </w:r>
    </w:p>
    <w:p>
      <w:r>
        <w:br w:type="page"/>
      </w:r>
    </w:p>
    <w:p>
      <w:pPr>
        <w:pStyle w:val="Heading1"/>
      </w:pPr>
      <w:r>
        <w:t>4. Base Metodológica</w:t>
      </w:r>
    </w:p>
    <w:p>
      <w:pPr>
        <w:pStyle w:val="Heading2"/>
      </w:pPr>
      <w:r>
        <w:t>4.1 Bases Teóricas dos Algoritmos</w:t>
      </w:r>
    </w:p>
    <w:p>
      <w:pPr>
        <w:pStyle w:val="ListBullet"/>
      </w:pPr>
      <w:r>
        <w:t>K-Means + XGBoost: clustering não supervisionado (MiniBatchKMeans) seguido de classificador supervisionado (XGBoost) treinado sobre os próprios rótulos do K-Means — padrão de "destilação" para obter um classificador determinístico e rápido a partir de um agrupamento nem sempre estável entre execuções.</w:t>
      </w:r>
    </w:p>
    <w:p>
      <w:pPr>
        <w:pStyle w:val="ListBullet"/>
      </w:pPr>
      <w:r>
        <w:t>IPED: média ponderada de KQIs normalizados por min-max, agregados em componentes por peso de curadoria (planilha), banda em faixas (BOM/REGULAR/RUIM/CRÍTICO) — mesma metodologia real da StepGraph, aplicada por trajeto.</w:t>
      </w:r>
    </w:p>
    <w:p>
      <w:pPr>
        <w:pStyle w:val="ListBullet"/>
      </w:pPr>
      <w:r>
        <w:t>Cadeia de Markov de estados: matriz de transição estimada por contagem real de transições observadas na série sintética — não um limiar de cor fixo.</w:t>
      </w:r>
    </w:p>
    <w:p>
      <w:pPr>
        <w:pStyle w:val="ListBullet"/>
      </w:pPr>
      <w:r>
        <w:t>Bayes ingênuo (naive Bayes): posterior calculado sobre causas candidatas concorrentes a partir de priors autorados e uma tabela de likelihood por evidência binária observada — mesmo princípio metodológico usado no NetGraph.</w:t>
      </w:r>
    </w:p>
    <w:p>
      <w:pPr>
        <w:pStyle w:val="ListBullet"/>
      </w:pPr>
      <w:r>
        <w:t>Detecção de outlier por MAD: mediana e desvio absoluto mediano (MAD) são estatísticas robustas a outliers, ao contrário de média/desvio-padrão clássicos; z robusto = 0,6745×(x−mediana)/MAD; limiar |z|&gt;3,5 (Iglewicz &amp; Hoya, 1993).</w:t>
      </w:r>
    </w:p>
    <w:p>
      <w:pPr>
        <w:pStyle w:val="ListBullet"/>
      </w:pPr>
      <w:r>
        <w:t>Filtro Bayesiano recursivo (local-level / Kalman): para um modelo linear-gaussiano de nível local, a estimativa de máximo a posteriori recursiva é matematicamente equivalente ao filtro de Kalman — média a posteriori do nível esperado, atualizada a cada nova observação, com ganho de Kalman controlando o quanto a nova observação corrige a estimativa anterior.</w:t>
      </w:r>
    </w:p>
    <w:p>
      <w:pPr>
        <w:pStyle w:val="ListBullet"/>
      </w:pPr>
      <w:r>
        <w:t>Estimador de ruído por diferenças sucessivas (von Neumann): a variância bruta de uma série com tendência superestima o ruído real (a própria tendência conta como "variância"); a variância das diferenças consecutivas (dividida por 2) isola melhor o componente de ruído de observação.</w:t>
      </w:r>
    </w:p>
    <w:p>
      <w:pPr>
        <w:pStyle w:val="ListBullet"/>
      </w:pPr>
      <w:r>
        <w:t>Centralidade estrutural em árvore: para uma topologia estritamente arborescente, o número de pares de nós cujo caminho mais curto passa por um nó v é size_below(v)×(N−size_below(v)) — usado como proxy fechado de betweenness, sem exigir o algoritmo geral de Brandes.</w:t>
      </w:r>
    </w:p>
    <w:p>
      <w:pPr>
        <w:pStyle w:val="ListBullet"/>
      </w:pPr>
      <w:r>
        <w:t>K-anonimato: supressão de pares origem-destino com menos de K assinantes observados (K=3), evitando reidentificação por trajeto raro.</w:t>
      </w:r>
    </w:p>
    <w:p>
      <w:pPr>
        <w:pStyle w:val="ListBullet"/>
      </w:pPr>
      <w:r>
        <w:t>Tesselação de Voronoi: partição do plano em células, cada uma associada ao ponto (antena/site) mais próximo — usada para redistribuir indicadores agregados por cluster proporcionalmente à área de influência geográfica real de cada site.</w:t>
      </w:r>
    </w:p>
    <w:p>
      <w:pPr>
        <w:pStyle w:val="Heading2"/>
      </w:pPr>
      <w:r>
        <w:t>4.2 Normas e Frameworks Setoriais</w:t>
      </w:r>
    </w:p>
    <w:p>
      <w:pPr>
        <w:pStyle w:val="Heading3"/>
      </w:pPr>
      <w:r>
        <w:t>LGT e regulação de telecomunicações móveis</w:t>
      </w:r>
    </w:p>
    <w:p>
      <w:r>
        <w:rPr>
          <w:b w:val="0"/>
          <w:i w:val="0"/>
        </w:rPr>
        <w:t>Lei nº 9.472/1997 (Lei Geral de Telecomunicações) como base legal geral da atividade de operadora móvel citada no produto; indicadores de qualidade do Serviço Móvel Pessoal (SMP) da Anatel referenciados de forma parafraseada no Assistente e na narrativa de Alertas de Rede (ver Ressalvas — disclaimer de paráfrase normativa).</w:t>
      </w:r>
    </w:p>
    <w:p>
      <w:pPr>
        <w:pStyle w:val="Heading3"/>
      </w:pPr>
      <w:r>
        <w:t>LGPD</w:t>
      </w:r>
    </w:p>
    <w:p>
      <w:r>
        <w:rPr>
          <w:b w:val="0"/>
          <w:i w:val="0"/>
        </w:rPr>
        <w:t>Lei nº 13.709/2018 (Lei Geral de Proteção de Dados) como base legal da Consulta Individual de assinante — ver capítulo Base Legal, ao final deste documento.</w:t>
      </w:r>
    </w:p>
    <w:p>
      <w:pPr>
        <w:pStyle w:val="Heading3"/>
      </w:pPr>
      <w:r>
        <w:t>Base pública Anatel — Estações Licenciadas SMP</w:t>
      </w:r>
    </w:p>
    <w:p>
      <w:r>
        <w:rPr>
          <w:b w:val="0"/>
          <w:i w:val="0"/>
        </w:rPr>
        <w:t>Fonte real e pública usada como geografia-base do produto (localização, tecnologia, altura e azimute de antena) — o único dado não sintético em toda a base.</w:t>
      </w:r>
    </w:p>
    <w:p>
      <w:pPr>
        <w:pStyle w:val="Heading2"/>
      </w:pPr>
      <w:r>
        <w:t>4.3 Referências Bibliográficas</w:t>
      </w:r>
    </w:p>
    <w:p>
      <w:pPr>
        <w:pStyle w:val="ListBullet"/>
      </w:pPr>
      <w:r>
        <w:t>IGLEWICZ, B.; HOYA, D. C. How to Detect and Handle Outliers. ASQC Quality Press, 1993 — limiar |z|&gt;3,5 do detector de outlier robusto (MAD).</w:t>
      </w:r>
    </w:p>
    <w:p>
      <w:pPr>
        <w:pStyle w:val="ListBullet"/>
      </w:pPr>
      <w:r>
        <w:t>VON NEUMANN, J. et al. The mean square successive difference. Annals of Mathematical Statistics, 1941 — base do estimador de ruído por diferenças sucessivas usado no filtro Bayesiano recursivo.</w:t>
      </w:r>
    </w:p>
    <w:p>
      <w:pPr>
        <w:pStyle w:val="ListBullet"/>
      </w:pPr>
      <w:r>
        <w:t>SWEENEY, L. k-anonymity: A model for protecting privacy. International Journal of Uncertainty, Fuzziness and Knowledge-Based Systems, 2002 — base conceitual da supressão de pares OD com K&lt;3.</w:t>
      </w:r>
    </w:p>
    <w:p>
      <w:pPr>
        <w:pStyle w:val="ListBullet"/>
      </w:pPr>
      <w:r>
        <w:t>Lei nº 9.472/1997 (Lei Geral de Telecomunicações). Lei nº 13.709/2018 (LGPD).</w:t>
      </w:r>
    </w:p>
    <w:p>
      <w:pPr>
        <w:pStyle w:val="ListBullet"/>
      </w:pPr>
      <w:r>
        <w:t>ANATEL. Estações Licenciadas — Base de Dados Pública (SMP) — fonte real da geografia de antenas.</w:t>
      </w:r>
    </w:p>
    <w:p>
      <w:pPr>
        <w:pStyle w:val="ListBullet"/>
      </w:pPr>
      <w:r>
        <w:t>docs/JOURNEYGRAPH_MNO_PROMPT.md — especificação de desenvolvimento original deste produto, versionada neste repositório.</w:t>
      </w:r>
    </w:p>
    <w:p>
      <w:r>
        <w:br w:type="page"/>
      </w:r>
    </w:p>
    <w:p>
      <w:pPr>
        <w:pStyle w:val="Heading1"/>
      </w:pPr>
      <w:r>
        <w:t>5. Use Cases</w:t>
      </w:r>
    </w:p>
    <w:p>
      <w:pPr>
        <w:pStyle w:val="Heading3"/>
      </w:pPr>
      <w:r>
        <w:t>Caso 1 — Priorização de Segmento para Campanha de Retenção</w:t>
      </w:r>
    </w:p>
    <w:p>
      <w:r>
        <w:rPr>
          <w:b w:val="0"/>
          <w:i w:val="0"/>
        </w:rPr>
        <w:t>Contexto: time de Marketing precisa decidir em qual segmento investir orçamento de retenção neste ciclo, entre 9 personas com perfis de uso e risco muito diferentes.</w:t>
      </w:r>
    </w:p>
    <w:p>
      <w:r>
        <w:rPr>
          <w:b w:val="0"/>
          <w:i w:val="0"/>
        </w:rPr>
        <w:t>Benefícios: cartão de persona com critério de inclusão/exclusão explícito, distribuição real da base, indicadores de qualidade esperada e Vamping — decisão orientada por dado, não por intuição de segmento.</w:t>
      </w:r>
    </w:p>
    <w:p>
      <w:r>
        <w:rPr>
          <w:b w:val="0"/>
          <w:i w:val="0"/>
        </w:rPr>
        <w:t>Limitações: personas são inferidas por K-Means+XGBoost sobre CDR sintético — em produção, a mesma pipeline precisaria rodar sobre CDR real e ser recalibrada.</w:t>
      </w:r>
    </w:p>
    <w:p>
      <w:r>
        <w:rPr>
          <w:b w:val="0"/>
          <w:i w:val="0"/>
        </w:rPr>
        <w:t>Benchmark: diferencial frente a ferramentas de CVM genéricas que não expõem o critério de inclusão de cada segmento de forma auditável.</w:t>
      </w:r>
    </w:p>
    <w:p>
      <w:r>
        <w:rPr>
          <w:b w:val="0"/>
          <w:i w:val="0"/>
        </w:rPr>
        <w:t>Exemplos: P4 Churn Silencioso concentra 13,0% da base (13.025 assinantes) — candidato natural a campanha de retenção neste ciclo.</w:t>
      </w:r>
    </w:p>
    <w:p>
      <w:pPr>
        <w:pStyle w:val="Heading3"/>
      </w:pPr>
      <w:r>
        <w:t>Caso 2 — Triagem de Incidente de Rede pelo NOC</w:t>
      </w:r>
    </w:p>
    <w:p>
      <w:r>
        <w:rPr>
          <w:b w:val="0"/>
          <w:i w:val="0"/>
        </w:rPr>
        <w:t>Contexto: múltiplos sites em estado degradado simultaneamente, NOC precisa decidir qual atender primeiro sem critério objetivo de prioridade.</w:t>
      </w:r>
    </w:p>
    <w:p>
      <w:r>
        <w:rPr>
          <w:b w:val="0"/>
          <w:i w:val="0"/>
        </w:rPr>
        <w:t>Benefícios: lista ordenada por score combinado (gravidade técnica × impacto de negócio), com causa provável explícita (rede Bayesiana) e recomendação de ação por causa — decisão de triagem em segundos, não em análise manual de cada nó.</w:t>
      </w:r>
    </w:p>
    <w:p>
      <w:r>
        <w:rPr>
          <w:b w:val="0"/>
          <w:i w:val="0"/>
        </w:rPr>
        <w:t>Limitações: priors da rede Bayesiana são autorados por raciocínio de domínio, não recalibrados a partir de um log de causa-raiz real rotulado.</w:t>
      </w:r>
    </w:p>
    <w:p>
      <w:r>
        <w:rPr>
          <w:b w:val="0"/>
          <w:i w:val="0"/>
        </w:rPr>
        <w:t>Benchmark: não identificado em ferramentas de mercado equivalentes que unam engenharia de rede móvel e priorização de negócio no mesmo score.</w:t>
      </w:r>
    </w:p>
    <w:p>
      <w:r>
        <w:rPr>
          <w:b w:val="0"/>
          <w:i w:val="0"/>
        </w:rPr>
        <w:t>Exemplos: 37 alertas priorizados na execução de referência, do total de 222 nós de rede; o alerta de maior prioridade aponta cobertura RF legada (WCDMA/3G) como causa mais provável (47% de posterior).</w:t>
      </w:r>
    </w:p>
    <w:p>
      <w:pPr>
        <w:pStyle w:val="Heading3"/>
      </w:pPr>
      <w:r>
        <w:t>Caso 3 — Planejamento de Capacidade de SGW/PGW</w:t>
      </w:r>
    </w:p>
    <w:p>
      <w:r>
        <w:rPr>
          <w:b w:val="0"/>
          <w:i w:val="0"/>
        </w:rPr>
        <w:t>Contexto: decisão de expansão de capacidade tomada sem visibilidade objetiva de quando um SGW ou PGW se aproxima de sua própria referência de pico.</w:t>
      </w:r>
    </w:p>
    <w:p>
      <w:r>
        <w:rPr>
          <w:b w:val="0"/>
          <w:i w:val="0"/>
        </w:rPr>
        <w:t>Benefícios: regressão real sobre a série de 15 dias, com intervalo de confiança — insumo direto para priorizar onde investigar primeiro uma possível necessidade de expansão.</w:t>
      </w:r>
    </w:p>
    <w:p>
      <w:r>
        <w:rPr>
          <w:b w:val="0"/>
          <w:i w:val="0"/>
        </w:rPr>
        <w:t>Limitações: sem dado de capacidade nominal de equipamento na base (não existe nem na Anatel nem no CDR sintético) — a projeção usa o próprio pico observado na janela como referência de 100%, não uma capacidade de hardware real.</w:t>
      </w:r>
    </w:p>
    <w:p>
      <w:r>
        <w:rPr>
          <w:b w:val="0"/>
          <w:i w:val="0"/>
        </w:rPr>
        <w:t>Benchmark: não aplicável — dado 100% sintético nesta versão do produto.</w:t>
      </w:r>
    </w:p>
    <w:p>
      <w:r>
        <w:rPr>
          <w:b w:val="0"/>
          <w:i w:val="0"/>
        </w:rPr>
        <w:t>Exemplos: 32 de 213 sites apresentaram projeção de saturação aplicável na execução de referência; os demais não tinham tendência de crescimento estatisticamente relevante na janela observada.</w:t>
      </w:r>
    </w:p>
    <w:p>
      <w:pPr>
        <w:pStyle w:val="Heading3"/>
      </w:pPr>
      <w:r>
        <w:t>Caso 4 — Atribuição de Causa: Demanda × Capacidade</w:t>
      </w:r>
    </w:p>
    <w:p>
      <w:r>
        <w:rPr>
          <w:b w:val="0"/>
          <w:i w:val="0"/>
        </w:rPr>
        <w:t>Contexto: um site apresenta anomalia de qualidade e a equipe precisa decidir, rapidamente, se é um problema de demanda (mais uso, sem ação de rede necessária) ou de capacidade (possível falha, ação de campo necessária).</w:t>
      </w:r>
    </w:p>
    <w:p>
      <w:r>
        <w:rPr>
          <w:b w:val="0"/>
          <w:i w:val="0"/>
        </w:rPr>
        <w:t>Benefícios: comparação automática entre o z-score da anomalia de qualidade e o z-score do tráfego no mesmo dia — pico de tráfego junto sugere demanda; ausência de pico sugere possível falha.</w:t>
      </w:r>
    </w:p>
    <w:p>
      <w:r>
        <w:rPr>
          <w:b w:val="0"/>
          <w:i w:val="0"/>
        </w:rPr>
        <w:t>Limitações: heurística de correspondência estatística entre séries reais do próprio dataset, não uma causa diagnosticada por instrumentação externa de falha.</w:t>
      </w:r>
    </w:p>
    <w:p>
      <w:r>
        <w:rPr>
          <w:b w:val="0"/>
          <w:i w:val="0"/>
        </w:rPr>
        <w:t>Benchmark: não aplicável — funcionalidade nova, sem correspondente direto no NetGraph nem em ferramentas de mercado consultadas.</w:t>
      </w:r>
    </w:p>
    <w:p>
      <w:r>
        <w:rPr>
          <w:b w:val="0"/>
          <w:i w:val="0"/>
        </w:rPr>
        <w:t>Exemplos: os dois picos de fim de semana observados em SGW-01 foram corretamente atribuídos a "Tráfego ↑" (coincidência com pico de tráfego real) após o ajuste do gerador para incluir o mesmo efeito de fim de semana no volume, não só na qualidade.</w:t>
      </w:r>
    </w:p>
    <w:p>
      <w:pPr>
        <w:pStyle w:val="Heading3"/>
      </w:pPr>
      <w:r>
        <w:t>Caso 5 — Consulta Individual sob Hipótese de Uso Nomeada (LGPD)</w:t>
      </w:r>
    </w:p>
    <w:p>
      <w:r>
        <w:rPr>
          <w:b w:val="0"/>
          <w:i w:val="0"/>
        </w:rPr>
        <w:t>Contexto: uma reclamação formal ou uma exigência de SLA de NOC exige acesso ao histórico de um assinante específico, fora do agregado normal do produto.</w:t>
      </w:r>
    </w:p>
    <w:p>
      <w:r>
        <w:rPr>
          <w:b w:val="0"/>
          <w:i w:val="0"/>
        </w:rPr>
        <w:t>Benefícios: acesso restrito por senha ilustrativa, motivo de acesso obrigatório e log de auditoria — mesmo padrão do JourneyGraph (ISP Edition) e do NetGraph.</w:t>
      </w:r>
    </w:p>
    <w:p>
      <w:r>
        <w:rPr>
          <w:b w:val="0"/>
          <w:i w:val="0"/>
        </w:rPr>
        <w:t>Limitações: autenticação apenas ilustrativa (client-side, sem backend) — ver capítulo Base Legal para o detalhamento completo.</w:t>
      </w:r>
    </w:p>
    <w:p>
      <w:r>
        <w:rPr>
          <w:b w:val="0"/>
          <w:i w:val="0"/>
        </w:rPr>
        <w:t>Benchmark: mesmo padrão dos produtos irmãos da Lounge; não avaliado contra ferramenta de mercado.</w:t>
      </w:r>
    </w:p>
    <w:p>
      <w:r>
        <w:rPr>
          <w:b w:val="0"/>
          <w:i w:val="0"/>
        </w:rPr>
        <w:t>Exemplos: assinante identificado apenas por hash sintético (não MSISDN real), mesmo em modo de Consulta Individual.</w:t>
      </w:r>
    </w:p>
    <w:p>
      <w:r>
        <w:br w:type="page"/>
      </w:r>
    </w:p>
    <w:p>
      <w:pPr>
        <w:pStyle w:val="Heading1"/>
      </w:pPr>
      <w:r>
        <w:t>Ressalvas / Honestidade Metodológica</w:t>
      </w:r>
    </w:p>
    <w:p>
      <w:r>
        <w:rPr>
          <w:b w:val="0"/>
          <w:i w:val="0"/>
        </w:rPr>
        <w:t>Consolidação das notas de honestidade metodológica deste documento, no formato exigido pelo padrão de documentação da Vísent (§3).</w:t>
      </w:r>
    </w:p>
    <w:p>
      <w:pPr>
        <w:pStyle w:val="ListBullet"/>
      </w:pPr>
      <w:r>
        <w:t>Modelos analíticos reais, dados sintéticos: todos os motores analíticos descritos em §2.5 (K-Means/XGBoost, IPED, Vamping, Markov, Bayes por correlação, rede Bayesiana ingênua, MAD, filtro Bayesiano recursivo, regressão, centralidade, Voronoi) são cálculos estatísticos/estruturais reais sobre a base gerada — a honestidade metodológica aqui não está no método (que é real), mas na origem do dado (100% sintético e determinístico, sobre geografia real de antenas Anatel, sem qualquer CDR real de assinante).</w:t>
      </w:r>
    </w:p>
    <w:p>
      <w:pPr>
        <w:pStyle w:val="ListBullet"/>
      </w:pPr>
      <w:r>
        <w:t>Limiares de estado de saúde de rede (Saudável/Degradado/Crítico/Falha) foram recalibrados durante o desenvolvimento (0,05/0,08/0,12 → 0,075/0,088/0,100 de drop_pct) após a expansão da amostra para 100.000 assinantes revelar que os limiares originais — copiados do nível de persona — saturavam praticamente todo nó de rede em "Crítico". A recalibração é calibrada à faixa observada nesta execução específica, não um SLA de mercado nem um valor validado contra operação real.</w:t>
      </w:r>
    </w:p>
    <w:p>
      <w:pPr>
        <w:pStyle w:val="ListBullet"/>
      </w:pPr>
      <w:r>
        <w:t>Priors da rede Bayesiana (causa provável de alertas de rede): definidos por raciocínio de domínio sobre causas plausíveis de degradação em rede móvel, não recalibrados a partir de um log de causa-raiz real rotulado. Uma implantação em produção exigiria recalibração com histórico de incidentes real da operadora cliente.</w:t>
      </w:r>
    </w:p>
    <w:p>
      <w:pPr>
        <w:pStyle w:val="ListBullet"/>
      </w:pPr>
      <w:r>
        <w:t>Proxy de "segmento de alto valor" no score de impacto de negócio: o dataset MNO não tem o conceito de "cliente corporativo com SLA diferenciado" usado no NetGraph (produto de banda fixa) — em seu lugar, usa-se a presença da persona P1 Executivo Mobile (já definida por renda A + dispositivo flagship) como proxy real, documentado como tal na própria interface e nesta documentação, não apresentado como um campo de CRM real.</w:t>
      </w:r>
    </w:p>
    <w:p>
      <w:pPr>
        <w:pStyle w:val="ListBullet"/>
      </w:pPr>
      <w:r>
        <w:t>CRM/Ouvidoria sintéticos: volume de reclamação por região administrativa é gerado deterministicamente (seed fixa) e reforçado quando há nó em Crítico/Falha na área — mesma técnica do NetGraph, correlação intencional para fins de demonstração, não dado real de atendimento ao cliente.</w:t>
      </w:r>
    </w:p>
    <w:p>
      <w:pPr>
        <w:pStyle w:val="ListBullet"/>
      </w:pPr>
      <w:r>
        <w:t>Projeção de capacidade sem capacidade nominal real: como não existe dado de capacidade de equipamento nem na base pública da Anatel nem no CDR sintético, a "capacidade" projetada é relativa ao próprio pico de tráfego observado do nó na janela de 15 dias — tratar como tendência ilustrativa, não como SLA de engenharia.</w:t>
      </w:r>
    </w:p>
    <w:p>
      <w:pPr>
        <w:pStyle w:val="ListBullet"/>
      </w:pPr>
      <w:r>
        <w:t>Texto normativo (indicadores de qualidade do SMP, Anatel): paráfrase para fins de demonstração no Assistente e na narrativa de alertas — não deve ser usado como referência jurídica ou de compliance; a resolução vigente específica deve ser validada com a área regulatória antes de qualquer uso externo.</w:t>
      </w:r>
    </w:p>
    <w:p>
      <w:pPr>
        <w:pStyle w:val="ListBullet"/>
      </w:pPr>
      <w:r>
        <w:t>Assistente RAG/SLM: mock por palavras-chave e templates sobre corpus estático — sem embeddings, sem LLM real de produção. Mesmo padrão dos demais produtos da Lounge; a diferença está nos modelos analíticos que o Assistente narra (reais), não no mecanismo de busca do Assistente em si.</w:t>
      </w:r>
    </w:p>
    <w:p>
      <w:pPr>
        <w:pStyle w:val="ListBullet"/>
      </w:pPr>
      <w:r>
        <w:t>Autenticação da Consulta Individual restrita: apenas ilustrativa — ver capítulo Base Legal, a seguir, para o detalhamento completo das limitações.</w:t>
      </w:r>
    </w:p>
    <w:p>
      <w:pPr>
        <w:pStyle w:val="ListBullet"/>
      </w:pPr>
      <w:r>
        <w:t>Campos sintéticos novos desta rodada (segmento pós-pago/controle/pré-pago por assinante/nó/aresta; séries diárias sintéticas por nó e por aresta; personas_daily; iped_by_persona): não existiam na base original — foram gerados deterministicamente (seed fixa, mesmo padrão do restante do pipeline) para viabilizar os filtros de Segmento, Dia, Período e os gráficos diários pedidos, e estão documentados como tal nos próprios campos de metadata do RAW (metadata.nota_segmento, nota_series_diarias_node_edge, nota_personas_daily, nota_iped_by_persona) — não é dado real de billing nem série temporal medida.</w:t>
      </w:r>
    </w:p>
    <w:p>
      <w:pPr>
        <w:pStyle w:val="ListBullet"/>
      </w:pPr>
      <w:r>
        <w:t>Correção de bug real encontrado nesta rodada: as sequências diárias de estado (Markov) do gerador original eram idênticas entre P1≡P3 e entre P2≡P5≡P8 — artefato de reuso de template por faixa de qualidade esperada. Corrigido com um passeio aleatório independente por persona (seed determinística por id de persona); a matriz de transição de cada persona passou a ser genuinamente distinta.</w:t>
      </w:r>
    </w:p>
    <w:p>
      <w:pPr>
        <w:pStyle w:val="ListBullet"/>
      </w:pPr>
      <w:r>
        <w:t>Conversão Dispositivos↔Pessoas (pessoas = ((dispositivos×c)/m)/p, onde m = market share, c = % não-IoT, p = penetração de celular): é uma conversão configurável pelo usuário sobre a contagem de dispositivos observada, não uma contagem real de pessoas distintas — o resultado nunca fica abaixo da contagem de dispositivos (clamp explícito no código).</w:t>
      </w:r>
    </w:p>
    <w:p>
      <w:pPr>
        <w:pStyle w:val="ListBullet"/>
      </w:pPr>
      <w:r>
        <w:t>Path builder (Dígrafo e Jornada RG): "pessoas distintas no percurso" é uma aproximação pelo gargalo do caminho (mínimo entre os pesos das arestas percorridas), não um rastro individual de assinante entre múltiplos trajetos — a base não tem esse dado a nível de assinante.</w:t>
      </w:r>
    </w:p>
    <w:p>
      <w:pPr>
        <w:pStyle w:val="ListBullet"/>
      </w:pPr>
      <w:r>
        <w:t>Sigma Index topológico da Jornada RG é sintético (jitter determinístico por par de nó, não uma série diária real) — a Jornada RG não tem granularidade diária na base de origem, diferente do Dígrafo por clusters, que usa série diária real por nó/aresta.</w:t>
      </w:r>
    </w:p>
    <w:p>
      <w:r>
        <w:br w:type="page"/>
      </w:r>
    </w:p>
    <w:p>
      <w:pPr>
        <w:pStyle w:val="Heading1"/>
      </w:pPr>
      <w:r>
        <w:t>Base Legal / Controle de Acesso a Dado Pessoal</w:t>
      </w:r>
    </w:p>
    <w:p>
      <w:r>
        <w:rPr>
          <w:b w:val="0"/>
          <w:i w:val="0"/>
        </w:rPr>
        <w:t>Capítulo obrigatório por força da funcionalidade de Consulta Individual de Assinante (Modo Restrito) — mesmo padrão do JourneyGraph (ISP Edition) e do NetGraph.</w:t>
      </w:r>
    </w:p>
    <w:p>
      <w:pPr>
        <w:pStyle w:val="Heading2"/>
      </w:pPr>
      <w:r>
        <w:t>Hipóteses de Uso Nomeadas</w:t>
      </w:r>
    </w:p>
    <w:p>
      <w:pPr>
        <w:pStyle w:val="ListBullet"/>
      </w:pPr>
      <w:r>
        <w:t>Interceptação legal: mediante mandado judicial.</w:t>
      </w:r>
    </w:p>
    <w:p>
      <w:pPr>
        <w:pStyle w:val="ListBullet"/>
      </w:pPr>
      <w:r>
        <w:t>Apuração de ouvidoria: reclamação formal em curso, exigindo acesso ao assinante específico.</w:t>
      </w:r>
    </w:p>
    <w:p>
      <w:pPr>
        <w:pStyle w:val="ListBullet"/>
      </w:pPr>
      <w:r>
        <w:t>SLA de NOC: manutenção em profundidade sob acordo de nível de serviço que exige acesso ao assinante individual.</w:t>
      </w:r>
    </w:p>
    <w:p>
      <w:r>
        <w:rPr>
          <w:b w:val="0"/>
          <w:i/>
        </w:rPr>
        <w:t>Nunca consulta discricionária ou de rotina.</w:t>
      </w:r>
    </w:p>
    <w:p>
      <w:pPr>
        <w:pStyle w:val="Heading2"/>
      </w:pPr>
      <w:r>
        <w:t>Base Legal Específica</w:t>
      </w:r>
    </w:p>
    <w:p>
      <w:r>
        <w:rPr>
          <w:b w:val="0"/>
          <w:i w:val="0"/>
        </w:rPr>
        <w:t>Lei nº 9.472/1997 (Lei Geral de Telecomunicações, art. 3º/72), Lei nº 9.296/1996 (interceptação judicial), Marco Civil da Internet (Lei nº 12.965/2014, art. 10) e Lei nº 13.709/2018 — LGPD (art. 7º, VI e X) — mesma base legal já documentada no JourneyGraph (ISP Edition) e replicada no NetGraph, aplicável sem alteração ao domínio móvel.</w:t>
      </w:r>
    </w:p>
    <w:p>
      <w:pPr>
        <w:pStyle w:val="Heading2"/>
      </w:pPr>
      <w:r>
        <w:t>Nota de Honestidade Metodológica</w:t>
      </w:r>
    </w:p>
    <w:p>
      <w:r>
        <w:rPr>
          <w:b w:val="0"/>
          <w:i w:val="0"/>
        </w:rPr>
        <w:t>A autenticação da Consulta Individual restrita é apenas ilustrativa (client-side, sem backend), não um controle de acesso de produção. Uma implantação de produção exige, no mínimo: autenticação corporativa (SSO/LDAP) por operador nomeado, autenticação multifator, controle de acesso por papel, log de auditoria imutável server-side com identidade do operador e timestamp, e política de retenção alinhada ao motivo do acesso e à LGPD.</w:t>
      </w:r>
    </w:p>
    <w:p>
      <w:r>
        <w:br w:type="page"/>
      </w:r>
    </w:p>
    <w:p>
      <w:pPr>
        <w:pStyle w:val="Heading1"/>
      </w:pPr>
      <w:r>
        <w:t>Glossário e Siglas</w:t>
      </w:r>
    </w:p>
    <w:p>
      <w:r>
        <w:rPr>
          <w:b w:val="0"/>
          <w:i w:val="0"/>
        </w:rPr>
        <w:t>Consolida, em ordem alfabética, os termos, siglas, modelos e frameworks efetivamente citados neste documento e no corpus técnico do produto.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3050"/>
          </w:tcPr>
          <w:p>
            <w:r>
              <w:rPr>
                <w:b/>
                <w:color w:val="FFFFFF"/>
                <w:sz w:val="19"/>
              </w:rPr>
              <w:t>Termo</w:t>
            </w:r>
          </w:p>
        </w:tc>
        <w:tc>
          <w:tcPr>
            <w:tcW w:type="dxa" w:w="2880"/>
            <w:shd w:val="clear" w:color="auto" w:fill="1A3050"/>
          </w:tcPr>
          <w:p>
            <w:r>
              <w:rPr>
                <w:b/>
                <w:color w:val="FFFFFF"/>
                <w:sz w:val="19"/>
              </w:rPr>
              <w:t>Categoria</w:t>
            </w:r>
          </w:p>
        </w:tc>
        <w:tc>
          <w:tcPr>
            <w:tcW w:type="dxa" w:w="2880"/>
            <w:shd w:val="clear" w:color="auto" w:fill="1A3050"/>
          </w:tcPr>
          <w:p>
            <w:r>
              <w:rPr>
                <w:b/>
                <w:color w:val="FFFFFF"/>
                <w:sz w:val="19"/>
              </w:rPr>
              <w:t>Definição</w:t>
            </w:r>
          </w:p>
        </w:tc>
      </w:tr>
      <w:tr>
        <w:tc>
          <w:tcPr>
            <w:tcW w:type="dxa" w:w="2880"/>
          </w:tcPr>
          <w:p>
            <w:r>
              <w:rPr>
                <w:sz w:val="19"/>
              </w:rPr>
              <w:t>Anatel</w:t>
            </w:r>
          </w:p>
        </w:tc>
        <w:tc>
          <w:tcPr>
            <w:tcW w:type="dxa" w:w="2880"/>
          </w:tcPr>
          <w:p>
            <w:r>
              <w:rPr>
                <w:sz w:val="19"/>
              </w:rPr>
              <w:t>Sigla</w:t>
            </w:r>
          </w:p>
        </w:tc>
        <w:tc>
          <w:tcPr>
            <w:tcW w:type="dxa" w:w="2880"/>
          </w:tcPr>
          <w:p>
            <w:r>
              <w:rPr>
                <w:sz w:val="19"/>
              </w:rPr>
              <w:t>Agência Nacional de Telecomunicações — origem da base pública de antenas licenciadas (SMP) usada como geografia real do produto.</w:t>
            </w:r>
          </w:p>
        </w:tc>
      </w:tr>
      <w:tr>
        <w:tc>
          <w:tcPr>
            <w:tcW w:type="dxa" w:w="2880"/>
          </w:tcPr>
          <w:p>
            <w:r>
              <w:rPr>
                <w:sz w:val="19"/>
              </w:rPr>
              <w:t>Bayes ingênuo (naive Bayes)</w:t>
            </w:r>
          </w:p>
        </w:tc>
        <w:tc>
          <w:tcPr>
            <w:tcW w:type="dxa" w:w="2880"/>
          </w:tcPr>
          <w:p>
            <w:r>
              <w:rPr>
                <w:sz w:val="19"/>
              </w:rPr>
              <w:t>Modelo/Técnica</w:t>
            </w:r>
          </w:p>
        </w:tc>
        <w:tc>
          <w:tcPr>
            <w:tcW w:type="dxa" w:w="2880"/>
          </w:tcPr>
          <w:p>
            <w:r>
              <w:rPr>
                <w:sz w:val="19"/>
              </w:rPr>
              <w:t>Posterior calculado sobre causas candidatas concorrentes a partir de priors e uma tabela de likelihood por evidência — usado na causa provável dos Alertas de Rede priorizados (§2.5).</w:t>
            </w:r>
          </w:p>
        </w:tc>
      </w:tr>
      <w:tr>
        <w:tc>
          <w:tcPr>
            <w:tcW w:type="dxa" w:w="2880"/>
          </w:tcPr>
          <w:p>
            <w:r>
              <w:rPr>
                <w:sz w:val="19"/>
              </w:rPr>
              <w:t>Blast radius</w:t>
            </w:r>
          </w:p>
        </w:tc>
        <w:tc>
          <w:tcPr>
            <w:tcW w:type="dxa" w:w="2880"/>
          </w:tcPr>
          <w:p>
            <w:r>
              <w:rPr>
                <w:sz w:val="19"/>
              </w:rPr>
              <w:t>Modelo/Técnica</w:t>
            </w:r>
          </w:p>
        </w:tc>
        <w:tc>
          <w:tcPr>
            <w:tcW w:type="dxa" w:w="2880"/>
          </w:tcPr>
          <w:p>
            <w:r>
              <w:rPr>
                <w:sz w:val="19"/>
              </w:rPr>
              <w:t>Assinantes/nós downstream afetados por uma falha num nó — soma real via a hierarquia Core→PGW→SGW→Site.</w:t>
            </w:r>
          </w:p>
        </w:tc>
      </w:tr>
      <w:tr>
        <w:tc>
          <w:tcPr>
            <w:tcW w:type="dxa" w:w="2880"/>
          </w:tcPr>
          <w:p>
            <w:r>
              <w:rPr>
                <w:sz w:val="19"/>
              </w:rPr>
              <w:t>CDR</w:t>
            </w:r>
          </w:p>
        </w:tc>
        <w:tc>
          <w:tcPr>
            <w:tcW w:type="dxa" w:w="2880"/>
          </w:tcPr>
          <w:p>
            <w:r>
              <w:rPr>
                <w:sz w:val="19"/>
              </w:rPr>
              <w:t>Sigla</w:t>
            </w:r>
          </w:p>
        </w:tc>
        <w:tc>
          <w:tcPr>
            <w:tcW w:type="dxa" w:w="2880"/>
          </w:tcPr>
          <w:p>
            <w:r>
              <w:rPr>
                <w:sz w:val="19"/>
              </w:rPr>
              <w:t>Call Detail Record — registro de detalhe de chamada/sessão; base de todo o dado sintético deste produto.</w:t>
            </w:r>
          </w:p>
        </w:tc>
      </w:tr>
      <w:tr>
        <w:tc>
          <w:tcPr>
            <w:tcW w:type="dxa" w:w="2880"/>
          </w:tcPr>
          <w:p>
            <w:r>
              <w:rPr>
                <w:sz w:val="19"/>
              </w:rPr>
              <w:t>Centralidade estrutural</w:t>
            </w:r>
          </w:p>
        </w:tc>
        <w:tc>
          <w:tcPr>
            <w:tcW w:type="dxa" w:w="2880"/>
          </w:tcPr>
          <w:p>
            <w:r>
              <w:rPr>
                <w:sz w:val="19"/>
              </w:rPr>
              <w:t>Modelo/Técnica</w:t>
            </w:r>
          </w:p>
        </w:tc>
        <w:tc>
          <w:tcPr>
            <w:tcW w:type="dxa" w:w="2880"/>
          </w:tcPr>
          <w:p>
            <w:r>
              <w:rPr>
                <w:sz w:val="19"/>
              </w:rPr>
              <w:t>Proxy fechado de betweenness numa árvore: tamanho_subárvore(v)×(N−tamanho_subárvore(v)), normalizado 0–100.</w:t>
            </w:r>
          </w:p>
        </w:tc>
      </w:tr>
      <w:tr>
        <w:tc>
          <w:tcPr>
            <w:tcW w:type="dxa" w:w="2880"/>
          </w:tcPr>
          <w:p>
            <w:r>
              <w:rPr>
                <w:sz w:val="19"/>
              </w:rPr>
              <w:t>CRM</w:t>
            </w:r>
          </w:p>
        </w:tc>
        <w:tc>
          <w:tcPr>
            <w:tcW w:type="dxa" w:w="2880"/>
          </w:tcPr>
          <w:p>
            <w:r>
              <w:rPr>
                <w:sz w:val="19"/>
              </w:rPr>
              <w:t>Sigla</w:t>
            </w:r>
          </w:p>
        </w:tc>
        <w:tc>
          <w:tcPr>
            <w:tcW w:type="dxa" w:w="2880"/>
          </w:tcPr>
          <w:p>
            <w:r>
              <w:rPr>
                <w:sz w:val="19"/>
              </w:rPr>
              <w:t>Customer Relationship Management — volume sintético de reclamação por região, usado no eixo de impacto de negócio do score de alerta.</w:t>
            </w:r>
          </w:p>
        </w:tc>
      </w:tr>
      <w:tr>
        <w:tc>
          <w:tcPr>
            <w:tcW w:type="dxa" w:w="2880"/>
          </w:tcPr>
          <w:p>
            <w:r>
              <w:rPr>
                <w:sz w:val="19"/>
              </w:rPr>
              <w:t>ECGI</w:t>
            </w:r>
          </w:p>
        </w:tc>
        <w:tc>
          <w:tcPr>
            <w:tcW w:type="dxa" w:w="2880"/>
          </w:tcPr>
          <w:p>
            <w:r>
              <w:rPr>
                <w:sz w:val="19"/>
              </w:rPr>
              <w:t>Sigla</w:t>
            </w:r>
          </w:p>
        </w:tc>
        <w:tc>
          <w:tcPr>
            <w:tcW w:type="dxa" w:w="2880"/>
          </w:tcPr>
          <w:p>
            <w:r>
              <w:rPr>
                <w:sz w:val="19"/>
              </w:rPr>
              <w:t>E-UTRAN Cell Global Identifier — identificador de antena/célula servidora (MCC+MNC+eNB+CellID).</w:t>
            </w:r>
          </w:p>
        </w:tc>
      </w:tr>
      <w:tr>
        <w:tc>
          <w:tcPr>
            <w:tcW w:type="dxa" w:w="2880"/>
          </w:tcPr>
          <w:p>
            <w:r>
              <w:rPr>
                <w:sz w:val="19"/>
              </w:rPr>
              <w:t>Filtro Bayesiano recursivo</w:t>
            </w:r>
          </w:p>
        </w:tc>
        <w:tc>
          <w:tcPr>
            <w:tcW w:type="dxa" w:w="2880"/>
          </w:tcPr>
          <w:p>
            <w:r>
              <w:rPr>
                <w:sz w:val="19"/>
              </w:rPr>
              <w:t>Modelo/Técnica</w:t>
            </w:r>
          </w:p>
        </w:tc>
        <w:tc>
          <w:tcPr>
            <w:tcW w:type="dxa" w:w="2880"/>
          </w:tcPr>
          <w:p>
            <w:r>
              <w:rPr>
                <w:sz w:val="19"/>
              </w:rPr>
              <w:t>Modelo local-level (equivalente a um filtro de Kalman) que atualiza a estimativa do nível esperado a cada nova observação via máximo a posteriori — usado na aba Outliers.</w:t>
            </w:r>
          </w:p>
        </w:tc>
      </w:tr>
      <w:tr>
        <w:tc>
          <w:tcPr>
            <w:tcW w:type="dxa" w:w="2880"/>
          </w:tcPr>
          <w:p>
            <w:r>
              <w:rPr>
                <w:sz w:val="19"/>
              </w:rPr>
              <w:t>IPED</w:t>
            </w:r>
          </w:p>
        </w:tc>
        <w:tc>
          <w:tcPr>
            <w:tcW w:type="dxa" w:w="2880"/>
          </w:tcPr>
          <w:p>
            <w:r>
              <w:rPr>
                <w:sz w:val="19"/>
              </w:rPr>
              <w:t>Modelo/Técnica</w:t>
            </w:r>
          </w:p>
        </w:tc>
        <w:tc>
          <w:tcPr>
            <w:tcW w:type="dxa" w:w="2880"/>
          </w:tcPr>
          <w:p>
            <w:r>
              <w:rPr>
                <w:sz w:val="19"/>
              </w:rPr>
              <w:t>Índice Ponderado de qualidade no DEslocamento — média ponderada de KQIs normalizados, por componente e faixa de curadoria.</w:t>
            </w:r>
          </w:p>
        </w:tc>
      </w:tr>
      <w:tr>
        <w:tc>
          <w:tcPr>
            <w:tcW w:type="dxa" w:w="2880"/>
          </w:tcPr>
          <w:p>
            <w:r>
              <w:rPr>
                <w:sz w:val="19"/>
              </w:rPr>
              <w:t>K-anonimato</w:t>
            </w:r>
          </w:p>
        </w:tc>
        <w:tc>
          <w:tcPr>
            <w:tcW w:type="dxa" w:w="2880"/>
          </w:tcPr>
          <w:p>
            <w:r>
              <w:rPr>
                <w:sz w:val="19"/>
              </w:rPr>
              <w:t>Modelo/Técnica</w:t>
            </w:r>
          </w:p>
        </w:tc>
        <w:tc>
          <w:tcPr>
            <w:tcW w:type="dxa" w:w="2880"/>
          </w:tcPr>
          <w:p>
            <w:r>
              <w:rPr>
                <w:sz w:val="19"/>
              </w:rPr>
              <w:t>Supressão de registros (pares origem-destino) observados por menos de K assinantes distintos — K=3 neste produto.</w:t>
            </w:r>
          </w:p>
        </w:tc>
      </w:tr>
      <w:tr>
        <w:tc>
          <w:tcPr>
            <w:tcW w:type="dxa" w:w="2880"/>
          </w:tcPr>
          <w:p>
            <w:r>
              <w:rPr>
                <w:sz w:val="19"/>
              </w:rPr>
              <w:t>K-Means</w:t>
            </w:r>
          </w:p>
        </w:tc>
        <w:tc>
          <w:tcPr>
            <w:tcW w:type="dxa" w:w="2880"/>
          </w:tcPr>
          <w:p>
            <w:r>
              <w:rPr>
                <w:sz w:val="19"/>
              </w:rPr>
              <w:t>Modelo/Técnica</w:t>
            </w:r>
          </w:p>
        </w:tc>
        <w:tc>
          <w:tcPr>
            <w:tcW w:type="dxa" w:w="2880"/>
          </w:tcPr>
          <w:p>
            <w:r>
              <w:rPr>
                <w:sz w:val="19"/>
              </w:rPr>
              <w:t>Algoritmo de clustering não supervisionado (variante MiniBatchKMeans) usado para inferir as 9 personas.</w:t>
            </w:r>
          </w:p>
        </w:tc>
      </w:tr>
      <w:tr>
        <w:tc>
          <w:tcPr>
            <w:tcW w:type="dxa" w:w="2880"/>
          </w:tcPr>
          <w:p>
            <w:r>
              <w:rPr>
                <w:sz w:val="19"/>
              </w:rPr>
              <w:t>KQI</w:t>
            </w:r>
          </w:p>
        </w:tc>
        <w:tc>
          <w:tcPr>
            <w:tcW w:type="dxa" w:w="2880"/>
          </w:tcPr>
          <w:p>
            <w:r>
              <w:rPr>
                <w:sz w:val="19"/>
              </w:rPr>
              <w:t>Sigla</w:t>
            </w:r>
          </w:p>
        </w:tc>
        <w:tc>
          <w:tcPr>
            <w:tcW w:type="dxa" w:w="2880"/>
          </w:tcPr>
          <w:p>
            <w:r>
              <w:rPr>
                <w:sz w:val="19"/>
              </w:rPr>
              <w:t>Key Quality Indicator — indicador de qualidade individual que compõe um componente do IPED.</w:t>
            </w:r>
          </w:p>
        </w:tc>
      </w:tr>
      <w:tr>
        <w:tc>
          <w:tcPr>
            <w:tcW w:type="dxa" w:w="2880"/>
          </w:tcPr>
          <w:p>
            <w:r>
              <w:rPr>
                <w:sz w:val="19"/>
              </w:rPr>
              <w:t>LGPD</w:t>
            </w:r>
          </w:p>
        </w:tc>
        <w:tc>
          <w:tcPr>
            <w:tcW w:type="dxa" w:w="2880"/>
          </w:tcPr>
          <w:p>
            <w:r>
              <w:rPr>
                <w:sz w:val="19"/>
              </w:rPr>
              <w:t>Sigla</w:t>
            </w:r>
          </w:p>
        </w:tc>
        <w:tc>
          <w:tcPr>
            <w:tcW w:type="dxa" w:w="2880"/>
          </w:tcPr>
          <w:p>
            <w:r>
              <w:rPr>
                <w:sz w:val="19"/>
              </w:rPr>
              <w:t>Lei Geral de Proteção de Dados (Lei nº 13.709/2018) — base legal da Consulta Individual de Assinante.</w:t>
            </w:r>
          </w:p>
        </w:tc>
      </w:tr>
      <w:tr>
        <w:tc>
          <w:tcPr>
            <w:tcW w:type="dxa" w:w="2880"/>
          </w:tcPr>
          <w:p>
            <w:r>
              <w:rPr>
                <w:sz w:val="19"/>
              </w:rPr>
              <w:t>MAD</w:t>
            </w:r>
          </w:p>
        </w:tc>
        <w:tc>
          <w:tcPr>
            <w:tcW w:type="dxa" w:w="2880"/>
          </w:tcPr>
          <w:p>
            <w:r>
              <w:rPr>
                <w:sz w:val="19"/>
              </w:rPr>
              <w:t>Modelo/Técnica</w:t>
            </w:r>
          </w:p>
        </w:tc>
        <w:tc>
          <w:tcPr>
            <w:tcW w:type="dxa" w:w="2880"/>
          </w:tcPr>
          <w:p>
            <w:r>
              <w:rPr>
                <w:sz w:val="19"/>
              </w:rPr>
              <w:t>Median Absolute Deviation — detector de outlier por z-score robusto, limiar |z|&gt;3,5 (Iglewicz &amp; Hoya, 1993).</w:t>
            </w:r>
          </w:p>
        </w:tc>
      </w:tr>
      <w:tr>
        <w:tc>
          <w:tcPr>
            <w:tcW w:type="dxa" w:w="2880"/>
          </w:tcPr>
          <w:p>
            <w:r>
              <w:rPr>
                <w:sz w:val="19"/>
              </w:rPr>
              <w:t>Markov (cadeia de Markov)</w:t>
            </w:r>
          </w:p>
        </w:tc>
        <w:tc>
          <w:tcPr>
            <w:tcW w:type="dxa" w:w="2880"/>
          </w:tcPr>
          <w:p>
            <w:r>
              <w:rPr>
                <w:sz w:val="19"/>
              </w:rPr>
              <w:t>Modelo/Técnica</w:t>
            </w:r>
          </w:p>
        </w:tc>
        <w:tc>
          <w:tcPr>
            <w:tcW w:type="dxa" w:w="2880"/>
          </w:tcPr>
          <w:p>
            <w:r>
              <w:rPr>
                <w:sz w:val="19"/>
              </w:rPr>
              <w:t>Matriz de transição de estados estimada por contagem real de transições observadas na série sintética.</w:t>
            </w:r>
          </w:p>
        </w:tc>
      </w:tr>
      <w:tr>
        <w:tc>
          <w:tcPr>
            <w:tcW w:type="dxa" w:w="2880"/>
          </w:tcPr>
          <w:p>
            <w:r>
              <w:rPr>
                <w:sz w:val="19"/>
              </w:rPr>
              <w:t>MME/AMF</w:t>
            </w:r>
          </w:p>
        </w:tc>
        <w:tc>
          <w:tcPr>
            <w:tcW w:type="dxa" w:w="2880"/>
          </w:tcPr>
          <w:p>
            <w:r>
              <w:rPr>
                <w:sz w:val="19"/>
              </w:rPr>
              <w:t>Sigla</w:t>
            </w:r>
          </w:p>
        </w:tc>
        <w:tc>
          <w:tcPr>
            <w:tcW w:type="dxa" w:w="2880"/>
          </w:tcPr>
          <w:p>
            <w:r>
              <w:rPr>
                <w:sz w:val="19"/>
              </w:rPr>
              <w:t>Mobility Management Entity / Access and Mobility Management Function — pool de controle/sinalização, paralelo à árvore de dados Core→PGW→SGW→Site.</w:t>
            </w:r>
          </w:p>
        </w:tc>
      </w:tr>
      <w:tr>
        <w:tc>
          <w:tcPr>
            <w:tcW w:type="dxa" w:w="2880"/>
          </w:tcPr>
          <w:p>
            <w:r>
              <w:rPr>
                <w:sz w:val="19"/>
              </w:rPr>
              <w:t>PGW/UPF</w:t>
            </w:r>
          </w:p>
        </w:tc>
        <w:tc>
          <w:tcPr>
            <w:tcW w:type="dxa" w:w="2880"/>
          </w:tcPr>
          <w:p>
            <w:r>
              <w:rPr>
                <w:sz w:val="19"/>
              </w:rPr>
              <w:t>Sigla</w:t>
            </w:r>
          </w:p>
        </w:tc>
        <w:tc>
          <w:tcPr>
            <w:tcW w:type="dxa" w:w="2880"/>
          </w:tcPr>
          <w:p>
            <w:r>
              <w:rPr>
                <w:sz w:val="19"/>
              </w:rPr>
              <w:t>Packet Gateway / User Plane Function — nível de agregação entre o Core e os SGW na topologia sintética.</w:t>
            </w:r>
          </w:p>
        </w:tc>
      </w:tr>
      <w:tr>
        <w:tc>
          <w:tcPr>
            <w:tcW w:type="dxa" w:w="2880"/>
          </w:tcPr>
          <w:p>
            <w:r>
              <w:rPr>
                <w:sz w:val="19"/>
              </w:rPr>
              <w:t>RAG / SLM</w:t>
            </w:r>
          </w:p>
        </w:tc>
        <w:tc>
          <w:tcPr>
            <w:tcW w:type="dxa" w:w="2880"/>
          </w:tcPr>
          <w:p>
            <w:r>
              <w:rPr>
                <w:sz w:val="19"/>
              </w:rPr>
              <w:t>Sigla</w:t>
            </w:r>
          </w:p>
        </w:tc>
        <w:tc>
          <w:tcPr>
            <w:tcW w:type="dxa" w:w="2880"/>
          </w:tcPr>
          <w:p>
            <w:r>
              <w:rPr>
                <w:sz w:val="19"/>
              </w:rPr>
              <w:t>Retrieval-Augmented Generation / Small Language Model — mesmo padrão mock dos produtos irmãos: busca lexical sobre corpus estático, sem embeddings nem LLM real.</w:t>
            </w:r>
          </w:p>
        </w:tc>
      </w:tr>
      <w:tr>
        <w:tc>
          <w:tcPr>
            <w:tcW w:type="dxa" w:w="2880"/>
          </w:tcPr>
          <w:p>
            <w:r>
              <w:rPr>
                <w:sz w:val="19"/>
              </w:rPr>
              <w:t>RAT</w:t>
            </w:r>
          </w:p>
        </w:tc>
        <w:tc>
          <w:tcPr>
            <w:tcW w:type="dxa" w:w="2880"/>
          </w:tcPr>
          <w:p>
            <w:r>
              <w:rPr>
                <w:sz w:val="19"/>
              </w:rPr>
              <w:t>Sigla</w:t>
            </w:r>
          </w:p>
        </w:tc>
        <w:tc>
          <w:tcPr>
            <w:tcW w:type="dxa" w:w="2880"/>
          </w:tcPr>
          <w:p>
            <w:r>
              <w:rPr>
                <w:sz w:val="19"/>
              </w:rPr>
              <w:t>Radio Access Technology — NR (5G), LTE (4G) ou WCDMA (3G, tecnologia legada).</w:t>
            </w:r>
          </w:p>
        </w:tc>
      </w:tr>
      <w:tr>
        <w:tc>
          <w:tcPr>
            <w:tcW w:type="dxa" w:w="2880"/>
          </w:tcPr>
          <w:p>
            <w:r>
              <w:rPr>
                <w:sz w:val="19"/>
              </w:rPr>
              <w:t>Regressão Linear</w:t>
            </w:r>
          </w:p>
        </w:tc>
        <w:tc>
          <w:tcPr>
            <w:tcW w:type="dxa" w:w="2880"/>
          </w:tcPr>
          <w:p>
            <w:r>
              <w:rPr>
                <w:sz w:val="19"/>
              </w:rPr>
              <w:t>Modelo/Técnica</w:t>
            </w:r>
          </w:p>
        </w:tc>
        <w:tc>
          <w:tcPr>
            <w:tcW w:type="dxa" w:w="2880"/>
          </w:tcPr>
          <w:p>
            <w:r>
              <w:rPr>
                <w:sz w:val="19"/>
              </w:rPr>
              <w:t>Projeção de saturação de tráfego por mínimos quadrados, com intervalo de confiança de 95% no coeficiente angular.</w:t>
            </w:r>
          </w:p>
        </w:tc>
      </w:tr>
      <w:tr>
        <w:tc>
          <w:tcPr>
            <w:tcW w:type="dxa" w:w="2880"/>
          </w:tcPr>
          <w:p>
            <w:r>
              <w:rPr>
                <w:sz w:val="19"/>
              </w:rPr>
              <w:t>RG (categoria de serviço)</w:t>
            </w:r>
          </w:p>
        </w:tc>
        <w:tc>
          <w:tcPr>
            <w:tcW w:type="dxa" w:w="2880"/>
          </w:tcPr>
          <w:p>
            <w:r>
              <w:rPr>
                <w:sz w:val="19"/>
              </w:rPr>
              <w:t>Sigla/Conceito</w:t>
            </w:r>
          </w:p>
        </w:tc>
        <w:tc>
          <w:tcPr>
            <w:tcW w:type="dxa" w:w="2880"/>
          </w:tcPr>
          <w:p>
            <w:r>
              <w:rPr>
                <w:sz w:val="19"/>
              </w:rPr>
              <w:t>Streaming, Gaming, Social, Comunicação, VPN ou Outros — taxonomia de serviço do CDR móvel, papel equivalente ao SVA da banda fixa.</w:t>
            </w:r>
          </w:p>
        </w:tc>
      </w:tr>
      <w:tr>
        <w:tc>
          <w:tcPr>
            <w:tcW w:type="dxa" w:w="2880"/>
          </w:tcPr>
          <w:p>
            <w:r>
              <w:rPr>
                <w:sz w:val="19"/>
              </w:rPr>
              <w:t>SGW</w:t>
            </w:r>
          </w:p>
        </w:tc>
        <w:tc>
          <w:tcPr>
            <w:tcW w:type="dxa" w:w="2880"/>
          </w:tcPr>
          <w:p>
            <w:r>
              <w:rPr>
                <w:sz w:val="19"/>
              </w:rPr>
              <w:t>Sigla</w:t>
            </w:r>
          </w:p>
        </w:tc>
        <w:tc>
          <w:tcPr>
            <w:tcW w:type="dxa" w:w="2880"/>
          </w:tcPr>
          <w:p>
            <w:r>
              <w:rPr>
                <w:sz w:val="19"/>
              </w:rPr>
              <w:t>Serving Gateway — nível de agregação entre PGW e os sites físicos na topologia sintética.</w:t>
            </w:r>
          </w:p>
        </w:tc>
      </w:tr>
      <w:tr>
        <w:tc>
          <w:tcPr>
            <w:tcW w:type="dxa" w:w="2880"/>
          </w:tcPr>
          <w:p>
            <w:r>
              <w:rPr>
                <w:sz w:val="19"/>
              </w:rPr>
              <w:t>SMP</w:t>
            </w:r>
          </w:p>
        </w:tc>
        <w:tc>
          <w:tcPr>
            <w:tcW w:type="dxa" w:w="2880"/>
          </w:tcPr>
          <w:p>
            <w:r>
              <w:rPr>
                <w:sz w:val="19"/>
              </w:rPr>
              <w:t>Sigla</w:t>
            </w:r>
          </w:p>
        </w:tc>
        <w:tc>
          <w:tcPr>
            <w:tcW w:type="dxa" w:w="2880"/>
          </w:tcPr>
          <w:p>
            <w:r>
              <w:rPr>
                <w:sz w:val="19"/>
              </w:rPr>
              <w:t>Serviço Móvel Pessoal — serviço regulado pela Anatel cuja base de estações licenciadas fundamenta a geografia real do produto.</w:t>
            </w:r>
          </w:p>
        </w:tc>
      </w:tr>
      <w:tr>
        <w:tc>
          <w:tcPr>
            <w:tcW w:type="dxa" w:w="2880"/>
          </w:tcPr>
          <w:p>
            <w:r>
              <w:rPr>
                <w:sz w:val="19"/>
              </w:rPr>
              <w:t>SPOF</w:t>
            </w:r>
          </w:p>
        </w:tc>
        <w:tc>
          <w:tcPr>
            <w:tcW w:type="dxa" w:w="2880"/>
          </w:tcPr>
          <w:p>
            <w:r>
              <w:rPr>
                <w:sz w:val="19"/>
              </w:rPr>
              <w:t>Sigla</w:t>
            </w:r>
          </w:p>
        </w:tc>
        <w:tc>
          <w:tcPr>
            <w:tcW w:type="dxa" w:w="2880"/>
          </w:tcPr>
          <w:p>
            <w:r>
              <w:rPr>
                <w:sz w:val="19"/>
              </w:rPr>
              <w:t>Single Point of Failure — todo nó SGW/PGW é SPOF por construção nesta topologia (sem dado de redundância de enlace).</w:t>
            </w:r>
          </w:p>
        </w:tc>
      </w:tr>
      <w:tr>
        <w:tc>
          <w:tcPr>
            <w:tcW w:type="dxa" w:w="2880"/>
          </w:tcPr>
          <w:p>
            <w:r>
              <w:rPr>
                <w:sz w:val="19"/>
              </w:rPr>
              <w:t>Vamping</w:t>
            </w:r>
          </w:p>
        </w:tc>
        <w:tc>
          <w:tcPr>
            <w:tcW w:type="dxa" w:w="2880"/>
          </w:tcPr>
          <w:p>
            <w:r>
              <w:rPr>
                <w:sz w:val="19"/>
              </w:rPr>
              <w:t>Modelo/Técnica</w:t>
            </w:r>
          </w:p>
        </w:tc>
        <w:tc>
          <w:tcPr>
            <w:tcW w:type="dxa" w:w="2880"/>
          </w:tcPr>
          <w:p>
            <w:r>
              <w:rPr>
                <w:sz w:val="19"/>
              </w:rPr>
              <w:t>Indicador transversal (não persona) de exposição a telas na madrugada — score 0–100 e flag binário, fórmula copiada do JourneyGraph ISP Edition.</w:t>
            </w:r>
          </w:p>
        </w:tc>
      </w:tr>
      <w:tr>
        <w:tc>
          <w:tcPr>
            <w:tcW w:type="dxa" w:w="2880"/>
          </w:tcPr>
          <w:p>
            <w:r>
              <w:rPr>
                <w:sz w:val="19"/>
              </w:rPr>
              <w:t>Voronoi (tesselação)</w:t>
            </w:r>
          </w:p>
        </w:tc>
        <w:tc>
          <w:tcPr>
            <w:tcW w:type="dxa" w:w="2880"/>
          </w:tcPr>
          <w:p>
            <w:r>
              <w:rPr>
                <w:sz w:val="19"/>
              </w:rPr>
              <w:t>Modelo/Técnica</w:t>
            </w:r>
          </w:p>
        </w:tc>
        <w:tc>
          <w:tcPr>
            <w:tcW w:type="dxa" w:w="2880"/>
          </w:tcPr>
          <w:p>
            <w:r>
              <w:rPr>
                <w:sz w:val="19"/>
              </w:rPr>
              <w:t>Partição geométrica do plano em células associadas ao site mais próximo — usada para redistribuir indicadores agregados por área.</w:t>
            </w:r>
          </w:p>
        </w:tc>
      </w:tr>
      <w:tr>
        <w:tc>
          <w:tcPr>
            <w:tcW w:type="dxa" w:w="2880"/>
          </w:tcPr>
          <w:p>
            <w:r>
              <w:rPr>
                <w:sz w:val="19"/>
              </w:rPr>
              <w:t>XGBoost</w:t>
            </w:r>
          </w:p>
        </w:tc>
        <w:tc>
          <w:tcPr>
            <w:tcW w:type="dxa" w:w="2880"/>
          </w:tcPr>
          <w:p>
            <w:r>
              <w:rPr>
                <w:sz w:val="19"/>
              </w:rPr>
              <w:t>Modelo/Técnica</w:t>
            </w:r>
          </w:p>
        </w:tc>
        <w:tc>
          <w:tcPr>
            <w:tcW w:type="dxa" w:w="2880"/>
          </w:tcPr>
          <w:p>
            <w:r>
              <w:rPr>
                <w:sz w:val="19"/>
              </w:rPr>
              <w:t>Classificador supervisionado (gradient boosting) treinado sobre os rótulos do K-Means, para classificação determinística de persona.</w:t>
            </w:r>
          </w:p>
        </w:tc>
      </w:tr>
      <w:tr>
        <w:tc>
          <w:tcPr>
            <w:tcW w:type="dxa" w:w="2880"/>
          </w:tcPr>
          <w:p>
            <w:r>
              <w:rPr>
                <w:sz w:val="19"/>
              </w:rPr>
              <w:t>Segmento</w:t>
            </w:r>
          </w:p>
        </w:tc>
        <w:tc>
          <w:tcPr>
            <w:tcW w:type="dxa" w:w="2880"/>
          </w:tcPr>
          <w:p>
            <w:r>
              <w:rPr>
                <w:sz w:val="19"/>
              </w:rPr>
              <w:t>Modelo/Técnica</w:t>
            </w:r>
          </w:p>
        </w:tc>
        <w:tc>
          <w:tcPr>
            <w:tcW w:type="dxa" w:w="2880"/>
          </w:tcPr>
          <w:p>
            <w:r>
              <w:rPr>
                <w:sz w:val="19"/>
              </w:rPr>
              <w:t>Pós-pago, controle ou pré-pago — campo sintético (não vem do CDR real), gerado por pesos determinísticos por persona para viabilizar o filtro de Segmento.</w:t>
            </w:r>
          </w:p>
        </w:tc>
      </w:tr>
      <w:tr>
        <w:tc>
          <w:tcPr>
            <w:tcW w:type="dxa" w:w="2880"/>
          </w:tcPr>
          <w:p>
            <w:r>
              <w:rPr>
                <w:sz w:val="19"/>
              </w:rPr>
              <w:t>Sigma Index (σ)</w:t>
            </w:r>
          </w:p>
        </w:tc>
        <w:tc>
          <w:tcPr>
            <w:tcW w:type="dxa" w:w="2880"/>
          </w:tcPr>
          <w:p>
            <w:r>
              <w:rPr>
                <w:sz w:val="19"/>
              </w:rPr>
              <w:t>Modelo/Técnica</w:t>
            </w:r>
          </w:p>
        </w:tc>
        <w:tc>
          <w:tcPr>
            <w:tcW w:type="dxa" w:w="2880"/>
          </w:tcPr>
          <w:p>
            <w:r>
              <w:rPr>
                <w:sz w:val="19"/>
              </w:rPr>
              <w:t>Índice topológico de grafo: σ(G) = Σ(grau(u)−grau(v))² sobre as arestas, com grau ponderado pelo tráfego diário — mede heterogeneidade da distribuição de grau. Exibido como série diária no Dígrafo e na Jornada RG.</w:t>
            </w:r>
          </w:p>
        </w:tc>
      </w:tr>
    </w:tbl>
    <w:p/>
    <w:p>
      <w:r>
        <w:rPr>
          <w:b w:val="0"/>
          <w:i/>
        </w:rPr>
        <w:t>Termos institucionais recorrentes em toda a série de documentos da Lounge de Soluções ISP/MNO (RAG, SLM, LGPD, LGT) seguem a mesma definição em todos os Product Reports desta série, por força do padrão de documentação da Vísent (docs/PADRAO_DOCUMENTACAO_PRODUTO.md).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