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00"/>
      </w:pPr>
      <w:r>
        <w:rPr>
          <w:b/>
          <w:bCs/>
          <w:color w:val="000000"/>
          <w:sz w:val="40"/>
          <w:szCs w:val="40"/>
        </w:rPr>
        <w:t xml:space="preserve">JourneyGraph ISP Edition</w:t>
      </w:r>
    </w:p>
    <w:p>
      <w:pPr>
        <w:spacing w:after="360"/>
      </w:pPr>
      <w:r>
        <w:rPr>
          <w:color w:val="000000"/>
          <w:sz w:val="26"/>
          <w:szCs w:val="26"/>
        </w:rPr>
        <w:t xml:space="preserve">Product Report, Tech Reference, Data Reference e Base Metodológica</w:t>
      </w:r>
    </w:p>
    <w:p>
      <w:pPr>
        <w:spacing w:after="60" w:before="300"/>
      </w:pPr>
      <w:r>
        <w:rPr>
          <w:b/>
          <w:bCs/>
          <w:sz w:val="22"/>
          <w:szCs w:val="22"/>
        </w:rPr>
        <w:t xml:space="preserve">Documentação de Produto</w:t>
      </w:r>
    </w:p>
    <w:p>
      <w:pPr>
        <w:spacing w:after="360"/>
      </w:pPr>
      <w:r>
        <w:rPr>
          <w:i/>
          <w:iCs/>
          <w:color w:val="595959"/>
          <w:sz w:val="20"/>
          <w:szCs w:val="20"/>
        </w:rPr>
        <w:t xml:space="preserve">CDRView ISP Edition · Produto B1 — para uso interno e apresentação a parceiros/clientes ISP</w:t>
      </w:r>
    </w:p>
    <w:p>
      <w:pPr>
        <w:spacing w:after="60" w:before="1600"/>
      </w:pPr>
      <w:r>
        <w:rPr>
          <w:sz w:val="22"/>
          <w:szCs w:val="22"/>
        </w:rPr>
        <w:t xml:space="preserve">Agosto de 2026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Documento gerado a partir do corpus técnico embutido em journeygraph/index.html e do histórico real de commits do repositório — conteúdo factual, não redigido de memória.</w:t>
      </w:r>
    </w:p>
    <w:p>
      <w:pPr>
        <w:pageBreakBefore/>
      </w:pPr>
    </w:p>
    <w:p>
      <w:pPr>
        <w:pStyle w:val="Heading1"/>
      </w:pPr>
      <w:r>
        <w:t xml:space="preserve">Sumário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1. Product Report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1.1–1.5 Objeto, Objetivo, Aplicações, Benefícios, Diferenciais</w:t>
      </w:r>
      <w:r>
        <w:rPr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1.6–1.11 Arquitetura executiva, Funcionalidades, Entradas, Transformações, Persistência, Integrações</w:t>
      </w:r>
      <w:r>
        <w:rPr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1.12–1.17 Ambientes, Requisitos, Deploy, Testes, Capacitação, Sustentação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1.18 Histórico de Evolução</w:t>
      </w:r>
      <w:r>
        <w:rPr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2. Tech Reference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2.1–2.4 Arquitetura detalhada, Stack, Desempenho, Parametrização</w:t>
      </w:r>
      <w:r>
        <w:rPr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2.5 ML / IA / RAG / Agentes</w:t>
      </w:r>
      <w:r>
        <w:rPr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60"/>
        <w:ind w:left="360"/>
      </w:pPr>
      <w:r>
        <w:rPr>
          <w:b w:val="false"/>
          <w:bCs w:val="false"/>
          <w:sz w:val="22"/>
          <w:szCs w:val="22"/>
        </w:rPr>
        <w:t xml:space="preserve">2.6 Catálogo de Indicadores (fonte canônica única)</w:t>
      </w:r>
      <w:r>
        <w:rPr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3. Data Reference</w:t>
      </w:r>
      <w:r>
        <w:rPr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4. Base Metodológica</w:t>
      </w:r>
      <w:r>
        <w:rPr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5. Use Cases</w:t>
      </w:r>
      <w:r>
        <w:rPr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Ressalvas / Honestidade Metodológica</w:t>
      </w:r>
      <w:r>
        <w:rPr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Base Legal / Controle de Acesso a Dado Pessoal</w:t>
      </w:r>
      <w:r>
        <w:rPr>
          <w:sz w:val="22"/>
          <w:szCs w:val="22"/>
        </w:rPr>
        <w:t xml:space="preserve">	18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sz w:val="22"/>
          <w:szCs w:val="22"/>
        </w:rPr>
        <w:t xml:space="preserve">Glossário e Siglas</w:t>
      </w:r>
      <w:r>
        <w:rPr>
          <w:sz w:val="22"/>
          <w:szCs w:val="22"/>
        </w:rPr>
        <w:t xml:space="preserve">	19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Report</w:t>
      </w:r>
    </w:p>
    <w:p>
      <w:pPr>
        <w:pStyle w:val="Heading2"/>
      </w:pPr>
      <w:r>
        <w:t xml:space="preserve">1.1 Objeto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JourneyGraph ISP Edition (produto B1 do portfólio CDRView da Vísent OSX Telecomunicações) é uma plataforma de inteligência de jornada digital para provedores regionais de acesso à Internet. A partir de registros nativos de rede — RADIUS Accounting (RFC 2866) e fluxos IPFIX/NetFlow — reconstrói o comportamento digital de cada assinante sem sonda ativa, DPI de conteúdo ou instalação em dispositivo, entregando um dashboard analítico interativo e standalone (HTML + D3.js) que roda sem servidor, banco de dados ou build step.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produto calcula 25 indicadores (24 implementados + 1 documentado como gap de dado) a partir de um único par de fontes, cobrindo três frentes de valor: engenharia de rede, comercial/receita e saúde digital/compliance — esta última com ressalvas de uso explícitas e proeminentes.</w:t>
      </w:r>
    </w:p>
    <w:p>
      <w:pPr>
        <w:pStyle w:val="Heading2"/>
      </w:pPr>
      <w:r>
        <w:t xml:space="preserve">1.2 Objetivo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Endereçar a lacuna entre o volume de dado de rede que um ISP regional já coleta para tarifação e engenharia de tráfego (RADIUS, IPFIX) e a ausência de uma camada analítica que transforme esse dado em decisão de produto, rede ou receita — sem exigir nova infraestrutura de coleta.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Falta de visibilidade de jornada: </w:t>
      </w:r>
      <w:r>
        <w:t xml:space="preserve">o ISP sabe quanto cada assinante consome, mas não onde/quando/como.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Portfólio de SVA sem dado: </w:t>
      </w:r>
      <w:r>
        <w:t xml:space="preserve">decisões de manter, negociar ou descontinuar serviços de valor agregado são tomadas por intuição comercial.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Churn e upsell reativos: </w:t>
      </w:r>
      <w:r>
        <w:t xml:space="preserve">sem sinal antecipado de queda de engajamento ou saturação de link.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Qualidade de rede fragmentada: </w:t>
      </w:r>
      <w:r>
        <w:t xml:space="preserve">métricas existem sem um índice único e auditável.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Ausência de camada de saúde digital: </w:t>
      </w:r>
      <w:r>
        <w:t xml:space="preserve">pressão regulatória crescente (ECA Digital, diretrizes de saúde pública) sem nenhum instrumento de medição, mesmo agregado.</w:t>
      </w:r>
    </w:p>
    <w:p>
      <w:pPr>
        <w:pStyle w:val="Heading2"/>
      </w:pPr>
      <w:r>
        <w:t xml:space="preserve">1.3 Aplicações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Engenharia/NOC: </w:t>
      </w:r>
      <w:r>
        <w:t xml:space="preserve">dimensionamento de capacidade e detecção de degradação por OLT antes do chamado no SAC.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Comercial: </w:t>
      </w:r>
      <w:r>
        <w:t xml:space="preserve">priorização de retenção por risco de churn, ponderada por ARPU; campanhas de upsell segmentadas por tipo de oportunidade.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Produto: </w:t>
      </w:r>
      <w:r>
        <w:t xml:space="preserve">decisão de portfólio de SVA por papel estrutural (Ponte/Âncora/Núcleo/Satélite), não por benchmark de mercado.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Marketing: </w:t>
      </w:r>
      <w:r>
        <w:t xml:space="preserve">8 personas comportamentais construídas a partir de uso real de rede, via clustering K-Means++.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Compliance/Saúde: </w:t>
      </w:r>
      <w:r>
        <w:t xml:space="preserve">indicadores agregados e probabilísticos de padrão de uso digital, com ressalva de uso proeminente em cada tela.</w:t>
      </w:r>
    </w:p>
    <w:p>
      <w:pPr>
        <w:pStyle w:val="Heading2"/>
      </w:pPr>
      <w:r>
        <w:t xml:space="preserve">1.4 Benefícios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Reaproveitamento total de dado já coletado: </w:t>
      </w:r>
      <w:r>
        <w:t xml:space="preserve">nenhum indicador exige sonda nova, DPI de conteúdo ou instalação em dispositivo.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Um mesmo tensor de dados alimenta 3 públicos: </w:t>
      </w:r>
      <w:r>
        <w:t xml:space="preserve">engenharia, comercial e produto/compliance consultam a mesma base, sem retrabalho de integração.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Entrega sem atrito de infraestrutura: </w:t>
      </w:r>
      <w:r>
        <w:t xml:space="preserve">artefato HTML standalone — prova de valor em dias, não meses.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Governança de indicador madura desde o desenho: </w:t>
      </w:r>
      <w:r>
        <w:t xml:space="preserve">cada indicador sensível já nasce com ressalva de uso documentada e visível na interface.</w:t>
      </w:r>
    </w:p>
    <w:p>
      <w:pPr>
        <w:pStyle w:val="Heading2"/>
      </w:pPr>
      <w:r>
        <w:t xml:space="preserve">1.5 Diferenciais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Segundo o material de posicionamento da Lounge de Soluções ISP da Vísent, o JourneyGraph é hoje o único produto mapeado no mercado brasileiro que conecta comportamento digital do assinante ao portfólio de SVA, com granularidade de bairro e horário — sem sonda ou DPI em linha.</w:t>
      </w:r>
    </w:p>
    <w:p>
      <w:pPr>
        <w:pStyle w:val="Heading2"/>
      </w:pPr>
      <w:r>
        <w:t xml:space="preserve">1.6 Arquitetura (visão executiva)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Três camadas físicas — dados de entrada (CSV RADIUS/IPFIX), pipeline de processamento (Python 3.10+, stdlib) e artefato de saída (HTML5 + D3.js, portátil, sem hospedagem dedicada) — e quatro camadas lógicas executadas em sequência num único processo: Ingestão e Correlação, Agregação, Modelagem Analítica e Apresentação. Um quinto componente, hoje nativo ao mesmo pipeline (consolidado em 21/07/2026), adiciona a camada conversacional do Assistente RAG/SLM. Detalhamento técnico completo em §2.1.</w:t>
      </w:r>
    </w:p>
    <w:p>
      <w:pPr>
        <w:pStyle w:val="Heading2"/>
      </w:pPr>
      <w:r>
        <w:t xml:space="preserve">1.7 Funcionalidades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dashboard organiza os 25 indicadores em 9 telas de navegação: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o usuário faz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Visão Geral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indicadores-resumo, ranking de categorias, assinantes em risco, alertas recentes e participação de personas.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Dígrafo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Grafo dirigido (D3) do fluxo de consumo — modos Categorias (9 nós) ou SVAs (papel estratégico), filtros avançados, sparkline de Sigma.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Gráficos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visualizações longitudinais: volume por categoria, velocidade média, composição semanal, penetração de SVA, entre outras.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Insights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Churn Signal, Upsell Score e Busy Hour com exportação CSV; classificação estratégica de SVA.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segmentos comportamentais (K-Means++), incluindo a persona PF-8 Menor validada por convergência com o Score de Menoridade.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eFenotipagem Digital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indicadores de saúde digital, com ressalva de uso proeminente e recorrente na interface.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Qualidade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IQRE_ISP, Sigma decomposto, Centralidade, Congestionamento OLT, 5 KPIs FCAPS, Taxa de Queda de Sessão e QoE Proximal.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Alertas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tipos de exceção em 4 níveis de severidade, com causa provável e tendência (Bayes/Markov reais por persona), status de tratamento e encaminhamento.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Assistente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Chat em linguagem natural sobre indicadores, fontes de dado, funcionalidades e boas práticas de mercado.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Consulta Individual (restrita)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Perfil determinístico de assinante identificado, com dígrafo individual e trilha de auditoria — ver capítulo Base Legal.</w:t>
            </w:r>
          </w:p>
        </w:tc>
      </w:tr>
    </w:tbl>
    <w:p>
      <w:pPr>
        <w:pStyle w:val="Heading2"/>
      </w:pPr>
      <w:r>
        <w:t xml:space="preserve">1.8 Entradas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RADIUS Accounting (RFC 2866): </w:t>
      </w:r>
      <w:r>
        <w:t xml:space="preserve">sessão de acesso PPPoE/IPoE — identidade, plano, duração, volume. Base de referência: 404.379 sessões (15.000 assinantes / 30 dias).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IPFIX / NetFlow (v9/v10): </w:t>
      </w:r>
      <w:r>
        <w:t xml:space="preserve">fluxo de rede individual — volume, portas, protocolo, SNI. Base de referência: 16.175.160 fluxos, ~3,6 GB.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Ambos já são produzidos por qualquer operação de ISP com AAA e coleta de fluxo — nenhum sensor, sonda ou DPI de conteúdo adicional é necessário. Dicionário de campos completo em §3.1.</w:t>
      </w:r>
    </w:p>
    <w:p>
      <w:pPr>
        <w:pStyle w:val="Heading2"/>
      </w:pPr>
      <w:r>
        <w:t xml:space="preserve">1.9 Transformações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Correlação de RADIUS e IPFIX por Acct-Session-Id ↔ session_id, classificação de cada fluxo em categoria de tráfego e SVA, agregação por assinante (semanal/diário/horário/SVA), construção do tensor 4D e do dígrafo de jornada, e cálculo dos 25 indicadores do catálogo (§2.6). Bases teóricas dos algoritmos em §4.1.</w:t>
      </w:r>
    </w:p>
    <w:p>
      <w:pPr>
        <w:pStyle w:val="Heading2"/>
      </w:pPr>
      <w:r>
        <w:t xml:space="preserve">1.10 Persistência e Saídas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Não há banco de dados: todo o processamento acontece em memória durante a execução do pipeline, e o resultado (tensor, dígrafo, indicadores, corpus do Assistente) é serializado como JSON e embutido diretamente no HTML final (journey-graph-isp.html, entre 450 KB e 1,7 MB). O artefato é totalmente portátil e auditável — pode ser versionado, armazenado ou inspecionado como qualquer outro documento.</w:t>
      </w:r>
    </w:p>
    <w:p>
      <w:pPr>
        <w:pStyle w:val="Heading2"/>
      </w:pPr>
      <w:r>
        <w:t xml:space="preserve">1.11 Integrações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Nenhuma integração de sistema em tempo real nesta versão: o produto consome exports estáticos de AAA (FreeRADIUS, Cisco ISE) e de coletor NetFlow/IPFIX (ntopng, GoFlow, SoftFlowd). Cita, para fins de posicionamento de escopo (não de integração de fato), o produto irmão MinorScore™/Égide (adendo técnico de classificação supervisionada em granularidade individual/tempo real — fora do escopo deste produto, ver §1.18/Ressalvas) e o protótipo irmão ITXView ISP Edition (ver documento ITXView desta mesma série, que cobre a vertical S/PRM do eTOM).</w:t>
      </w:r>
    </w:p>
    <w:p>
      <w:pPr>
        <w:pStyle w:val="Heading2"/>
      </w:pPr>
      <w:r>
        <w:t xml:space="preserve">1.12 Ambientes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Navegador moderno (Chrome/Edge/Firefox), via abertura direta do arquivo (file://) ou servidor estático simples. Pipeline de geração roda em estação de trabalho padrão, sem paralelização.</w:t>
      </w:r>
    </w:p>
    <w:p>
      <w:pPr>
        <w:pStyle w:val="Heading2"/>
      </w:pPr>
      <w:r>
        <w:t xml:space="preserve">1.13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3.10+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Pipeline — stdlib apenas, mais python-docx (só para o Assistente ler a documentação de origem do corpus)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D3.js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7.8.5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Visualizações — CDN Cloudflare, carregado em tempo de execução no navegador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Chrome/Edge/Firefox modernos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Abertura direta via file://, sem servidor HTTP</w:t>
            </w:r>
          </w:p>
        </w:tc>
      </w:tr>
    </w:tbl>
    <w:p>
      <w:pPr>
        <w:pStyle w:val="Heading2"/>
      </w:pPr>
      <w:r>
        <w:t xml:space="preserve">1.14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both"/>
            </w:pPr>
            <w:r>
              <w:rPr>
                <w:i w:val="false"/>
                <w:iCs w:val="false"/>
                <w:color w:val="404040"/>
                <w:sz w:val="19"/>
                <w:szCs w:val="19"/>
              </w:rPr>
              <w:t xml:space="preserve">python 00_generate_synthetic.py -n 15000 -d 30 -s 42 -o .   # dados sintéticos (ou CSV real)</w:t>
            </w:r>
          </w:p>
          <w:p>
            <w:pPr>
              <w:spacing w:after="40"/>
              <w:jc w:val="both"/>
            </w:pPr>
            <w:r>
              <w:rPr>
                <w:i w:val="false"/>
                <w:iCs w:val="false"/>
                <w:color w:val="404040"/>
                <w:sz w:val="19"/>
                <w:szCs w:val="19"/>
              </w:rPr>
              <w:t xml:space="preserve">python pipeline_tensor_isp.py                                # gera journey-graph-isp.html</w:t>
            </w:r>
          </w:p>
          <w:p>
            <w:pPr>
              <w:spacing w:after="0"/>
              <w:jc w:val="both"/>
            </w:pPr>
            <w:r>
              <w:rPr>
                <w:i w:val="false"/>
                <w:iCs w:val="false"/>
                <w:color w:val="404040"/>
                <w:sz w:val="19"/>
                <w:szCs w:val="19"/>
              </w:rPr>
              <w:t xml:space="preserve">start journey-graph-isp.html                                 # abre no navegador</w:t>
            </w:r>
          </w:p>
        </w:tc>
      </w:tr>
    </w:tbl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Em produção, os CSVs sintéticos são substituídos por exports reais do AAA e do coletor NetFlow/IPFIX, sem nenhuma mudança de código — apenas o caminho dos arquivos de entrada.</w:t>
      </w:r>
    </w:p>
    <w:p>
      <w:pPr>
        <w:pStyle w:val="Heading2"/>
      </w:pPr>
      <w:r>
        <w:t xml:space="preserve">1.15 Testes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Validação por checagem do log de execução do pipeline (contagens de sessões/fluxos, alertas de fluxo sem sessão correspondente) e checagem visual do HTML gerado. Componentes de matemática sensível (Markov, Bayes) foram validados isoladamente em Node.js antes de embutidos no produto — mesmo processo documentado no Égide Vita (produto herdeiro da mesma arquitetura). Não há suíte de testes automatizados publicada neste repositório para o JourneyGraph.</w:t>
      </w:r>
    </w:p>
    <w:p>
      <w:pPr>
        <w:pStyle w:val="Heading2"/>
      </w:pPr>
      <w:r>
        <w:t xml:space="preserve">1.16 Capacitação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produto é autoexplicativo por desenho: cada indicador sensível exibe ressalva de uso na própria interface, e o Assistente (aba dedicada + embutido na aba Alertas) responde perguntas em linguagem natural sobre indicadores, fontes de dado, funcionalidades e boas práticas de mercado citadas no corpus (§2.6/§4).</w:t>
      </w:r>
    </w:p>
    <w:p>
      <w:pPr>
        <w:pStyle w:val="Heading2"/>
      </w:pPr>
      <w:r>
        <w:t xml:space="preserve">1.17 Sustentação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Curadoria: toda mudança de fórmula, peso ou limiar de indicador deve ser refletida no Tech Reference no mesmo ciclo em que é implementada no código. O corpus do Assistente é derivado automaticamente deste tipo de documento, então mantê-lo atualizado também mantém o Assistente atualizado, sem etapa de curadoria manual adicional.</w:t>
      </w:r>
    </w:p>
    <w:p>
      <w:pPr>
        <w:pStyle w:val="Heading2"/>
      </w:pPr>
      <w:r>
        <w:t xml:space="preserve">1.18 Histórico de Evolução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Linha do tempo condensada dos sprints de desenvolvimento (junho–agosto de 2026), reconciliada entre o changelog embutido no próprio produto (corpus, seção 8/9) e o histórico real de commits deste repositório (git log).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Entregas principais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Junho/2026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Telas Personas e eFenotipagem (VAMPING) criadas; filtros condicionais; sparkline de Sigma; caixa de probabilidade de transição no Dígrafo.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Julho/2026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Filtros avançados de SVA; novos gráficos; painel de classificação de SVA; perfil child_digital; SVAs de IA; menoridade_score; painel ClassInd; 5 KPIs FCAPS; MVP do Assistente RAG/SLM (em fork isolado, depois consolidado); Painel de Alertas (7 tipos, 4 severidades); corpus eTOM/ITU-T M.3050.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21/07/2026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Consolidação: fim do modelo fork/produção, projeto único; correção do bug de arestas SVA no Dígrafo (limiar absoluto → normalização relativa).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22/07/2026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IFCN, IFA, IACF implementados a partir de documento externo de curadoria; botões de encaminhamento de alerta por e-mail/WhatsApp.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27/07/2026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Tela Visão Geral (9ª tela); Assistente em tela cheia; base de referência atualizada para 15.000 assinantes/30 dias; Lounge reestruturada para 3 produtos (JourneyGraph, ITXView, StepGraph).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31/07/2026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Anexo D — análise de aderência às 5 categorias de causa de chamado do BA; Taxa de Queda de Sessão e QoE Proximal implementados; 2 novos tipos de alerta.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01/08/2026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Consulta Individual (Modo Restrito) — senha + motivo + protocolo + auditoria; Dígrafo Individual do assinante (peso do nó por tempo estimado na categoria).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02/08/2026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Interações do Dígrafo Individual (fixar/soltar, painel de detalhe); responsividade — alvos de toque; Causa Provável e Tendência do Painel de Alertas passam a ser Bayes/Markov reais por persona (antes eram heurísticas de score).</w:t>
            </w:r>
          </w:p>
        </w:tc>
      </w:tr>
    </w:tbl>
    <w:p>
      <w:pPr>
        <w:pStyle w:val="Heading1"/>
      </w:pPr>
      <w:r>
        <w:t xml:space="preserve">2. Tech Reference</w:t>
      </w:r>
    </w:p>
    <w:p>
      <w:pPr>
        <w:pStyle w:val="Heading2"/>
      </w:pPr>
      <w:r>
        <w:t xml:space="preserve">2.1 Arquitetura Detalhada</w:t>
      </w:r>
    </w:p>
    <w:p>
      <w:pPr>
        <w:pStyle w:val="Heading3"/>
      </w:pPr>
      <w:r>
        <w:t xml:space="preserve">Arquitetura Física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produto vive inteiramente em uma única pasta de projeto (consolidada em 21/07/2026 — antes dividida entre uma pasta de produção e um fork exploratório, unificados após validação das funcionalidades do fork), sem servidor, banco de dados ou dependência de nuvem para operar.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Artefato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Dados de entrada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radius_accounting_synthetic.csv, ipfix_flows_synthetic.csv (ou exports reais equivalentes)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CSV — ver Anexo A / §3.1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Pipeline de processamento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pipeline_tensor_isp.py, html_template.py, 00_generate_synthetic.py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 3.10+, stdlib apenas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Artefato de saída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journey-graph-isp.html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HTML5 + D3.js v7.8.5 (via CDN)</w:t>
            </w:r>
          </w:p>
        </w:tc>
      </w:tr>
    </w:tbl>
    <w:p>
      <w:pPr>
        <w:pStyle w:val="Heading3"/>
      </w:pPr>
      <w:r>
        <w:t xml:space="preserve">Arquitetura 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Funções-chave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Ingestão e Correlação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Carrega RADIUS/IPFIX, correlaciona por Acct-Session-Id ↔ session_id, classifica cada fluxo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load_radius(), load_and_classify_ipfix(), classify_flow(), classify_sva()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Agregação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Consolida fluxos classificados em estruturas por assinante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aggregate_by_subscriber()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Modelagem Analítica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Constrói o tensor 4D, o dígrafo de jornada e os 25 indicadores do catálogo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build_tensor(), build_digraph(), cluster_personas(), compute_*()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Apresentação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Serializa o resultado em JSON e gera o HTML standalone final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generate_html_app()</w:t>
            </w:r>
          </w:p>
        </w:tc>
      </w:tr>
    </w:tbl>
    <w:p>
      <w:pPr>
        <w:pStyle w:val="Heading3"/>
      </w:pPr>
      <w:r>
        <w:t xml:space="preserve">Camada Conversacional (Assistente RAG/SLM)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Quinto componente lógico, nativo ao mesmo pipeline desde 21/07/2026: build_assistant_corpus(), build_etom_corpus() e build_fenotipagem_ref_corpus() extraem, automaticamente e sem curadoria manual, um corpus de 106 documentos a partir de três fontes — este próprio Tech Reference, a estrutura pública do eTOM/ITU-T M.3050, e a Referência Técnica de Fenotipagem Digital. No lado JavaScript, classifyAssistIntent()/searchAssistCorpus()/queryAssistLiveData() implementam classificação por palavra-chave e busca lexical — sem embeddings, sem LLM real.</w:t>
      </w:r>
    </w:p>
    <w:p>
      <w:pPr>
        <w:pStyle w:val="Heading2"/>
      </w:pPr>
      <w:r>
        <w:t xml:space="preserve">2.2 Stack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Python 3.10+ (stdlib) para o pipeline de geração; D3.js v7.8.5 (via CDN Cloudflare) para as visualizações; HTML5/CSS/JavaScript puro para a apresentação — sem framework de build, sem backend, sem banco de dados.</w:t>
      </w:r>
    </w:p>
    <w:p>
      <w:pPr>
        <w:pStyle w:val="Heading2"/>
      </w:pPr>
      <w:r>
        <w:t xml:space="preserve">2.3 Desempenho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Execução de referência (15.000 assinantes / 30 dias): 404.379 sessões RADIUS, 16.175.160 fluxos IPFIX, ~3,6 GB de dado de entrada, processados em uma única execução local sem paralelização — adequado a uma estação de trabalho padrão. Saída final: journey-graph-isp.html entre 450 KB e 1,7 MB, dependendo do volume de indicadores/corpus embutidos.</w:t>
      </w:r>
    </w:p>
    <w:p>
      <w:pPr>
        <w:pStyle w:val="Heading2"/>
      </w:pPr>
      <w:r>
        <w:t xml:space="preserve">2.4 Parametrização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Parâmetros de geração sintética (-n assinantes, -d dias, -s seed) configuráveis via linha de comando do gerador. Pesos e limiares de cada indicador são constantes definidas no código-fonte do pipeline (não expostas em arquivo de configuração externo nesta versão) — qualquer alteração exige reprocessamento completo do período.</w:t>
      </w:r>
    </w:p>
    <w:p>
      <w:pPr>
        <w:pStyle w:val="Heading2"/>
      </w:pPr>
      <w:r>
        <w:t xml:space="preserve">2.5 ML / IA / RAG / Agentes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Declaração explícita, por componente, do nível real de sofisticação analítica — nenhum é apresentado como mais avançado do que de fato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Natureza real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Personas Digitais (§2.6)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Modelo estatístico real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K-Means++ (k=8) sobre 14 features comportamentais contínuas — clustering não-supervisionado de fato.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Causa Provável e Tendência do Painel de Alertas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Modelo estatístico real, desde 02/08/2026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Rede Bayesiana simplificada (posterior real sobre causas candidatas concorrentes) e cadeia de Markov (matriz de transição estimada por contagem real), client-side, agregadas por PERSONA — não por assinante individual. Antes de 02/08/2026 eram heurísticas de score; ver Ressalvas para o histórico da correção.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de Menoridade, VAMPING e demais indicadores de eFenotipagem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Heurística determinística (regra/combinação linear ponderada)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Combinação linear de 2–4 sinais normalizados, pesos fixos por julgamento de produto — não é modelo estatístico aprendido. Ver §4.1 (Escoragem por Combinação Linear Ponderada).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Assistente RAG/SLM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Mock por palavras-chave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Busca lexical sobre corpus estático de 106 documentos — sem embeddings, sem LLM real de produção.</w:t>
            </w:r>
          </w:p>
        </w:tc>
      </w:tr>
    </w:tbl>
    <w:p>
      <w:pPr>
        <w:pStyle w:val="Heading2"/>
      </w:pPr>
      <w:r>
        <w:t xml:space="preserve">2.6 Catálogo de Indicadores — fonte canônica única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Nota de reconciliação (aplicação da regra de fonte única do padrão de documentação, §6 do PADRAO_DOCUMENTACAO_PRODUTO.md): o corpus do Assistente do JourneyGraph documenta parte destes indicadores da família Saúde Digital duas vezes — uma vez de forma narrativa (com fundamentação científica institucional) e outra no catálogo consolidado com fórmula. Este documento apresenta cada indicador uma única vez, de forma canônica, na tabela por família abaixo — evitando repetir aqui a duplicação já presente no HTML fonte do produto. Ver Ressalvas / Honestidade Metodológica, ao final, para o registro completo deste problema conhecido.</w:t>
            </w:r>
          </w:p>
        </w:tc>
      </w:tr>
    </w:tbl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Catálogo dos 25 indicadores do JourneyGraph ISP Edition (24 implementados + 1 documentado como gap de dado), organizado pelas 4 famílias de valor. Bases teóricas comuns (JSD, grafos/Brandes/PageRank, K-Means++, HHI, escoragem ponderada, normalização por percentil) estão consolidadas uma única vez em §4.1, para não repetir a mesma explicação matemática em cada indicador.</w:t>
      </w:r>
    </w:p>
    <w:p>
      <w:pPr>
        <w:pStyle w:val="Heading3"/>
      </w:pPr>
      <w:r>
        <w:t xml:space="preserve">Família 1 — Dígrafo / SVA (5 indicadores)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(resumo)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Interpretação / Caso de uso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Sigma Topológico (σ)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Variação estrutural do dígrafo de jornada entre dois períodos.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σ = 0,6·JSD(Pt,Pt+1) + 0,4·Δarestas(t,t+1)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&lt;0,02 estável · 0,02–0,05 moderada · &gt;0,05 alta. Alimenta alerta "Sigma alto" (crítico em 0,08).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Centralidade de Nós (categorias)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Proxy de betweenness sobre o dígrafo ponderado de transições.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2·in_n·out_n/(in_n+out_n), normalizado 0–100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Hubs da jornada digital — prioriza investimento por impacto estrutural, não volume bruto.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Densidade do Dígrafo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Razão entre arestas observadas e possíveis.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n_arestas / (n_nós·(n_nós−1))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Baseline comparativo entre segmentos/cidades/períodos; satura perto de 1,0 em bases pequenas.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SVA — Papel Estratégico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 cada SVA via grafo de afinidade P(usa B|usa A).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Brandes (betweenness exata) + PageRank ponderado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Ponte/Âncora/Núcleo/Satélite — orienta negociação com parceiros e portfólio próprio.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Detecção de Bundles de SVA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Agrupa SVAs por afinidade mútua (comunidades).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Afinidade mútua ≥35% em ambas direções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Desenho de pacote comercial orientado a coocorrência real de uso, não intuição.</w:t>
            </w:r>
          </w:p>
        </w:tc>
      </w:tr>
    </w:tbl>
    <w:p>
      <w:pPr>
        <w:pStyle w:val="Heading3"/>
      </w:pPr>
      <w:r>
        <w:t xml:space="preserve">Família 2 — Comercial / Operacional (3 indicadores)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(resumo)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Interpretação / Caso de uso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Busy Hour e Congestionamento OLT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Agrega volume por hora/assinante/equipamento.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peak_ratio = bytes_hora_pico / média_horária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Alto &gt;3, médio &gt;2–3, baixo ≤2. Dimensionamento de CAPEX e priorização de manutenção.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Churn Signal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de risco de cancelamento por assinante.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0–100: queda de volume + dias sem sessão + redução de sessão + tendência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Alto ≥60. Priorização Top 20 ponderada por log(ARPU). Sinal complementar, não substitui dado comercial.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Upsell Score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de propensão a upgrade.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0–100: utilização + volume acima da média + D/U ratio + ARPU relativo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 oportunidade: Creator/Home Office, Link Saturado, Heavy User.</w:t>
            </w:r>
          </w:p>
        </w:tc>
      </w:tr>
    </w:tbl>
    <w:p>
      <w:pPr>
        <w:pStyle w:val="Heading3"/>
      </w:pPr>
      <w:r>
        <w:t xml:space="preserve">Família 3 — Qualidade de Rede (7 indicadores)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(resumo)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Interpretação / Caso de uso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IQRE_ISP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composto de qualidade percebida por segmento.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0,50·throughput + 0,35·estabilidade + 0,15·saúde_sessão, ×100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≥80 excelente · ≥65 atenção · &lt;65 crítico. Decompõe por componente para diagnóstico.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— Fault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Reaproveita o Churn Signal como sinal de falha (não comercial).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assinantes com churn_score alto no segmento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alta pode indicar problema de equipamento/OLT compartilhado.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— Configuration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Saturação de link contratado por segmento.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assinantes com link_util_pct &gt;80%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Gargalo de capacidade ou oportunidade de upsell.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— Accounting (ARPU×IQRE / HHI)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ARPU vs. qualidade; concentração de bytes por SVA.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Comparação direta; HHI = Σ market-share²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ARPU alto + IQRE baixo = risco de churn por percepção de valor; HHI alto = dependência de parceiro.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— Security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Exposição a tráfego P2P/Torrent.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assinantes com &gt;5% do tráfego em P2P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Risco de abuso de banda e exposição a notificação DMCA/Marco Civil.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de Queda de Sessão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sessões terminadas por Lost-Carrier.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n(Lost-Carrier)/n_terminadas ×100, por NAS/segmento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&lt;7% normal · 7–15% atenção · ≥15% crítico. 100% extraível do RADIUS já coletado.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QoE Proximal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Proxy de retransmissão/jitter para categorias sensíveis a latência.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retransmissão TCP estimada + jitter estimado por categoria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&lt;1,0% normal · 1,0–2,2% atenção · ≥2,2% crítico. Estimativa qualitativa, não medição por fluxo (ver Ressalvas).</w:t>
            </w:r>
          </w:p>
        </w:tc>
      </w:tr>
    </w:tbl>
    <w:p>
      <w:pPr>
        <w:pStyle w:val="Heading3"/>
      </w:pPr>
      <w:r>
        <w:t xml:space="preserve">Família 4 — Saúde Digital / eFenotipagem (10, incl. 1 gap de dado)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Todos calculados exclusivamente a partir de padrão de tráfego de rede — nenhum usa dado de identidade, conteúdo ou instalação em dispositivo. Nenhum deve ser usado isoladamente para decisão automatizada sobre o assinante.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6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Cálculo (resumo)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Interpretação / Caso de uso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VAMPING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Intensidade de uso noturno crítico (22h–6h).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60%·tráfego noturno + 40%·% entretenimento/social no período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Alto ≥40 · médio 20–39 · baixo &lt;20.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Verificação Compulsiva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Aproximação de burstiness de checagem.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60%·frequência de sessões/dia + 40%·brevidade, normalizados por percentil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Sessão RADIUS é "always-on"; normalização por percentil (não limiar absoluto) da própria base.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Binge Watching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Sessões longas concentradas em entretenimento.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50%·duração acima do típico + 50%·% streaming+gaming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Mesma normalização por percentil, mesmo motivo estrutural.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Isolamento Digital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Ausência de variação de localidade + tráfego residencial contínuo.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 não implementado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Gap de dado: exige Cell ID (CDR móvel), indisponível em IPFIX de banda larga fixa.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Dependência de IA Generativa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Intensidade de uso de assistentes de IA (SNI).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50%·% bytes IA + 30%·frequência de sessões + 20%·padrão noturno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Indicador de intensidade de uso, não diagnóstico de dependência clínica.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de Menoridade (indicativo)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Padrão compatível com uso infanto-juvenil no domicílio.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45%·mix social/gaming vs. trabalho/voip + 35%·padrão 15h–21h + 20%·D/U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≥60 aciona ClassInd. Validado por convergência com a persona PF-8 Menor (K-Means, score médio 72,4).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ClassInd — % de acessos de risco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Para Score de Menoridade ≥60, % de bytes em SVAs 16/18 anos.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bytes classind 16/18 no grupo flaggeado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Visão agregada, não individual. Tabela classind por SVA é aproximação — requer validação MJSP antes de produção.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IFCN — Fadiga Cognitiva Noturna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Transição de tráfego cognitivo para passivo (20h–22h).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50%·% passivo 20h–22h + 50%·queda de cloud_work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Discussão de bem-estar digital e fadiga corporativa.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IFA — Fragmentação de Atenção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Alternância de categoria dentro de sessão ativa.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60%·transições/hora + 40%·CV da duração dos fluxos, normalizados por percentil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Calculado do dado bruto de sessões (não do agregado por hora).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IACF — Assimetria de Convivência Familiar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Proxy de múltiplos usuários/telas simultâneas (19h–23h).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50%·sobreposição temporal + 50%·diversidade de categoria concorrente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Adaptação do indicador original (não usa IP por dispositivo — indisponível na arquitetura de coleta).</w:t>
            </w:r>
          </w:p>
        </w:tc>
      </w:tr>
    </w:tbl>
    <w:p>
      <w:pPr>
        <w:pStyle w:val="Heading1"/>
      </w:pPr>
      <w:r>
        <w:t xml:space="preserve">3. Data Reference</w:t>
      </w:r>
    </w:p>
    <w:p>
      <w:pPr>
        <w:pStyle w:val="Heading2"/>
      </w:pPr>
      <w:r>
        <w:t xml:space="preserve">3.1 Dicionário de Dados</w:t>
      </w:r>
    </w:p>
    <w:p>
      <w:pPr>
        <w:pStyle w:val="Heading3"/>
      </w:pPr>
      <w:r>
        <w:t xml:space="preserve">RADIUS Accounting (RFC 2866)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no pipeline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Acct-Session-Id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 UUID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Chave de correlação com fluxos IPFIX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User-Name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Identidade do assinante (fallback de subscriber_id)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Framed-IP-Address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IPv4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 do assinante — correlação com src_ip do IPFIX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NAS-IP-Address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IPv4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Identificação do NAS/OLT — base do Congestionamento OLT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Acct-Session-Time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 (s)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Duração da sessão — base de Verificação Compulsiva/Binge Watching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Acct-Input/Output-Octets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Upload/download — D/U ratio, volume principal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Acct-Terminate-Cause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Causa de encerramento — base da Taxa de Queda de Sessão (Lost-Carrier)</w:t>
            </w:r>
          </w:p>
        </w:tc>
      </w:tr>
    </w:tbl>
    <w:p>
      <w:pPr>
        <w:pStyle w:val="Heading3"/>
      </w:pPr>
      <w:r>
        <w:t xml:space="preserve">IPFIX / NetFlow (v9/v10)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no pipeline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Correlação com Acct-Session-Id do RADIUS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src_ip / dst_ip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IPv4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Validação de assinante / SVA por CIDR (roadmap)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dst_port / protocol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 / TCP-UDP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Classificação heurística de categoria de tráfego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bytes_in/out, packets_in/out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Volume por fluxo; packets_in/out também base do QoE Proximal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flow_start / flow_end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ISO datetime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Sequência temporal dentro da sessão — base de IFA/IACF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SNI hostname (TLS ClientHello) — classificação de SVA por keyword lookup</w:t>
            </w:r>
          </w:p>
        </w:tc>
      </w:tr>
    </w:tbl>
    <w:p>
      <w:pPr>
        <w:pStyle w:val="Heading3"/>
      </w:pPr>
      <w:r>
        <w:t xml:space="preserve">Schema do Corpus do Assistente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JourneyGraph declara o corpus com chaves JSON entre aspas (schema mínimo definido no padrão de documentação, §5): id, secao, corpus, titulo, fonte, texto. 106 documentos ao todo, extraídos automaticamente do Tech Reference, da estrutura pública do eTOM/ITU-T M.3050 e da Referência Técnica de Fenotipagem Digital.</w:t>
      </w:r>
    </w:p>
    <w:p>
      <w:pPr>
        <w:pStyle w:val="Heading2"/>
      </w:pPr>
      <w:r>
        <w:t xml:space="preserve">3.2 Volumetria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 de referência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Assinantes / período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15.000 assinantes / 30 dias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Base de referência para todos os números abaixo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Sessões RADIUS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404.379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~100 MB de CSV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Fluxos IPFIX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16.175.160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~3,6 GB de CSV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Artefato de saída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450 KB – 1,7 MB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journey-graph-isp.html, variando com volume de indicadores/corpus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Corpus do Assistente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106 documentos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Extraídos automaticamente, sem curadoria manual</w:t>
            </w:r>
          </w:p>
        </w:tc>
      </w:tr>
    </w:tbl>
    <w:p>
      <w:pPr>
        <w:pStyle w:val="Heading2"/>
      </w:pPr>
      <w:r>
        <w:t xml:space="preserve">3.3 Esquema de Saída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Todo o resultado (tensor, dígrafo, catálogo de indicadores calculados, corpus do Assistente) é serializado como um único objeto JSON (var RAW) embutido no HTML final — sem banco de dados nem API. Não há exportação estruturada separada além do próprio artefato HTML e dos exports CSV pontuais disponíveis na aba Insights (Churn Signal, Upsell Score, Busy Hour).</w:t>
      </w:r>
    </w:p>
    <w:p>
      <w:pPr>
        <w:pStyle w:val="Heading1"/>
      </w:pPr>
      <w:r>
        <w:t xml:space="preserve">4. Base Metodológica</w:t>
      </w:r>
    </w:p>
    <w:p>
      <w:pPr>
        <w:pStyle w:val="Heading2"/>
      </w:pPr>
      <w:r>
        <w:t xml:space="preserve">4.1 Bases Teóricas dos Algoritmos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Consolidado único das técnicas reutilizadas por múltiplos indicadores do catálogo (§2.6) — evita repetir a mesma explicação matemática em cada ficha de indicador.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Divergência de Jensen-Shannon (JSD): </w:t>
      </w:r>
      <w:r>
        <w:t xml:space="preserve">métrica de teoria da informação, simétrica e sempre finita, para distância entre distribuições de probabilidade. Usada no Sigma Topológico.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Teoria de Grafos — Brandes e PageRank: </w:t>
      </w:r>
      <w:r>
        <w:t xml:space="preserve">algoritmo de Brandes (betweenness exata) no grafo de afinidade de SVA; proxy harmônico simplificado no dígrafo de categorias (mais adequado ao volume reduzido de 9 nós); PageRank ponderado para papel estratégico de SVA; detecção de comunidades (modularidade) para bundles.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K-Means++: </w:t>
      </w:r>
      <w:r>
        <w:t xml:space="preserve">variante do K-Means com inicialização probabilística dos centróides, reduzindo risco de mínimo local ruim. Usado para as 8 Personas Digitais a partir de 14 features comportamentais.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Escoragem por Combinação Linear Ponderada: </w:t>
      </w:r>
      <w:r>
        <w:t xml:space="preserve">padrão dominante do produto — praticamente todo indicador comportamental (Churn Signal, Upsell Score, toda a família Saúde Digital) é combinação linear de 2–4 sinais normalizados, pesos fixos por julgamento de produto, não aprendidos por modelo supervisionado. Escolha deliberada por interpretabilidade e auditabilidade — não há "verdade fundamental" rotulada disponível para treinar um classificador supervisionado de churn ou idade reais.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Normalização por Percentil vs. Limiar Absoluto: </w:t>
      </w:r>
      <w:r>
        <w:t xml:space="preserve">descoberta de calibração registrada durante o desenvolvimento — sessão RADIUS de banda larga fixa é estruturalmente "always-on", então limiar absoluto de tempo distorce o resultado. Corrigido para normalização por percentil 5–95 da própria base.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Índice Herfindahl-Hirschman (HHI): </w:t>
      </w:r>
      <w:r>
        <w:t xml:space="preserve">métrica de economia industrial para concentração de mercado — soma dos quadrados dos market-shares. Usada para medir concentração de bytes por SVA (FCAPS Accounting).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Bayes e Markov reais, por persona: </w:t>
      </w:r>
      <w:r>
        <w:t xml:space="preserve">desde 02/08/2026, causa provável (rede Bayesiana simplificada, posterior real sobre causas candidatas concorrentes) e tendência (cadeia de Markov, matriz de transição estimada por contagem real) do Painel de Alertas — client-side, JavaScript puro, agregados pelas 8 personas K-Means++. Ver Ressalvas para o detalhamento das limitações desta granularidade.</w:t>
      </w:r>
    </w:p>
    <w:p>
      <w:pPr>
        <w:pStyle w:val="Heading2"/>
      </w:pPr>
      <w:r>
        <w:t xml:space="preserve">4.2 Normas e Frameworks Setoriais</w:t>
      </w:r>
    </w:p>
    <w:p>
      <w:pPr>
        <w:pStyle w:val="Heading3"/>
      </w:pPr>
      <w:r>
        <w:t xml:space="preserve">eTOM / ITU-T M.3050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eTOM (Enhanced Telecom Operations Map), originalmente framework proprietário da TM Forum (GB921), foi incorporado como recomendação pública pela ITU-T na série M.3050. O JourneyGraph cobre as 4 verticais da área de Assurance do eTOM, cada uma com 2 subprocessos de Nível 2 mapeados a um componente real do produto: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Vertical eTOM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Subprocesso (N2)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 do JourneyGraph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Problem Handling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Churn Signal + Painel de Alertas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Customer QoS/SLA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Accounting (ARPU×IQRE) + IQRE_ISP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SM&amp;O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 Problem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Painel de Alertas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SM&amp;O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 Quality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Aba Qualidade — IQRE_ISP, Sigma, Centralidade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RM&amp;O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Resource Trouble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Congestionamento OLT + FCAPS Fault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RM&amp;O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Resource Performance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Configuration + OLT Heatmap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S/PRM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S/P Problem Reporting &amp;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FCAPS Accounting — HHI de concentração SVA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S/PRM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S/P Performance Management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Matriz de Inteligência de SVA — Ponte/Âncora/Núcleo/Satélite</w:t>
            </w:r>
          </w:p>
        </w:tc>
      </w:tr>
    </w:tbl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Nota de fonte: tabela é um resumo interpretativo da estrutura pública de processos do eTOM — não transcrição literal do texto normativo do M.3050.2. O protótipo irmão ITXView ISP Edition cobre a vertical S/PRM sozinha; o JourneyGraph, por ser voltado ao assinante, cobre as 4 verticais.</w:t>
      </w:r>
    </w:p>
    <w:p>
      <w:pPr>
        <w:pStyle w:val="Heading3"/>
      </w:pPr>
      <w:r>
        <w:t xml:space="preserve">TM Forum Big Data Analytics Guidebook (GB979)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Suíte de melhores práticas da TM Forum para analytics em telecom: GB979 (conceitos), GB979A (70 casos de uso, incl. previsão de churn, otimização de rede, cuidado proativo do cliente) e GB979B (building blocks reutilizáveis). O catálogo de indicadores deste documento já segue, na prática, a mesma estrutura de building block do GB979 — definição, regra de cálculo, interpretação, casos de uso e benefícios.</w:t>
      </w:r>
    </w:p>
    <w:p>
      <w:pPr>
        <w:pStyle w:val="Heading3"/>
      </w:pPr>
      <w:r>
        <w:t xml:space="preserve">Recomendações de Saúde Pública sobre Comportamento Digital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 família Saúde Digital é informada, em nível de contexto geral, por diretrizes da OMS (2019), Ministério da Saúde (2024), Anvisa (2024), CFM (2023) e CFP (2025) sobre uso excessivo de telas e hiperconectividade.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Ressalva de curadoria (C.3): </w:t>
            </w:r>
            <w:r>
              <w:rPr>
                <w:color w:val="594019"/>
                <w:sz w:val="19"/>
                <w:szCs w:val="19"/>
              </w:rPr>
              <w:t xml:space="preserve">as instituições citadas publicam diretrizes gerais sobre os temas — elas não validaram as fórmulas, pesos ou limiares numéricos exatos usados pelos indicadores deste produto, que são construções internas da Vísent. Tratar como referência de contexto e enquadramento de problema, nunca como prova de validação científica de um score específico.</w:t>
            </w:r>
          </w:p>
        </w:tc>
      </w:tr>
    </w:tbl>
    <w:p>
      <w:pPr>
        <w:pStyle w:val="Heading2"/>
      </w:pPr>
      <w:r>
        <w:t xml:space="preserve">4.3 Referências Bibliográficas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ANVISA. Recomendações sobre o uso de telas na infância e adolescência. Brasília, 2024. · CONSELHO FEDERAL DE MEDICINA (CFM). Impactos psicossociais da hiperconectividade digital. Brasília, 2023. · CONSELHO FEDERAL DE PSICOLOGIA (CFP). Dependência tecnológica e saúde mental contemporânea. Brasília, 2025. · HARVARD MEDICAL SCHOOL. Nighttime screen exposure and circadian rhythm disruption in digital environments. Harvard Health Publishing, 2023. · MINISTÉRIO DA SAÚDE. Guia de Atividade Física e Saúde Digital para a População Brasileira. Brasília, 2024. · ORGANIZAÇÃO MUNDIAL DA SAÚDE (OMS). Guidelines on physical activity, sedentary behaviour and sleep for children under 5 years of age. Genebra, 2019. · SCIELO. Estudos sobre o impacto do Vamping e privação de sono em coortes de adolescentes sul-americanos. Cadernos de Saúde Pública, 2024. · Brandes, U. A faster algorithm for betweenness centrality. Journal of Mathematical Sociology, 2001. · Lin, J. Divergence measures based on the Shannon entropy. IEEE Trans. Information Theory, 1991.</w:t>
      </w:r>
    </w:p>
    <w:p>
      <w:pPr>
        <w:pStyle w:val="Heading1"/>
      </w:pPr>
      <w:r>
        <w:t xml:space="preserve">5. Use Cases</w:t>
      </w:r>
    </w:p>
    <w:p>
      <w:pPr>
        <w:pStyle w:val="Heading2"/>
      </w:pPr>
      <w:r>
        <w:t xml:space="preserve">Caso 1 — Roteiro de Cobertura das Causas de Chamado (Anexo D do produto)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O time de BA (Business Analytics) da Vísent correlacionou 5 categorias de motivo de chamado reportado pelo assinante com campos e KPIs de RADIUS/IPFIX, avaliando o que o JourneyGraph já endereça, o que falta e se o indicador faltante é extraível das fontes atuais ou exige fonte externa.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 de chamado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dos chamados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Cobertura do JourneyGraph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Quedas de sinal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32%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Taxa de Queda de Sessão (Lost-Carrier) — 100% RADIUS. Queda física (camada 1/2) ainda exige SNMP/OMCI do OLT.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Lentidão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23%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Ponto mais forte do produto: IQRE_ISP, FCAPS Configuration, Congestionamento OLT/Busy Hour.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Travamento em vídeo/jogo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19%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QoE Proximal (retransmissão/jitter estimados). Medição real por fluxo exige upgrade de probe IPFIX.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Instabilidade externa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17%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endereçado hoje — puramente física, fora do que RADIUS/IPFIX podem ver. Exige potência óptica (SNMP/OMCI) e GIS de planta.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Outros (CPE, Wi-Fi, energia)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9%</w:t>
            </w:r>
          </w:p>
        </w:tc>
        <w:tc>
          <w:tcPr>
            <w:tcW w:type="dxa" w:w="33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endereçado — exige telemetria TR-069/TR-181 do CPE e alarme de energia da ONU.</w:t>
            </w:r>
          </w:p>
        </w:tc>
      </w:tr>
    </w:tbl>
    <w:p>
      <w:pPr>
        <w:spacing w:after="200"/>
        <w:jc w:val="both"/>
      </w:pPr>
      <w:r>
        <w:rPr>
          <w:b/>
          <w:bCs/>
        </w:rPr>
        <w:t xml:space="preserve">Contexto: </w:t>
      </w:r>
      <w:r>
        <w:t xml:space="preserve">priorização de roadmap de engenharia orientada por dado real de reclamação, não por intuição.</w:t>
      </w:r>
    </w:p>
    <w:p>
      <w:pPr>
        <w:spacing w:after="200"/>
        <w:jc w:val="both"/>
      </w:pPr>
      <w:r>
        <w:rPr>
          <w:b/>
          <w:bCs/>
        </w:rPr>
        <w:t xml:space="preserve">Benefícios: </w:t>
      </w:r>
      <w:r>
        <w:t xml:space="preserve">os dois indicadores de menor esforço/maior impacto (Taxa de Queda de Sessão, QoE Proximal) já foram implementados só com RADIUS/IPFIX, sem hardware novo.</w:t>
      </w:r>
    </w:p>
    <w:p>
      <w:pPr>
        <w:spacing w:after="200"/>
        <w:jc w:val="both"/>
      </w:pPr>
      <w:r>
        <w:rPr>
          <w:b/>
          <w:bCs/>
        </w:rPr>
        <w:t xml:space="preserve">Limitações: </w:t>
      </w:r>
      <w:r>
        <w:t xml:space="preserve">instabilidade externa e categoria "outros" (26% dos chamados combinados) permanecem sem cobertura nesta versão — exigem integração de sistema OSS novo (SNMP/OMCI do OLT, TR-069 do CPE).</w:t>
      </w:r>
    </w:p>
    <w:p>
      <w:pPr>
        <w:spacing w:after="200"/>
        <w:jc w:val="both"/>
      </w:pPr>
      <w:r>
        <w:rPr>
          <w:b/>
          <w:bCs/>
        </w:rPr>
        <w:t xml:space="preserve">Benchmark: </w:t>
      </w:r>
      <w:r>
        <w:t xml:space="preserve">não há benchmark de mercado público disponível para comparação direta desta cobertura por categoria de chamado.</w:t>
      </w:r>
    </w:p>
    <w:p>
      <w:pPr>
        <w:spacing w:after="200"/>
        <w:jc w:val="both"/>
      </w:pPr>
      <w:r>
        <w:rPr>
          <w:b/>
          <w:bCs/>
        </w:rPr>
        <w:t xml:space="preserve">Exemplos: </w:t>
      </w:r>
      <w:r>
        <w:t xml:space="preserve">Anexo D.6 do Tech Reference original prioriza a implantação por esforço × impacto — SNMP/OMCI do OLT é o próximo item de maior alavancagem, pois cobre tanto queda de sinal físico quanto infraestrutura externa com a mesma fonte.</w:t>
      </w:r>
    </w:p>
    <w:p>
      <w:pPr>
        <w:pStyle w:val="Heading2"/>
      </w:pPr>
      <w:r>
        <w:t xml:space="preserve">Caso 2 — Priorização de Portfólio de SVA por Papel Estrutural</w:t>
      </w:r>
    </w:p>
    <w:p>
      <w:pPr>
        <w:spacing w:after="200"/>
        <w:jc w:val="both"/>
      </w:pPr>
      <w:r>
        <w:rPr>
          <w:b/>
          <w:bCs/>
        </w:rPr>
        <w:t xml:space="preserve">Contexto: </w:t>
      </w:r>
      <w:r>
        <w:t xml:space="preserve">decisão de quais SVAs manter, negociar ou descontinuar, hoje tomada por intuição comercial ou benchmark externo.</w:t>
      </w:r>
    </w:p>
    <w:p>
      <w:pPr>
        <w:spacing w:after="200"/>
        <w:jc w:val="both"/>
      </w:pPr>
      <w:r>
        <w:rPr>
          <w:b/>
          <w:bCs/>
        </w:rPr>
        <w:t xml:space="preserve">Benefícios: </w:t>
      </w:r>
      <w:r>
        <w:t xml:space="preserve">classificação Ponte/Âncora/Núcleo/Satélite via Brandes + PageRank orienta negociação com parceiros de conteúdo e priorização de bundle com dado estrutural real.</w:t>
      </w:r>
    </w:p>
    <w:p>
      <w:pPr>
        <w:spacing w:after="200"/>
        <w:jc w:val="both"/>
      </w:pPr>
      <w:r>
        <w:rPr>
          <w:b/>
          <w:bCs/>
        </w:rPr>
        <w:t xml:space="preserve">Limitações: </w:t>
      </w:r>
      <w:r>
        <w:t xml:space="preserve">penetração conjunta de bundle assume independência estatística entre SVAs — simplificação; correlações reais podem não ser plenamente capturadas.</w:t>
      </w:r>
    </w:p>
    <w:p>
      <w:pPr>
        <w:spacing w:after="200"/>
        <w:jc w:val="both"/>
      </w:pPr>
      <w:r>
        <w:rPr>
          <w:b/>
          <w:bCs/>
        </w:rPr>
        <w:t xml:space="preserve">Benchmark: </w:t>
      </w:r>
      <w:r>
        <w:t xml:space="preserve">abordagem não identificada em ferramentas de mercado equivalentes (MK-Auth, SGP, Controllr) consultadas para o mesmo segmento de ISP regional.</w:t>
      </w:r>
    </w:p>
    <w:p>
      <w:pPr>
        <w:spacing w:after="200"/>
        <w:jc w:val="both"/>
      </w:pPr>
      <w:r>
        <w:rPr>
          <w:b/>
          <w:bCs/>
        </w:rPr>
        <w:t xml:space="preserve">Exemplos: </w:t>
      </w:r>
      <w:r>
        <w:t xml:space="preserve">SVA classificada como Ponte, cuja remoção fragmentaria a jornada com risco de churn em cascata, versus SVA Satélite, candidata a descontinuação.</w:t>
      </w:r>
    </w:p>
    <w:p>
      <w:pPr>
        <w:pStyle w:val="Heading2"/>
      </w:pPr>
      <w:r>
        <w:t xml:space="preserve">Caso 3 — Consulta Individual de Assinante (Modo Restrito)</w:t>
      </w:r>
    </w:p>
    <w:p>
      <w:pPr>
        <w:spacing w:after="200"/>
        <w:jc w:val="both"/>
      </w:pPr>
      <w:r>
        <w:rPr>
          <w:b/>
          <w:bCs/>
        </w:rPr>
        <w:t xml:space="preserve">Contexto: </w:t>
      </w:r>
      <w:r>
        <w:t xml:space="preserve">necessidade operacional de observar um assinante identificado sem exigir opt-in do titular, amparada em três hipóteses legais nomeadas.</w:t>
      </w:r>
    </w:p>
    <w:p>
      <w:pPr>
        <w:spacing w:after="200"/>
        <w:jc w:val="both"/>
      </w:pPr>
      <w:r>
        <w:rPr>
          <w:b/>
          <w:bCs/>
        </w:rPr>
        <w:t xml:space="preserve">Benefícios: </w:t>
      </w:r>
      <w:r>
        <w:t xml:space="preserve">perfil individual determinístico (mesmo ID sempre retorna o mesmo perfil), com trilha de auditoria de motivo/protocolo/timestamp.</w:t>
      </w:r>
    </w:p>
    <w:p>
      <w:pPr>
        <w:spacing w:after="200"/>
        <w:jc w:val="both"/>
      </w:pPr>
      <w:r>
        <w:rPr>
          <w:b/>
          <w:bCs/>
        </w:rPr>
        <w:t xml:space="preserve">Limitações: </w:t>
      </w:r>
      <w:r>
        <w:t xml:space="preserve">autenticação e trilha de auditoria são inteiramente client-side/em memória — não constituem controle de acesso de produção. Ver capítulo Base Legal, ao final deste documento, para o detalhamento completo.</w:t>
      </w:r>
    </w:p>
    <w:p>
      <w:pPr>
        <w:spacing w:after="200"/>
        <w:jc w:val="both"/>
      </w:pPr>
      <w:r>
        <w:rPr>
          <w:b/>
          <w:bCs/>
        </w:rPr>
        <w:t xml:space="preserve">Benchmark: </w:t>
      </w:r>
      <w:r>
        <w:t xml:space="preserve">não aplicável — funcionalidade de compliance interna, não comparada a produto de mercado.</w:t>
      </w:r>
    </w:p>
    <w:p>
      <w:pPr>
        <w:spacing w:after="200"/>
        <w:jc w:val="both"/>
      </w:pPr>
      <w:r>
        <w:rPr>
          <w:b/>
          <w:bCs/>
        </w:rPr>
        <w:t xml:space="preserve">Exemplos: </w:t>
      </w:r>
      <w:r>
        <w:t xml:space="preserve">interceptação legal mediante mandado judicial, apuração de reclamação de ouvidoria, manutenção sob SLA de NOC.</w:t>
      </w:r>
    </w:p>
    <w:p>
      <w:pPr>
        <w:pStyle w:val="Heading1"/>
      </w:pPr>
      <w:r>
        <w:t xml:space="preserve">Ressalvas / Honestidade Metodológica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Consolidação das notas de honestidade metodológica deste documento, no formato exigido pelo padrão de documentação da Vísent (capítulo obrigatório de duas camadas — nota inline no ponto da alegação, mais este resumo consolidado com referência cruzada).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Painel de Alertas — Causa Provável e Tendência: </w:t>
            </w:r>
            <w:r>
              <w:rPr>
                <w:color w:val="594019"/>
                <w:sz w:val="19"/>
                <w:szCs w:val="19"/>
              </w:rPr>
              <w:t xml:space="preserve">real desde 02/08/2026 (rede Bayesiana + cadeia de Markov client-side — ver §2.5/§4.1), mas calculado por PERSONA (8 segmentos), não por assinante individual. Priors e likelihood da rede Bayesiana são autorados por domínio, não reestimados por máxima verossimilhança a partir de log de causa-raiz rotulado (que não existe). A matriz de Markov usa amostra pequena (~25 transições por persona×indicador), mitigada por suavização de Laplace mas ainda ruidosa — tratar as probabilidades exibidas como ordem de grandeza para priorização, não como frequência exata.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Score de Menoridade / PF-8 Menor / ClassInd: </w:t>
            </w:r>
            <w:r>
              <w:rPr>
                <w:color w:val="594019"/>
                <w:sz w:val="19"/>
                <w:szCs w:val="19"/>
              </w:rPr>
              <w:t xml:space="preserve">não identificam idade real do assinante; não devem ser usados isoladamente para decisão automatizada (bloqueio de conteúdo, suspensão de serviço). A tabela ClassInd por SVA é aproximação pública/representativa por plataforma — requer validação contra a fonte oficial MJSP/ClassInd antes de uso em produção.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Dependência de IA / VAMPING / Verificação Compulsiva / Binge Watching / IFCN/IFA/IACF: </w:t>
            </w:r>
            <w:r>
              <w:rPr>
                <w:color w:val="594019"/>
                <w:sz w:val="19"/>
                <w:szCs w:val="19"/>
              </w:rPr>
              <w:t xml:space="preserve">são indicadores de intensidade/padrão de uso, não diagnóstico clínico. As citações de literatura de saúde pública que fundamentam estes indicadores (§4.2) são gerais ao tema — não validam as fórmulas, pesos ou limiares numéricos exatos, que são construções internas da Vísent.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QoE Proximal: </w:t>
            </w:r>
            <w:r>
              <w:rPr>
                <w:color w:val="594019"/>
                <w:sz w:val="19"/>
                <w:szCs w:val="19"/>
              </w:rPr>
              <w:t xml:space="preserve">o coletor atual não extrai RTT/retransmissão real de cada fluxo TCP — em produção, isso requer upgrade do probe IPFIX para uma variante com extensão de performance TCP. Até essa troca, tratar como estimativa qualitativa por categoria, não medição de fluxo individual.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Assistente RAG/SLM: </w:t>
            </w:r>
            <w:r>
              <w:rPr>
                <w:color w:val="594019"/>
                <w:sz w:val="19"/>
                <w:szCs w:val="19"/>
              </w:rPr>
              <w:t xml:space="preserve">mock por palavras-chave e templates, sem embeddings nem LLM real — pode ocasionalmente citar um documento adjacente ao mais relevante.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>Limite de escopo explícito frente ao MinorScore™/Égide: </w:t>
            </w:r>
            <w:r>
              <w:rPr>
                <w:color w:val="594019"/>
                <w:sz w:val="19"/>
                <w:szCs w:val="19"/>
              </w:rPr>
              <w:t xml:space="preserve">o JourneyGraph não implementa e não pretende implementar grafos de linha individual, nem inferência Bayesiana/Markov na granularidade de assinante individual em tempo real — isso permanece exclusivo do adendo técnico do produto MinorScore™/Égide, distinto deste. Desde 02/08/2026 o JourneyGraph implementa Bayes e Markov reais, mas agregados por PERSONA, não por linha/assinante individual — a distinção deixou de ser "real vs. heurística" e passou a ser de granularidade e janela temporal.</w:t>
            </w:r>
          </w:p>
        </w:tc>
      </w:tr>
    </w:tbl>
    <w:p>
      <w:pPr>
        <w:pStyle w:val="Heading2"/>
      </w:pPr>
      <w:r>
        <w:t xml:space="preserve">Problema conhecido — duplicação de indicadores no HTML fonte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A9C4" w:sz="4"/>
              <w:left w:val="single" w:color="8DA9C4" w:sz="24"/>
              <w:bottom w:val="single" w:color="8DA9C4" w:sz="4"/>
              <w:right w:val="single" w:color="8DA9C4" w:sz="4"/>
            </w:tcBorders>
            <w:shd w:fill="E8EE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i/>
                <w:iCs/>
                <w:color w:val="2E4A66"/>
                <w:sz w:val="19"/>
                <w:szCs w:val="19"/>
              </w:rPr>
              <w:t xml:space="preserve">O corpus do Assistente do JourneyGraph documenta parte dos indicadores da família Saúde Digital duas vezes: uma vez narrativamente (seções 2.x/3.x do corpus, com fundamentação científica institucional extensa) e novamente no catálogo consolidado (seção 5.4, com fórmula e regra de cálculo). Exemplos: Score de Menoridade em 2.6 e 5.4.6; VAMPING em 2.1 e 5.4.1; e o padrão se repete para Verificação Compulsiva, Binge Watching, Isolamento Digital, Dependência de IA e três dos quatro indicadores complementares (IFCN, IFA, IACF — CDAR é a exceção, presente só na versão narrativa). Este documento reconcilia a duplicação apresentando cada indicador uma única vez, canonicamente, em §2.6. Não se recomenda editar retroativamente o corpus do produto em produção só por causa desta duplicação — risco desproporcional ao ganho, dado que o conteúdo duplicado é hoje consistente entre si. Registrado aqui como melhoria futura recomendada, nos termos do padrão de documentação da Vísent.</w:t>
            </w:r>
          </w:p>
        </w:tc>
      </w:tr>
    </w:tbl>
    <w:p>
      <w:pPr>
        <w:pStyle w:val="Heading1"/>
      </w:pPr>
      <w:r>
        <w:t xml:space="preserve">Base Legal / Controle de Acesso a Dado Pessoal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Capítulo obrigatório por força da funcionalidade de Consulta Individual de Assinante (Modo Restrito) — tela acessível apenas após autenticação por senha, motivo do acesso e protocolo/referência, cobrindo três casos de uso operacionais em que a observação de um assinante identificado prescinde de opt-in do titular mas é amparada em legislação de sigilo.</w:t>
      </w:r>
    </w:p>
    <w:p>
      <w:pPr>
        <w:pStyle w:val="Heading2"/>
      </w:pPr>
      <w:r>
        <w:t xml:space="preserve">Hipóteses de Uso Nomeadas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Interceptação legal: </w:t>
      </w:r>
      <w:r>
        <w:t xml:space="preserve">mediante mandado judicial.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Apuração de ouvidoria: </w:t>
      </w:r>
      <w:r>
        <w:t xml:space="preserve">reclamação formal em curso.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Manutenção sob SLA de NOC: </w:t>
      </w:r>
      <w:r>
        <w:t xml:space="preserve">manutenção em profundidade que exige acesso ao perfil individual do assinante afetado.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A tela foi desenhada para operar dentro dessas três hipóteses — nunca para consulta discricionária ou de rotina sobre um assinante identificado.</w:t>
      </w:r>
    </w:p>
    <w:p>
      <w:pPr>
        <w:pStyle w:val="Heading2"/>
      </w:pPr>
      <w:r>
        <w:t xml:space="preserve">Base Legal Específica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Lei nº 9.472/1997 (LGT), art. 3º, V e art. 72: </w:t>
      </w:r>
      <w:r>
        <w:t xml:space="preserve">sigilo das telecomunicações.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Lei nº 9.296/1996: </w:t>
      </w:r>
      <w:r>
        <w:t xml:space="preserve">disciplina a interceptação de comunicações mediante autorização judicial.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Marco Civil da Internet (Lei nº 12.965/2014), art. 10, §§1º e 2º: </w:t>
      </w:r>
      <w:r>
        <w:t xml:space="preserve">exige ordem judicial para fornecimento de registros de conexão/acesso a aplicações que permitam identificar 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LGPD (Lei nº 13.709/2018), art. 7º, incisos VI e X: </w:t>
      </w:r>
      <w:r>
        <w:t xml:space="preserve">reconhece como bases legais de tratamento, independentes de consentimento, o cumprimento de obrigação legal/regulatória e o exercício regular de direitos em processo judicial, administrativo ou arbitral.</w:t>
      </w:r>
    </w:p>
    <w:p>
      <w:pPr>
        <w:pStyle w:val="Heading2"/>
      </w:pPr>
      <w:r>
        <w:t xml:space="preserve">Nota de Honestidade Metodológica — Limitações do Gate de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92A" w:sz="4"/>
              <w:left w:val="single" w:color="C0792A" w:sz="24"/>
              <w:bottom w:val="single" w:color="C0792A" w:sz="4"/>
              <w:right w:val="single" w:color="C0792A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b/>
                <w:bCs/>
                <w:color w:val="7F4F0E"/>
                <w:sz w:val="19"/>
                <w:szCs w:val="19"/>
              </w:rPr>
              <w:t xml:space="preserve"/>
            </w:r>
            <w:r>
              <w:rPr>
                <w:color w:val="594019"/>
                <w:sz w:val="19"/>
                <w:szCs w:val="19"/>
              </w:rPr>
              <w:t xml:space="preserve">A senha do modo restrito é validada inteiramente no JavaScript executado no navegador, sem backend — está visível a quem inspecionar o código-fonte da página, não há verificação de identidade do operador, não há MFA, e a trilha de auditoria existe apenas em memória (perdida ao recarregar a página). Isso é adequado para demonstração do fluxo de UX e da estrutura de justificativa/registro, mas não constitui controle de acesso real e não deve ser usado como tal em produção. Uma implantação de produção exige, no mínimo: autenticação corporativa (SSO/LDAP) por operador nomeado, autenticação multifator, controle de acesso por papel (jurídico, ouvidoria, NOC, com escopos de dado distintos), log de auditoria imutável server-side com identidade do operador e timestamp, política de retenção alinhada ao motivo do acesso e à LGPD, e revisão periódica dos acessos concedidos.</w:t>
            </w:r>
          </w:p>
        </w:tc>
      </w:tr>
    </w:tbl>
    <w:p>
      <w:pPr>
        <w:pStyle w:val="Heading1"/>
      </w:pPr>
      <w:r>
        <w:t xml:space="preserve">Glossário e Siglas</w:t>
      </w:r>
    </w:p>
    <w:p>
      <w:pPr>
        <w:spacing w:after="200" w:before="0"/>
        <w:jc w:val="both"/>
      </w:pPr>
      <w:r>
        <w:rPr>
          <w:b w:val="false"/>
          <w:bCs w:val="false"/>
          <w:i w:val="false"/>
          <w:iCs w:val="false"/>
        </w:rPr>
        <w:t xml:space="preserve">Consolida, em ordem alfabética, os indicadores, siglas, modelos e frameworks setoriais efetivamente usados neste documento e no corpus técnico do JourneyGraph — cada indicador da família Saúde Digital já detalhado com fórmula em §2.6 aparece aqui apenas com a definição de uma linha, sem repetir a regra de cálculo.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576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ARPU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Average Revenue Per User — receita média por usuário; pondera o Churn Signal (log(ARPU)) e classifica oportunidades de Upsell Score.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Bayes (Rede Bayesiana)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Rede Bayesiana simplificada com posterior real sobre causas candidatas concorrentes; base da Causa Provável do Painel de Alertas, real desde 02/08/2026, calculada por persona (não por assinante individual).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Binge Watching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Sessões longas concentradas em entretenimento (streaming/gaming): 50% duração acima do típico + 50% % streaming+gaming, normalizado por percentil.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Busy Hour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Agregação de volume por hora/assinante/equipamento (peak_ratio); base do dimensionamento de CAPEX e do Congestionamento OLT.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CDAR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Coeficiente de Dependência de Atualização em Tempo Real — proporção de tráfego residencial em plataformas de feed contínuo/notificações push; presente só na versão narrativa do corpus (ver Ressalvas, duplicação de indicadores).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CDR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Call Detail Record — registro de chamada; citado como fonte de Cell ID que tornaria o indicador Isolamento Digital calculável (gap de dado, indisponível em IPFIX de banda larga fixa).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Centralidade de Nós (Brandes)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Algoritmo de Brandes (betweenness exata) sobre o grafo de afinidade de SVA, e proxy harmônico simplificado no dígrafo de categorias; mede o papel estrutural de um nó/SVA na jornada.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Churn Signal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0–100 de risco de cancelamento por assinante: queda de volume + dias sem sessão + redução de sessão + tendência.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ClassInd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Classificação Indicativa — sistema brasileiro de classificação etária de conteúdo; % de bytes em SVAs 16/18 anos no grupo com Score de Menoridade ≥60.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Congestionamento OLT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Saturação por equipamento OLT calculada a partir do Busy Hour — base de priorização de manutenção e dimensionamento de capacidade.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Dependência de IA Generativa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Intensidade de uso de assistentes de IA por SNI: 50% % bytes IA + 30% frequência de sessões + 20% padrão noturno.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eTOM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Norma/Framework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Enhanced Telecom Operations Map — framework de processos de operação de telecom, originalmente da TM Forum (GB921), incorporado pela ITU-T na série M.3050; o JourneyGraph cobre as 4 verticais da área de Assurance.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FCAPS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Fault, Configuration, Accounting, Performance, Security — modelo ISO/ITU-T de gestão de rede; 5 KPIs da aba Qualidade do JourneyGraph.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HHI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Herfindahl-Hirschman — soma dos quadrados dos market-shares; mede concentração de bytes por SVA (FCAPS Accounting).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IACF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de Assimetria de Convivência Familiar — proxy de múltiplos usuários/telas simultâneas (19h–23h): 50% sobreposição temporal + 50% diversidade de categoria concorrente.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IFA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de Fragmentação de Atenção — alternância de categoria dentro de sessão ativa: 60% transições/hora + 40% CV da duração dos fluxos.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IFCN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de Fadiga Cognitiva Noturna — transição de tráfego cognitivo para passivo (20h–22h): 50% % passivo 20h–22h + 50% queda de cloud_work.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IPFIX / NetFlow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Protocolos de exportação de fluxo de rede (v9/v10) — uma das duas fontes de dado nativas do produto (16.175.160 fluxos na base de referência).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IQRE_ISP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Índice de Qualidade Percebida = 0,50·throughput + 0,35·estabilidade + 0,15·saúde_sessão, ×100 — indicador composto principal da aba Qualidade.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Isolamento Digital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Indicador de gap de dado (não implementado): exigiria Cell ID (CDR móvel), indisponível na arquitetura de coleta IPFIX de banda larga fixa.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ITU-T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International Telecommunication Union — Telecommunication Standardization Sector; incorporou o eTOM na série M.3050.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JSD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Divergência de Jensen-Shannon — métrica de teoria da informação, simétrica e sempre finita, para distância entre distribuições de probabilidade; base do Sigma Topológico.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K-Means++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Variante do K-Means com inicialização probabilística dos centróides; usada para as 8 Personas Digitais a partir de 14 features comportamentais contínuas (k=8).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LGPD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Lei Geral de Proteção de Dados (Lei nº 13.709/2018); base legal (art. 7º, incisos VI e X) da Consulta Individual de Assinante.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Markov (Cadeia de Markov)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Matriz de transição de estados de severidade estimada por contagem real de transições observadas; base da Tendência do Painel de Alertas, real desde 02/08/2026, por persona.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PageRank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Modelo/Técnica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Algoritmo de importância de nó em grafo dirigido; usado, ponderado, para classificar o papel estratégico de SVA (Ponte/Âncora/Núcleo/Satélite).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QoE Proximal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Proxy de retransmissão TCP/jitter estimados para categorias sensíveis a latência: % retransmissão TCP estimada + jitter estimado por categoria.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RADIUS Accounting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Protocolo de contabilização de sessão de acesso PPPoE/IPoE (RFC 2866) — uma das duas fontes de dado nativas do produto (404.379 sessões na base de referência).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RAG / SLM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Retrieval-Augmented Generation / Small Language Model — nome do padrão que o Assistente do produto declara seguir; implementação real é mock por busca lexical por palavras-chave, sem embeddings nem LLM real.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Score de Menoridade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Padrão compatível com uso infanto-juvenil no domicílio: 45% mix social/gaming vs. trabalho/voip + 35% padrão 15h–21h + 20% D/U; ≥60 aciona ClassInd.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Sigma Topológico (σ)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Variação estrutural do dígrafo de jornada entre dois períodos: σ = 0,6·JSD(Pt,Pt+1) + 0,4·Δarestas(t,t+1).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SLA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 Level Agreement — acordo de nível de serviço; uma das três hipóteses de uso nomeadas da Consulta Individual (manutenção sob SLA de NOC).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SVA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Serviço de Valor Agregado — serviço adicional consumido pelo assinante (streaming, gaming etc.), classificado por papel estratégico (Ponte/Âncora/Núcleo/Satélite).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Taxa de Queda de Sessão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sessões terminadas por Lost-Carrier (Acct-Terminate-Cause), por NAS/segmento; 100% extraível do RADIUS já coletado.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TM Forum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Sigla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TeleManagement Forum — origem do eTOM (GB921) e do Big Data Analytics Guidebook (GB979), referenciado na Base Metodológica.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Upsell Score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Score 0–100 de propensão a upgrade: utilização + volume acima da média + D/U ratio + ARPU relativo.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VAMPING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Intensidade de uso noturno crítico (22h–6h): 60% tráfego noturno + 40% % entretenimento/social no período.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Verificação Compulsiva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Aproximação de burstiness de checagem: 60% frequência de sessões/dia + 40% brevidade, normalizados por percentil.</w:t>
            </w:r>
          </w:p>
        </w:tc>
      </w:tr>
    </w:tbl>
    <w:p>
      <w:pPr>
        <w:spacing w:after="0" w:before="0"/>
        <w:jc w:val="both"/>
      </w:pPr>
      <w:r>
        <w:rPr>
          <w:b w:val="false"/>
          <w:bCs w:val="false"/>
          <w:i w:val="false"/>
          <w:iCs w:val="false"/>
        </w:rPr>
        <w:t xml:space="preserve">Termos institucionais recorrentes em toda a série de documentos da Lounge de Soluções ISP (RAG, SLM, LGPD, ITU-T, TM Forum, eTOM) seguem a mesma definição em todos os Product Reports desta série, por força do padrão de documentação da Vísent (docs/PADRAO_DOCUMENTACAO_PRODUTO.md).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A0A0" w:sz="4" w:space="4"/>
      </w:pBdr>
    </w:pPr>
  </w:p>
  <w:p>
    <w:pPr>
      <w:tabs>
        <w:tab w:val="right" w:pos="9026"/>
      </w:tabs>
    </w:pPr>
    <w:r>
      <w:rPr>
        <w:i/>
        <w:iCs/>
        <w:color w:val="595959"/>
        <w:sz w:val="20"/>
        <w:szCs w:val="20"/>
      </w:rPr>
      <w:t xml:space="preserve">DOC INTERNO | </w:t>
    </w:r>
    <w:r>
      <w:rPr>
        <w:i/>
        <w:iCs/>
        <w:color w:val="595959"/>
        <w:sz w:val="20"/>
        <w:szCs w:val="20"/>
      </w:rPr>
      <w:t xml:space="preserve">CONFIDENCIAL</w:t>
    </w:r>
    <w:r>
      <w:rPr>
        <w:color w:val="808080"/>
        <w:sz w:val="16"/>
        <w:szCs w:val="16"/>
      </w:rPr>
      <w:t xml:space="preserve">	pag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0A0A0" w:sz="4" w:space="4"/>
      </w:pBdr>
    </w:pPr>
  </w:p>
  <w:p>
    <w:pPr>
      <w:tabs>
        <w:tab w:val="right" w:pos="9026"/>
      </w:tabs>
    </w:pPr>
    <w:r>
      <w:rPr>
        <w:i/>
        <w:iCs/>
        <w:color w:val="595959"/>
        <w:sz w:val="20"/>
        <w:szCs w:val="20"/>
      </w:rPr>
      <w:t xml:space="preserve">CONFIDENCIAL</w:t>
    </w:r>
    <w:r>
      <w:rPr>
        <w:sz w:val="20"/>
        <w:szCs w:val="20"/>
      </w:rPr>
      <w:t xml:space="preserve">   </w:t>
    </w:r>
    <w:r>
      <w:rPr>
        <w:i/>
        <w:iCs/>
        <w:color w:val="1155CC"/>
        <w:sz w:val="20"/>
        <w:szCs w:val="20"/>
        <w:u w:val="single"/>
      </w:rPr>
      <w:t xml:space="preserve">www.visent.com.br</w:t>
    </w:r>
    <w:r>
      <w:rPr>
        <w:color w:val="808080"/>
        <w:sz w:val="16"/>
        <w:szCs w:val="16"/>
      </w:rPr>
      <w:t xml:space="preserve">	Página </w:t>
    </w:r>
    <w:r>
      <w:rPr>
        <w:b/>
        <w:bCs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b/>
        <w:bCs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jc w:val="left"/>
          </w:pPr>
          <w:r>
            <w:rPr>
              <w:b w:val="false"/>
              <w:bCs w:val="false"/>
              <w:i/>
              <w:iCs/>
              <w:color w:val="595959"/>
              <w:sz w:val="19"/>
              <w:szCs w:val="19"/>
            </w:rPr>
            <w:t xml:space="preserve">Vísent · Inteligência de dados para Telecom e ISPs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9525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center"/>
        </w:tcPr>
        <w:p>
          <w:pPr>
            <w:jc w:val="left"/>
          </w:pPr>
          <w:r>
            <w:rPr>
              <w:b w:val="false"/>
              <w:bCs w:val="false"/>
              <w:i/>
              <w:iCs/>
              <w:color w:val="595959"/>
              <w:sz w:val="19"/>
              <w:szCs w:val="19"/>
            </w:rPr>
            <w:t xml:space="preserve">Vísent · JourneyGraph ISP Edition — Jornada Digital do Assinante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9525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5608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be74fc48295a32170b5616ddd6fee806f291e2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3be74fc48295a32170b5616ddd6fee806f291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2026-08-02T11:08:42.338Z</dcterms:created>
  <dcterms:modified xsi:type="dcterms:W3CDTF">2026-08-02T11:08:42.340Z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