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JourneyGraph MNO Edition</w:t>
      </w:r>
    </w:p>
    <w:p>
      <w:pPr>
        <w:jc w:val="center"/>
      </w:pPr>
      <w:r>
        <w:rPr>
          <w:sz w:val="28"/>
        </w:rPr>
        <w:t>Product Report, Tech Reference, Data Reference e Base Metodológica</w:t>
      </w:r>
    </w:p>
    <w:p>
      <w:pPr>
        <w:jc w:val="center"/>
      </w:pPr>
      <w:r>
        <w:rPr>
          <w:i/>
          <w:sz w:val="24"/>
        </w:rPr>
        <w:t>Documentação de Produto</w:t>
      </w:r>
    </w:p>
    <w:p>
      <w:pPr>
        <w:jc w:val="center"/>
      </w:pPr>
      <w:r>
        <w:rPr>
          <w:sz w:val="22"/>
        </w:rPr>
        <w:t>CDRView MNO Edition · Subscriber &amp; Network Intelligence — para uso interno e apresentação a parceiros/clientes de operadoras móveis</w:t>
      </w:r>
    </w:p>
    <w:p>
      <w:pPr>
        <w:jc w:val="center"/>
      </w:pPr>
      <w:r>
        <w:rPr>
          <w:sz w:val="22"/>
        </w:rPr>
        <w:t>Agosto de 2026</w:t>
      </w:r>
    </w:p>
    <w:p/>
    <w:p>
      <w:pPr>
        <w:jc w:val="center"/>
      </w:pPr>
      <w:r>
        <w:rPr>
          <w:i/>
          <w:sz w:val="18"/>
        </w:rPr>
        <w:t>Documento gerado a partir do código-fonte de journeygraph-mno/ e poc_personas_v2/pipeline/, do histórico real de commits do repositório, e do padrão docs/PADRAO_DOCUMENTACAO_PRODUTO.md.</w:t>
      </w:r>
    </w:p>
    <w:p>
      <w:r>
        <w:br w:type="page"/>
      </w:r>
    </w:p>
    <w:p>
      <w:pPr>
        <w:pStyle w:val="Heading1"/>
      </w:pPr>
      <w:r>
        <w:t>1. Product Report</w:t>
      </w:r>
    </w:p>
    <w:p>
      <w:pPr>
        <w:pStyle w:val="Heading2"/>
      </w:pPr>
      <w:r>
        <w:t>1.1 Objeto</w:t>
      </w:r>
    </w:p>
    <w:p>
      <w:r>
        <w:rPr>
          <w:b w:val="0"/>
          <w:i w:val="0"/>
        </w:rPr>
        <w:t>JourneyGraph MNO Edition é a variante do produto JourneyGraph para operadoras de telefonia móvel (MNO — Mobile Network Operator). Une, numa única ferramenta, duas visões que normalmente vivem em sistemas separados: o perfil comportamental do assinante (personas, jornada de uso de serviço, indicador transversal de Vamping) e a engenharia/operação da rede móvel (topologia Core→PGW/UPF→SGW→Site, alertas de rede priorizados, projeção de capacidade, detecção de anomalia). Roda sobre uma base sintética determinística construída a partir de antenas reais licenciadas pela Anatel (base pública de Estações Licenciadas SMP) para a operadora Claro em Brasília/DF.</w:t>
      </w:r>
    </w:p>
    <w:p>
      <w:pPr>
        <w:pStyle w:val="Heading2"/>
      </w:pPr>
      <w:r>
        <w:t>1.2 Objetivo</w:t>
      </w:r>
    </w:p>
    <w:p>
      <w:r>
        <w:rPr>
          <w:b w:val="0"/>
          <w:i w:val="0"/>
        </w:rPr>
        <w:t>Responder, com a mesma base de dados, perguntas de dois públicos que normalmente usam ferramentas diferentes: para Marketing/CRM, "quem são meus assinantes, o que eles fazem, e quem está em risco de churn ou já demonstra sinais de baixo bem-estar digital (Vamping)?"; para Engenharia/NOC, "onde a rede está com problema, por que provavelmente está acontecendo, e o que eu resolvo primeiro?". Ferramentas de CVM/CRM não têm profundidade de engenharia de rede; ferramentas de NMS/OSS não têm segmentação comportamental de assinante — o JourneyGraph MNO une as duas vistas com rastreabilidade ponta a ponta entre persona e nó de rede (mesmo cluster geográfico, mesma antena).</w:t>
      </w:r>
    </w:p>
    <w:p>
      <w:pPr>
        <w:pStyle w:val="Heading2"/>
      </w:pPr>
      <w:r>
        <w:t>1.3 Aplicações</w:t>
      </w:r>
    </w:p>
    <w:p>
      <w:pPr>
        <w:pStyle w:val="ListBullet"/>
      </w:pPr>
      <w:r>
        <w:t>Marketing/CRM: segmentação por 9 personas (K-Means + XGBoost) com jornada de uso de serviço (categorias RG: Streaming, Gaming, Social, Comunicação, VPN/Corporativo, Outros).</w:t>
      </w:r>
    </w:p>
    <w:p>
      <w:pPr>
        <w:pStyle w:val="ListBullet"/>
      </w:pPr>
      <w:r>
        <w:t>Qualidade de experiência: IPED (Índice Ponderado de qualidade no DEslocamento) por trajeto, indicador transversal de Vamping (exposição a telas na madrugada).</w:t>
      </w:r>
    </w:p>
    <w:p>
      <w:pPr>
        <w:pStyle w:val="ListBullet"/>
      </w:pPr>
      <w:r>
        <w:t>NOC/Engenharia de Rede: Alertas de Rede priorizados por score combinado de gravidade técnica × impacto de negócio, causa provável via rede Bayesiana.</w:t>
      </w:r>
    </w:p>
    <w:p>
      <w:pPr>
        <w:pStyle w:val="ListBullet"/>
      </w:pPr>
      <w:r>
        <w:t>Planejamento de capacidade: projeção de saturação por regressão linear real e detecção de outlier por duas técnicas independentes (MAD e filtro Bayesiano recursivo).</w:t>
      </w:r>
    </w:p>
    <w:p>
      <w:pPr>
        <w:pStyle w:val="ListBullet"/>
      </w:pPr>
      <w:r>
        <w:t>Compliance/LGPD: Consulta Individual de assinante restrita, com senha, motivo de acesso e log de auditoria.</w:t>
      </w:r>
    </w:p>
    <w:p>
      <w:pPr>
        <w:pStyle w:val="Heading2"/>
      </w:pPr>
      <w:r>
        <w:t>1.4 Benefícios</w:t>
      </w:r>
    </w:p>
    <w:p>
      <w:pPr>
        <w:pStyle w:val="ListBullet"/>
      </w:pPr>
      <w:r>
        <w:t>Uma única fonte de dado para decisão comercial e de engenharia — elimina a divergência entre "o que o Marketing vê" e "o que o NOC vê" quando são sistemas separados sobre a mesma base de assinantes.</w:t>
      </w:r>
    </w:p>
    <w:p>
      <w:pPr>
        <w:pStyle w:val="ListBullet"/>
      </w:pPr>
      <w:r>
        <w:t>Toda "causa provável" e todo "score de prioridade" do produto é auditável até a fórmula e a evidência que o gerou — nenhum indicador é uma cor decorativa sem cálculo por trás.</w:t>
      </w:r>
    </w:p>
    <w:p>
      <w:pPr>
        <w:pStyle w:val="ListBullet"/>
      </w:pPr>
      <w:r>
        <w:t>Zero infraestrutura de servidor: entrega como arquivo único, publicável em qualquer hospedagem estática (GitHub Pages nesta versão).</w:t>
      </w:r>
    </w:p>
    <w:p>
      <w:pPr>
        <w:pStyle w:val="Heading2"/>
      </w:pPr>
      <w:r>
        <w:t>1.5 Diferenciais</w:t>
      </w:r>
    </w:p>
    <w:p>
      <w:r>
        <w:rPr>
          <w:b w:val="0"/>
          <w:i w:val="0"/>
        </w:rPr>
        <w:t>Frente a plataformas de CVM/CRM de mercado (que segmentam assinante mas não enxergam a rede) e plataformas de NMS/OSS/Service Assurance (que monitoram a rede mas não segmentam o assinante), o diferencial do JourneyGraph MNO é unir as duas camadas com o mesmo motor analítico real (Markov, Bayes, MAD, regressão, filtro Bayesiano recursivo) em ambos os domínios — a persona P3 "Comutador Urbano" e o site de rede que ela mais usa aparecem no mesmo aplicativo, com o mesmo vocabulário de qualidade (drop, congestionamento, IPED).</w:t>
      </w:r>
    </w:p>
    <w:p>
      <w:pPr>
        <w:pStyle w:val="Heading2"/>
      </w:pPr>
      <w:r>
        <w:t>1.6 Arquitetura (visão executiva)</w:t>
      </w:r>
    </w:p>
    <w:p>
      <w:r>
        <w:rPr>
          <w:b w:val="0"/>
          <w:i w:val="0"/>
        </w:rPr>
        <w:t>Base geográfica real: 4.186 antenas licenciadas pela Anatel para a operadora Claro em Brasília/DF (base pública de Estações Licenciadas SMP), agrupadas em 35 clusters por K-Means e nomeadas por Região Administrativa do Distrito Federal. Sobre essa base geográfica real, um pipeline Python determinístico gera 100.000 perfis de assinante sintéticos e sua atividade de rede (CDR) ao longo de 15 dias, com estrutura real de variação (por padrão de mobilidade, fim de semana, deriva orgânica) — não ruído puramente aleatório. Uma topologia de núcleo móvel sintética (1 Core → 3 PGW/UPF → 6 SGW → 213 Sites físicos, mais 6 MME/AMF num pool paralelo de controle) é derivada dessas mesmas antenas por atribuição hash determinística.</w:t>
      </w:r>
    </w:p>
    <w:p>
      <w:pPr>
        <w:pStyle w:val="Heading2"/>
      </w:pPr>
      <w:r>
        <w:t>1.7 Funcionalidades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3050"/>
          </w:tcPr>
          <w:p>
            <w:r>
              <w:rPr>
                <w:b/>
                <w:color w:val="FFFFFF"/>
                <w:sz w:val="19"/>
              </w:rPr>
              <w:t>Tela</w:t>
            </w:r>
          </w:p>
        </w:tc>
        <w:tc>
          <w:tcPr>
            <w:tcW w:type="dxa" w:w="4320"/>
            <w:shd w:val="clear" w:color="auto" w:fill="1A3050"/>
          </w:tcPr>
          <w:p>
            <w:r>
              <w:rPr>
                <w:b/>
                <w:color w:val="FFFFFF"/>
                <w:sz w:val="19"/>
              </w:rPr>
              <w:t>O que o usuário faz</w:t>
            </w:r>
          </w:p>
        </w:tc>
      </w:tr>
      <w:tr>
        <w:tc>
          <w:tcPr>
            <w:tcW w:type="dxa" w:w="4320"/>
          </w:tcPr>
          <w:p>
            <w:r>
              <w:rPr>
                <w:sz w:val="19"/>
              </w:rPr>
              <w:t>Visão Geral</w:t>
            </w:r>
          </w:p>
        </w:tc>
        <w:tc>
          <w:tcPr>
            <w:tcW w:type="dxa" w:w="4320"/>
          </w:tcPr>
          <w:p>
            <w:r>
              <w:rPr>
                <w:sz w:val="19"/>
              </w:rPr>
              <w:t>Indicadores executivos consolidados: assinantes, alertas abertos, top categorias de uso, top clusters em risco.</w:t>
            </w:r>
          </w:p>
        </w:tc>
      </w:tr>
      <w:tr>
        <w:tc>
          <w:tcPr>
            <w:tcW w:type="dxa" w:w="4320"/>
          </w:tcPr>
          <w:p>
            <w:r>
              <w:rPr>
                <w:sz w:val="19"/>
              </w:rPr>
              <w:t>Dígrafo</w:t>
            </w:r>
          </w:p>
        </w:tc>
        <w:tc>
          <w:tcPr>
            <w:tcW w:type="dxa" w:w="4320"/>
          </w:tcPr>
          <w:p>
            <w:r>
              <w:rPr>
                <w:sz w:val="19"/>
              </w:rPr>
              <w:t>Grafo força-dirigida (D3) dos 35 clusters geográficos, arestas coloridas por IPED, filtro por faixa e por volume mínimo/máximo de pessoas no trajeto, nós arrastáveis.</w:t>
            </w:r>
          </w:p>
        </w:tc>
      </w:tr>
      <w:tr>
        <w:tc>
          <w:tcPr>
            <w:tcW w:type="dxa" w:w="4320"/>
          </w:tcPr>
          <w:p>
            <w:r>
              <w:rPr>
                <w:sz w:val="19"/>
              </w:rPr>
              <w:t>Mapa</w:t>
            </w:r>
          </w:p>
        </w:tc>
        <w:tc>
          <w:tcPr>
            <w:tcW w:type="dxa" w:w="4320"/>
          </w:tcPr>
          <w:p>
            <w:r>
              <w:rPr>
                <w:sz w:val="19"/>
              </w:rPr>
              <w:t>Mapa real (Leaflet/OpenStreetMap) com clusters, trajetos, antenas (camada opcional), divisão de Voronoi com indicador selecionável, geofence customizado desenhável pelo usuário.</w:t>
            </w:r>
          </w:p>
        </w:tc>
      </w:tr>
      <w:tr>
        <w:tc>
          <w:tcPr>
            <w:tcW w:type="dxa" w:w="4320"/>
          </w:tcPr>
          <w:p>
            <w:r>
              <w:rPr>
                <w:sz w:val="19"/>
              </w:rPr>
              <w:t>Jornada RG</w:t>
            </w:r>
          </w:p>
        </w:tc>
        <w:tc>
          <w:tcPr>
            <w:tcW w:type="dxa" w:w="4320"/>
          </w:tcPr>
          <w:p>
            <w:r>
              <w:rPr>
                <w:sz w:val="19"/>
              </w:rPr>
              <w:t>Dígrafo circular das transições entre categorias de serviço (RG) por persona, zoom/pan, nós arrastáveis.</w:t>
            </w:r>
          </w:p>
        </w:tc>
      </w:tr>
      <w:tr>
        <w:tc>
          <w:tcPr>
            <w:tcW w:type="dxa" w:w="4320"/>
          </w:tcPr>
          <w:p>
            <w:r>
              <w:rPr>
                <w:sz w:val="19"/>
              </w:rPr>
              <w:t>Rede</w:t>
            </w:r>
          </w:p>
        </w:tc>
        <w:tc>
          <w:tcPr>
            <w:tcW w:type="dxa" w:w="4320"/>
          </w:tcPr>
          <w:p>
            <w:r>
              <w:rPr>
                <w:sz w:val="19"/>
              </w:rPr>
              <w:t>Árvore radial da topologia Core→PGW→SGW→Site, blast radius e aviso de SPOF por nó, alerta de saúde (Markov+Bayes) e capacidade/outliers por nó ao clicar.</w:t>
            </w:r>
          </w:p>
        </w:tc>
      </w:tr>
      <w:tr>
        <w:tc>
          <w:tcPr>
            <w:tcW w:type="dxa" w:w="4320"/>
          </w:tcPr>
          <w:p>
            <w:r>
              <w:rPr>
                <w:sz w:val="19"/>
              </w:rPr>
              <w:t>Outliers</w:t>
            </w:r>
          </w:p>
        </w:tc>
        <w:tc>
          <w:tcPr>
            <w:tcW w:type="dxa" w:w="4320"/>
          </w:tcPr>
          <w:p>
            <w:r>
              <w:rPr>
                <w:sz w:val="19"/>
              </w:rPr>
              <w:t>Séries temporais por indicador (tráfego, drop, congestionamento) por SGW/PGW/site sinalizado, com MAD e filtro Bayesiano recursivo lado a lado, atribuição de causa tráfego×capacidade.</w:t>
            </w:r>
          </w:p>
        </w:tc>
      </w:tr>
      <w:tr>
        <w:tc>
          <w:tcPr>
            <w:tcW w:type="dxa" w:w="4320"/>
          </w:tcPr>
          <w:p>
            <w:r>
              <w:rPr>
                <w:sz w:val="19"/>
              </w:rPr>
              <w:t>Personas</w:t>
            </w:r>
          </w:p>
        </w:tc>
        <w:tc>
          <w:tcPr>
            <w:tcW w:type="dxa" w:w="4320"/>
          </w:tcPr>
          <w:p>
            <w:r>
              <w:rPr>
                <w:sz w:val="19"/>
              </w:rPr>
              <w:t>Cartão por persona com critério de inclusão/exclusão, distribuição, indicadores de qualidade esperada e Vamping.</w:t>
            </w:r>
          </w:p>
        </w:tc>
      </w:tr>
      <w:tr>
        <w:tc>
          <w:tcPr>
            <w:tcW w:type="dxa" w:w="4320"/>
          </w:tcPr>
          <w:p>
            <w:r>
              <w:rPr>
                <w:sz w:val="19"/>
              </w:rPr>
              <w:t>Qualidade</w:t>
            </w:r>
          </w:p>
        </w:tc>
        <w:tc>
          <w:tcPr>
            <w:tcW w:type="dxa" w:w="4320"/>
          </w:tcPr>
          <w:p>
            <w:r>
              <w:rPr>
                <w:sz w:val="19"/>
              </w:rPr>
              <w:t>Indicadores de drop, congestionamento, completamento de voz e SMS por persona.</w:t>
            </w:r>
          </w:p>
        </w:tc>
      </w:tr>
      <w:tr>
        <w:tc>
          <w:tcPr>
            <w:tcW w:type="dxa" w:w="4320"/>
          </w:tcPr>
          <w:p>
            <w:r>
              <w:rPr>
                <w:sz w:val="19"/>
              </w:rPr>
              <w:t>Alertas</w:t>
            </w:r>
          </w:p>
        </w:tc>
        <w:tc>
          <w:tcPr>
            <w:tcW w:type="dxa" w:w="4320"/>
          </w:tcPr>
          <w:p>
            <w:r>
              <w:rPr>
                <w:sz w:val="19"/>
              </w:rPr>
              <w:t>Duas visões: "Por Persona" (Markov+Bayes por correlação) e "Por Rede" (lista priorizada por score combinado, explicabilidade em 7 seções).</w:t>
            </w:r>
          </w:p>
        </w:tc>
      </w:tr>
      <w:tr>
        <w:tc>
          <w:tcPr>
            <w:tcW w:type="dxa" w:w="4320"/>
          </w:tcPr>
          <w:p>
            <w:r>
              <w:rPr>
                <w:sz w:val="19"/>
              </w:rPr>
              <w:t>Assistente</w:t>
            </w:r>
          </w:p>
        </w:tc>
        <w:tc>
          <w:tcPr>
            <w:tcW w:type="dxa" w:w="4320"/>
          </w:tcPr>
          <w:p>
            <w:r>
              <w:rPr>
                <w:sz w:val="19"/>
              </w:rPr>
              <w:t>Chat RAG mock por palavras-chave sobre corpus técnico estático (13 documentos).</w:t>
            </w:r>
          </w:p>
        </w:tc>
      </w:tr>
      <w:tr>
        <w:tc>
          <w:tcPr>
            <w:tcW w:type="dxa" w:w="4320"/>
          </w:tcPr>
          <w:p>
            <w:r>
              <w:rPr>
                <w:sz w:val="19"/>
              </w:rPr>
              <w:t>Individual (restrita)</w:t>
            </w:r>
          </w:p>
        </w:tc>
        <w:tc>
          <w:tcPr>
            <w:tcW w:type="dxa" w:w="4320"/>
          </w:tcPr>
          <w:p>
            <w:r>
              <w:rPr>
                <w:sz w:val="19"/>
              </w:rPr>
              <w:t>Consulta de assinante por hash — senha, log de auditoria. Ver capítulo Base Legal.</w:t>
            </w:r>
          </w:p>
        </w:tc>
      </w:tr>
    </w:tbl>
    <w:p/>
    <w:p>
      <w:pPr>
        <w:pStyle w:val="Heading2"/>
      </w:pPr>
      <w:r>
        <w:t>1.8 Entradas</w:t>
      </w:r>
    </w:p>
    <w:p>
      <w:pPr>
        <w:pStyle w:val="ListBullet"/>
      </w:pPr>
      <w:r>
        <w:t>Base pública Anatel — Estações Licenciadas SMP (dado real: geolocalização de antena, tecnologia, altura, azimute).</w:t>
      </w:r>
    </w:p>
    <w:p>
      <w:pPr>
        <w:pStyle w:val="ListBullet"/>
      </w:pPr>
      <w:r>
        <w:t>CDR sintético 100% determinístico, gerado pelo pipeline Python (semente fixa 42) — nenhum CDR real de assinante é usado.</w:t>
      </w:r>
    </w:p>
    <w:p>
      <w:pPr>
        <w:pStyle w:val="Heading2"/>
      </w:pPr>
      <w:r>
        <w:t>1.9 Transformações</w:t>
      </w:r>
    </w:p>
    <w:p>
      <w:r>
        <w:rPr>
          <w:b w:val="0"/>
          <w:i w:val="0"/>
        </w:rPr>
        <w:t>Pipeline de 8 estágios (poc_personas_v2/pipeline/): 00 filtragem de antenas por operadora → 01 geração de base de mobilidade/CDR sintético → 02 agregação de trajetos com K-anonimato → 03 tensores semânticos (origem-destino, concentração, fluxo entre antenas, tempo de deslocamento) → 04 features de persona → 05 K-Means (K=9) → 06 XGBoost (classificador supervisionado sobre os rótulos do K-Means) → 14 cálculo de Vamping → build_raw_mno.py, que monta o objeto RAW final consumido pelo app.</w:t>
      </w:r>
    </w:p>
    <w:p>
      <w:pPr>
        <w:pStyle w:val="Heading2"/>
      </w:pPr>
      <w:r>
        <w:t>1.10 Persistência e Saídas</w:t>
      </w:r>
    </w:p>
    <w:p>
      <w:r>
        <w:rPr>
          <w:b w:val="0"/>
          <w:i w:val="0"/>
        </w:rPr>
        <w:t>Sem banco de dados: o objeto RAW (JSON) é embutido diretamente em journeygraph-mno/index.html, um arquivo HTML único e autocontido — 19,5 MB brutos / ~2,3 MB comprimidos (gzip, servido automaticamente pelo GitHub Pages). Mesmo padrão de portabilidade dos demais produtos da Lounge.</w:t>
      </w:r>
    </w:p>
    <w:p>
      <w:pPr>
        <w:pStyle w:val="Heading2"/>
      </w:pPr>
      <w:r>
        <w:t>1.11 Integrações</w:t>
      </w:r>
    </w:p>
    <w:p>
      <w:r>
        <w:rPr>
          <w:b w:val="0"/>
          <w:i w:val="0"/>
        </w:rPr>
        <w:t>Nenhuma integração real de sistema nesta versão. O produto gera, internamente e de forma sintética, um proxy de volume de reclamação (CRM/Ouvidoria) correlacionado por região administrativa — mesmo padrão do NetGraph, não conectado a sistema externo.</w:t>
      </w:r>
    </w:p>
    <w:p>
      <w:pPr>
        <w:pStyle w:val="Heading2"/>
      </w:pPr>
      <w:r>
        <w:t>1.12 Ambientes</w:t>
      </w:r>
    </w:p>
    <w:p>
      <w:r>
        <w:rPr>
          <w:b w:val="0"/>
          <w:i w:val="0"/>
        </w:rPr>
        <w:t>Aplicativo: navegador moderno, arquivo HTML único, sem servidor, banco de dados ou dependência de nuvem além da hospedagem estática (GitHub Pages). Pipeline de dados: executado offline, uma vez, em Python 3.14 com bibliotecas de ciência de dados — não roda no navegador do usuário final.</w:t>
      </w:r>
    </w:p>
    <w:p>
      <w:pPr>
        <w:pStyle w:val="Heading2"/>
      </w:pPr>
      <w:r>
        <w:t>1.13 Requisitos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Componente</w:t>
            </w:r>
          </w:p>
        </w:tc>
        <w:tc>
          <w:tcPr>
            <w:tcW w:type="dxa" w:w="2880"/>
            <w:shd w:val="clear" w:color="auto" w:fill="1A3050"/>
          </w:tcPr>
          <w:p>
            <w:r>
              <w:rPr>
                <w:b/>
                <w:color w:val="FFFFFF"/>
                <w:sz w:val="19"/>
              </w:rPr>
              <w:t>Versão</w:t>
            </w:r>
          </w:p>
        </w:tc>
        <w:tc>
          <w:tcPr>
            <w:tcW w:type="dxa" w:w="2880"/>
            <w:shd w:val="clear" w:color="auto" w:fill="1A3050"/>
          </w:tcPr>
          <w:p>
            <w:r>
              <w:rPr>
                <w:b/>
                <w:color w:val="FFFFFF"/>
                <w:sz w:val="19"/>
              </w:rPr>
              <w:t>Papel</w:t>
            </w:r>
          </w:p>
        </w:tc>
      </w:tr>
      <w:tr>
        <w:tc>
          <w:tcPr>
            <w:tcW w:type="dxa" w:w="2880"/>
          </w:tcPr>
          <w:p>
            <w:r>
              <w:rPr>
                <w:sz w:val="19"/>
              </w:rPr>
              <w:t>D3.js</w:t>
            </w:r>
          </w:p>
        </w:tc>
        <w:tc>
          <w:tcPr>
            <w:tcW w:type="dxa" w:w="2880"/>
          </w:tcPr>
          <w:p>
            <w:r>
              <w:rPr>
                <w:sz w:val="19"/>
              </w:rPr>
              <w:t>7.8.5 (CDN)</w:t>
            </w:r>
          </w:p>
        </w:tc>
        <w:tc>
          <w:tcPr>
            <w:tcW w:type="dxa" w:w="2880"/>
          </w:tcPr>
          <w:p>
            <w:r>
              <w:rPr>
                <w:sz w:val="19"/>
              </w:rPr>
              <w:t>Todos os grafos/dígrafos e gráficos de série temporal do app</w:t>
            </w:r>
          </w:p>
        </w:tc>
      </w:tr>
      <w:tr>
        <w:tc>
          <w:tcPr>
            <w:tcW w:type="dxa" w:w="2880"/>
          </w:tcPr>
          <w:p>
            <w:r>
              <w:rPr>
                <w:sz w:val="19"/>
              </w:rPr>
              <w:t>Leaflet</w:t>
            </w:r>
          </w:p>
        </w:tc>
        <w:tc>
          <w:tcPr>
            <w:tcW w:type="dxa" w:w="2880"/>
          </w:tcPr>
          <w:p>
            <w:r>
              <w:rPr>
                <w:sz w:val="19"/>
              </w:rPr>
              <w:t>1.9.4 (CDN)</w:t>
            </w:r>
          </w:p>
        </w:tc>
        <w:tc>
          <w:tcPr>
            <w:tcW w:type="dxa" w:w="2880"/>
          </w:tcPr>
          <w:p>
            <w:r>
              <w:rPr>
                <w:sz w:val="19"/>
              </w:rPr>
              <w:t>Mapa geográfico real (tiles OpenStreetMap)</w:t>
            </w:r>
          </w:p>
        </w:tc>
      </w:tr>
      <w:tr>
        <w:tc>
          <w:tcPr>
            <w:tcW w:type="dxa" w:w="2880"/>
          </w:tcPr>
          <w:p>
            <w:r>
              <w:rPr>
                <w:sz w:val="19"/>
              </w:rPr>
              <w:t>Navegador</w:t>
            </w:r>
          </w:p>
        </w:tc>
        <w:tc>
          <w:tcPr>
            <w:tcW w:type="dxa" w:w="2880"/>
          </w:tcPr>
          <w:p>
            <w:r>
              <w:rPr>
                <w:sz w:val="19"/>
              </w:rPr>
              <w:t>Chrome/Edge/Firefox modernos</w:t>
            </w:r>
          </w:p>
        </w:tc>
        <w:tc>
          <w:tcPr>
            <w:tcW w:type="dxa" w:w="2880"/>
          </w:tcPr>
          <w:p>
            <w:r>
              <w:rPr>
                <w:sz w:val="19"/>
              </w:rPr>
              <w:t>Execução de todo o motor analítico client-side</w:t>
            </w:r>
          </w:p>
        </w:tc>
      </w:tr>
      <w:tr>
        <w:tc>
          <w:tcPr>
            <w:tcW w:type="dxa" w:w="2880"/>
          </w:tcPr>
          <w:p>
            <w:r>
              <w:rPr>
                <w:sz w:val="19"/>
              </w:rPr>
              <w:t>Python</w:t>
            </w:r>
          </w:p>
        </w:tc>
        <w:tc>
          <w:tcPr>
            <w:tcW w:type="dxa" w:w="2880"/>
          </w:tcPr>
          <w:p>
            <w:r>
              <w:rPr>
                <w:sz w:val="19"/>
              </w:rPr>
              <w:t>3.14</w:t>
            </w:r>
          </w:p>
        </w:tc>
        <w:tc>
          <w:tcPr>
            <w:tcW w:type="dxa" w:w="2880"/>
          </w:tcPr>
          <w:p>
            <w:r>
              <w:rPr>
                <w:sz w:val="19"/>
              </w:rPr>
              <w:t>Pipeline de geração de dados (offline, não roda no navegador)</w:t>
            </w:r>
          </w:p>
        </w:tc>
      </w:tr>
      <w:tr>
        <w:tc>
          <w:tcPr>
            <w:tcW w:type="dxa" w:w="2880"/>
          </w:tcPr>
          <w:p>
            <w:r>
              <w:rPr>
                <w:sz w:val="19"/>
              </w:rPr>
              <w:t>pandas / scikit-learn / xgboost / openpyxl / pyyaml</w:t>
            </w:r>
          </w:p>
        </w:tc>
        <w:tc>
          <w:tcPr>
            <w:tcW w:type="dxa" w:w="2880"/>
          </w:tcPr>
          <w:p>
            <w:r>
              <w:rPr>
                <w:sz w:val="19"/>
              </w:rPr>
              <w:t>atual</w:t>
            </w:r>
          </w:p>
        </w:tc>
        <w:tc>
          <w:tcPr>
            <w:tcW w:type="dxa" w:w="2880"/>
          </w:tcPr>
          <w:p>
            <w:r>
              <w:rPr>
                <w:sz w:val="19"/>
              </w:rPr>
              <w:t>Processamento de dado, K-Means, XGBoost, leitura da planilha de curadoria IPED, config de cidade</w:t>
            </w:r>
          </w:p>
        </w:tc>
      </w:tr>
    </w:tbl>
    <w:p/>
    <w:p>
      <w:pPr>
        <w:pStyle w:val="Heading2"/>
      </w:pPr>
      <w:r>
        <w:t>1.14 Deploy</w:t>
      </w:r>
    </w:p>
    <w:p>
      <w:r>
        <w:rPr>
          <w:b w:val="0"/>
          <w:i w:val="0"/>
        </w:rPr>
        <w:t>O pipeline Python roda offline gerando dados_bsb/raw_mno_bsb.json; um passo de montagem concatena journeygraph-mno/_part1.html + o RAW gerado + journeygraph-mno/_part2.js em journeygraph-mno/index.html; a publicação é um git push para o branch main, servido automaticamente pelo GitHub Pages. Nenhum passo de build de frontend (sem bundler, sem transpilação).</w:t>
      </w:r>
    </w:p>
    <w:p>
      <w:pPr>
        <w:pStyle w:val="Heading2"/>
      </w:pPr>
      <w:r>
        <w:t>1.15 Testes</w:t>
      </w:r>
    </w:p>
    <w:p>
      <w:r>
        <w:rPr>
          <w:b w:val="0"/>
          <w:i w:val="0"/>
        </w:rPr>
        <w:t>Não há suíte de testes automatizados publicada neste repositório. A verificação de cada mudança segue um roteiro manual consistente ao longo de todo o desenvolvimento: checar console de erros no navegador, exercitar a funcionalidade nova via JavaScript no console, e validar responsividade em 375px (mobile) e desktop antes de cada publicação.</w:t>
      </w:r>
    </w:p>
    <w:p>
      <w:pPr>
        <w:pStyle w:val="Heading2"/>
      </w:pPr>
      <w:r>
        <w:t>1.16 Capacitação</w:t>
      </w:r>
    </w:p>
    <w:p>
      <w:r>
        <w:rPr>
          <w:b w:val="0"/>
          <w:i w:val="0"/>
        </w:rPr>
        <w:t>Assistente RAG embutido (aba dedicada), mock por palavras-chave sobre um corpus estático de 13 documentos cobrindo metodologia (IPED, Vamping, Markov/Bayes, filtro Bayesiano recursivo, Alertas de Rede), fonte de dados, glossário técnico e privacidade/LGPD.</w:t>
      </w:r>
    </w:p>
    <w:p>
      <w:pPr>
        <w:pStyle w:val="Heading2"/>
      </w:pPr>
      <w:r>
        <w:t>1.17 Sustentação</w:t>
      </w:r>
    </w:p>
    <w:p>
      <w:r>
        <w:rPr>
          <w:b w:val="0"/>
          <w:i w:val="0"/>
        </w:rPr>
        <w:t>Toda mudança de modelo analítico ou parâmetro é refletida no corpus do Assistente no mesmo commit em que é implementada — mesmo princípio recomendado para o NetGraph em seu próprio documento de produto.</w:t>
      </w:r>
    </w:p>
    <w:p>
      <w:pPr>
        <w:pStyle w:val="Heading2"/>
      </w:pPr>
      <w:r>
        <w:t>1.18 Histórico de Evolução</w:t>
      </w:r>
    </w:p>
    <w:p>
      <w:r>
        <w:rPr>
          <w:b w:val="0"/>
          <w:i/>
        </w:rPr>
        <w:t>Linha do tempo real, reconstruída a partir de `git log --oneline --date=short -- journeygraph-mno/ docs/JOURNEYGRAPH_MNO_PROMPT.md` deste repositório, não de memória.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Commit</w:t>
            </w:r>
          </w:p>
        </w:tc>
        <w:tc>
          <w:tcPr>
            <w:tcW w:type="dxa" w:w="2880"/>
            <w:shd w:val="clear" w:color="auto" w:fill="1A3050"/>
          </w:tcPr>
          <w:p>
            <w:r>
              <w:rPr>
                <w:b/>
                <w:color w:val="FFFFFF"/>
                <w:sz w:val="19"/>
              </w:rPr>
              <w:t>Data</w:t>
            </w:r>
          </w:p>
        </w:tc>
        <w:tc>
          <w:tcPr>
            <w:tcW w:type="dxa" w:w="2880"/>
            <w:shd w:val="clear" w:color="auto" w:fill="1A3050"/>
          </w:tcPr>
          <w:p>
            <w:r>
              <w:rPr>
                <w:b/>
                <w:color w:val="FFFFFF"/>
                <w:sz w:val="19"/>
              </w:rPr>
              <w:t>Entrega</w:t>
            </w:r>
          </w:p>
        </w:tc>
      </w:tr>
      <w:tr>
        <w:tc>
          <w:tcPr>
            <w:tcW w:type="dxa" w:w="2880"/>
          </w:tcPr>
          <w:p>
            <w:r>
              <w:rPr>
                <w:sz w:val="19"/>
              </w:rPr>
              <w:t>83509dd</w:t>
            </w:r>
          </w:p>
        </w:tc>
        <w:tc>
          <w:tcPr>
            <w:tcW w:type="dxa" w:w="2880"/>
          </w:tcPr>
          <w:p>
            <w:r>
              <w:rPr>
                <w:sz w:val="19"/>
              </w:rPr>
              <w:t>2026-08-04</w:t>
            </w:r>
          </w:p>
        </w:tc>
        <w:tc>
          <w:tcPr>
            <w:tcW w:type="dxa" w:w="2880"/>
          </w:tcPr>
          <w:p>
            <w:r>
              <w:rPr>
                <w:sz w:val="19"/>
              </w:rPr>
              <w:t>Adiciona prompt de desenvolvimento do JourneyGraph MNO Edition.</w:t>
            </w:r>
          </w:p>
        </w:tc>
      </w:tr>
      <w:tr>
        <w:tc>
          <w:tcPr>
            <w:tcW w:type="dxa" w:w="2880"/>
          </w:tcPr>
          <w:p>
            <w:r>
              <w:rPr>
                <w:sz w:val="19"/>
              </w:rPr>
              <w:t>baa6275</w:t>
            </w:r>
          </w:p>
        </w:tc>
        <w:tc>
          <w:tcPr>
            <w:tcW w:type="dxa" w:w="2880"/>
          </w:tcPr>
          <w:p>
            <w:r>
              <w:rPr>
                <w:sz w:val="19"/>
              </w:rPr>
              <w:t>2026-08-04</w:t>
            </w:r>
          </w:p>
        </w:tc>
        <w:tc>
          <w:tcPr>
            <w:tcW w:type="dxa" w:w="2880"/>
          </w:tcPr>
          <w:p>
            <w:r>
              <w:rPr>
                <w:sz w:val="19"/>
              </w:rPr>
              <w:t>Implementa o JourneyGraph MNO Edition (Brasília/Claro) — v1.</w:t>
            </w:r>
          </w:p>
        </w:tc>
      </w:tr>
      <w:tr>
        <w:tc>
          <w:tcPr>
            <w:tcW w:type="dxa" w:w="2880"/>
          </w:tcPr>
          <w:p>
            <w:r>
              <w:rPr>
                <w:sz w:val="19"/>
              </w:rPr>
              <w:t>a2e4bb3</w:t>
            </w:r>
          </w:p>
        </w:tc>
        <w:tc>
          <w:tcPr>
            <w:tcW w:type="dxa" w:w="2880"/>
          </w:tcPr>
          <w:p>
            <w:r>
              <w:rPr>
                <w:sz w:val="19"/>
              </w:rPr>
              <w:t>2026-08-04</w:t>
            </w:r>
          </w:p>
        </w:tc>
        <w:tc>
          <w:tcPr>
            <w:tcW w:type="dxa" w:w="2880"/>
          </w:tcPr>
          <w:p>
            <w:r>
              <w:rPr>
                <w:sz w:val="19"/>
              </w:rPr>
              <w:t>Adiciona handoff para continuar o prompt do JourneyGraph MNO localmente.</w:t>
            </w:r>
          </w:p>
        </w:tc>
      </w:tr>
      <w:tr>
        <w:tc>
          <w:tcPr>
            <w:tcW w:type="dxa" w:w="2880"/>
          </w:tcPr>
          <w:p>
            <w:r>
              <w:rPr>
                <w:sz w:val="19"/>
              </w:rPr>
              <w:t>25ad113</w:t>
            </w:r>
          </w:p>
        </w:tc>
        <w:tc>
          <w:tcPr>
            <w:tcW w:type="dxa" w:w="2880"/>
          </w:tcPr>
          <w:p>
            <w:r>
              <w:rPr>
                <w:sz w:val="19"/>
              </w:rPr>
              <w:t>2026-08-05</w:t>
            </w:r>
          </w:p>
        </w:tc>
        <w:tc>
          <w:tcPr>
            <w:tcW w:type="dxa" w:w="2880"/>
          </w:tcPr>
          <w:p>
            <w:r>
              <w:rPr>
                <w:sz w:val="19"/>
              </w:rPr>
              <w:t>Adiciona mapa real (Leaflet) e nomes de região ao JourneyGraph MNO.</w:t>
            </w:r>
          </w:p>
        </w:tc>
      </w:tr>
      <w:tr>
        <w:tc>
          <w:tcPr>
            <w:tcW w:type="dxa" w:w="2880"/>
          </w:tcPr>
          <w:p>
            <w:r>
              <w:rPr>
                <w:sz w:val="19"/>
              </w:rPr>
              <w:t>478c17c</w:t>
            </w:r>
          </w:p>
        </w:tc>
        <w:tc>
          <w:tcPr>
            <w:tcW w:type="dxa" w:w="2880"/>
          </w:tcPr>
          <w:p>
            <w:r>
              <w:rPr>
                <w:sz w:val="19"/>
              </w:rPr>
              <w:t>2026-08-05</w:t>
            </w:r>
          </w:p>
        </w:tc>
        <w:tc>
          <w:tcPr>
            <w:tcW w:type="dxa" w:w="2880"/>
          </w:tcPr>
          <w:p>
            <w:r>
              <w:rPr>
                <w:sz w:val="19"/>
              </w:rPr>
              <w:t>Corrige drag do dígrafo: outros nós não devem mais se mover.</w:t>
            </w:r>
          </w:p>
        </w:tc>
      </w:tr>
      <w:tr>
        <w:tc>
          <w:tcPr>
            <w:tcW w:type="dxa" w:w="2880"/>
          </w:tcPr>
          <w:p>
            <w:r>
              <w:rPr>
                <w:sz w:val="19"/>
              </w:rPr>
              <w:t>6e67c01</w:t>
            </w:r>
          </w:p>
        </w:tc>
        <w:tc>
          <w:tcPr>
            <w:tcW w:type="dxa" w:w="2880"/>
          </w:tcPr>
          <w:p>
            <w:r>
              <w:rPr>
                <w:sz w:val="19"/>
              </w:rPr>
              <w:t>2026-08-05</w:t>
            </w:r>
          </w:p>
        </w:tc>
        <w:tc>
          <w:tcPr>
            <w:tcW w:type="dxa" w:w="2880"/>
          </w:tcPr>
          <w:p>
            <w:r>
              <w:rPr>
                <w:sz w:val="19"/>
              </w:rPr>
              <w:t>Corrige contraste do texto no popup do mapa.</w:t>
            </w:r>
          </w:p>
        </w:tc>
      </w:tr>
      <w:tr>
        <w:tc>
          <w:tcPr>
            <w:tcW w:type="dxa" w:w="2880"/>
          </w:tcPr>
          <w:p>
            <w:r>
              <w:rPr>
                <w:sz w:val="19"/>
              </w:rPr>
              <w:t>c9b5dfd</w:t>
            </w:r>
          </w:p>
        </w:tc>
        <w:tc>
          <w:tcPr>
            <w:tcW w:type="dxa" w:w="2880"/>
          </w:tcPr>
          <w:p>
            <w:r>
              <w:rPr>
                <w:sz w:val="19"/>
              </w:rPr>
              <w:t>2026-08-05</w:t>
            </w:r>
          </w:p>
        </w:tc>
        <w:tc>
          <w:tcPr>
            <w:tcW w:type="dxa" w:w="2880"/>
          </w:tcPr>
          <w:p>
            <w:r>
              <w:rPr>
                <w:sz w:val="19"/>
              </w:rPr>
              <w:t>Mostra trajetos entre clusters no mapa geográfico.</w:t>
            </w:r>
          </w:p>
        </w:tc>
      </w:tr>
      <w:tr>
        <w:tc>
          <w:tcPr>
            <w:tcW w:type="dxa" w:w="2880"/>
          </w:tcPr>
          <w:p>
            <w:r>
              <w:rPr>
                <w:sz w:val="19"/>
              </w:rPr>
              <w:t>7ff5ddc</w:t>
            </w:r>
          </w:p>
        </w:tc>
        <w:tc>
          <w:tcPr>
            <w:tcW w:type="dxa" w:w="2880"/>
          </w:tcPr>
          <w:p>
            <w:r>
              <w:rPr>
                <w:sz w:val="19"/>
              </w:rPr>
              <w:t>2026-08-05</w:t>
            </w:r>
          </w:p>
        </w:tc>
        <w:tc>
          <w:tcPr>
            <w:tcW w:type="dxa" w:w="2880"/>
          </w:tcPr>
          <w:p>
            <w:r>
              <w:rPr>
                <w:sz w:val="19"/>
              </w:rPr>
              <w:t>Adiciona dígrafo de Jornada RG (equivalente ao SVA→SVA do ISP).</w:t>
            </w:r>
          </w:p>
        </w:tc>
      </w:tr>
      <w:tr>
        <w:tc>
          <w:tcPr>
            <w:tcW w:type="dxa" w:w="2880"/>
          </w:tcPr>
          <w:p>
            <w:r>
              <w:rPr>
                <w:sz w:val="19"/>
              </w:rPr>
              <w:t>6888106</w:t>
            </w:r>
          </w:p>
        </w:tc>
        <w:tc>
          <w:tcPr>
            <w:tcW w:type="dxa" w:w="2880"/>
          </w:tcPr>
          <w:p>
            <w:r>
              <w:rPr>
                <w:sz w:val="19"/>
              </w:rPr>
              <w:t>2026-08-05</w:t>
            </w:r>
          </w:p>
        </w:tc>
        <w:tc>
          <w:tcPr>
            <w:tcW w:type="dxa" w:w="2880"/>
          </w:tcPr>
          <w:p>
            <w:r>
              <w:rPr>
                <w:sz w:val="19"/>
              </w:rPr>
              <w:t>Adiciona filtro min/máx de pessoas por trajeto no Dígrafo.</w:t>
            </w:r>
          </w:p>
        </w:tc>
      </w:tr>
      <w:tr>
        <w:tc>
          <w:tcPr>
            <w:tcW w:type="dxa" w:w="2880"/>
          </w:tcPr>
          <w:p>
            <w:r>
              <w:rPr>
                <w:sz w:val="19"/>
              </w:rPr>
              <w:t>42b00ad</w:t>
            </w:r>
          </w:p>
        </w:tc>
        <w:tc>
          <w:tcPr>
            <w:tcW w:type="dxa" w:w="2880"/>
          </w:tcPr>
          <w:p>
            <w:r>
              <w:rPr>
                <w:sz w:val="19"/>
              </w:rPr>
              <w:t>2026-08-05</w:t>
            </w:r>
          </w:p>
        </w:tc>
        <w:tc>
          <w:tcPr>
            <w:tcW w:type="dxa" w:w="2880"/>
          </w:tcPr>
          <w:p>
            <w:r>
              <w:rPr>
                <w:sz w:val="19"/>
              </w:rPr>
              <w:t>Adiciona IPED real (qualidade no deslocamento) ao Dígrafo e Mapa.</w:t>
            </w:r>
          </w:p>
        </w:tc>
      </w:tr>
      <w:tr>
        <w:tc>
          <w:tcPr>
            <w:tcW w:type="dxa" w:w="2880"/>
          </w:tcPr>
          <w:p>
            <w:r>
              <w:rPr>
                <w:sz w:val="19"/>
              </w:rPr>
              <w:t>d6baba6</w:t>
            </w:r>
          </w:p>
        </w:tc>
        <w:tc>
          <w:tcPr>
            <w:tcW w:type="dxa" w:w="2880"/>
          </w:tcPr>
          <w:p>
            <w:r>
              <w:rPr>
                <w:sz w:val="19"/>
              </w:rPr>
              <w:t>2026-08-05</w:t>
            </w:r>
          </w:p>
        </w:tc>
        <w:tc>
          <w:tcPr>
            <w:tcW w:type="dxa" w:w="2880"/>
          </w:tcPr>
          <w:p>
            <w:r>
              <w:rPr>
                <w:sz w:val="19"/>
              </w:rPr>
              <w:t>Expande para 8 personas (P5-P8, Wave 2, adaptadas sem CRM).</w:t>
            </w:r>
          </w:p>
        </w:tc>
      </w:tr>
      <w:tr>
        <w:tc>
          <w:tcPr>
            <w:tcW w:type="dxa" w:w="2880"/>
          </w:tcPr>
          <w:p>
            <w:r>
              <w:rPr>
                <w:sz w:val="19"/>
              </w:rPr>
              <w:t>7f94373</w:t>
            </w:r>
          </w:p>
        </w:tc>
        <w:tc>
          <w:tcPr>
            <w:tcW w:type="dxa" w:w="2880"/>
          </w:tcPr>
          <w:p>
            <w:r>
              <w:rPr>
                <w:sz w:val="19"/>
              </w:rPr>
              <w:t>2026-08-05</w:t>
            </w:r>
          </w:p>
        </w:tc>
        <w:tc>
          <w:tcPr>
            <w:tcW w:type="dxa" w:w="2880"/>
          </w:tcPr>
          <w:p>
            <w:r>
              <w:rPr>
                <w:sz w:val="19"/>
              </w:rPr>
              <w:t>Separa Streamer/Gamer (P2/P9) e adiciona Vamping como indicador real.</w:t>
            </w:r>
          </w:p>
        </w:tc>
      </w:tr>
      <w:tr>
        <w:tc>
          <w:tcPr>
            <w:tcW w:type="dxa" w:w="2880"/>
          </w:tcPr>
          <w:p>
            <w:r>
              <w:rPr>
                <w:sz w:val="19"/>
              </w:rPr>
              <w:t>f6f38a2</w:t>
            </w:r>
          </w:p>
        </w:tc>
        <w:tc>
          <w:tcPr>
            <w:tcW w:type="dxa" w:w="2880"/>
          </w:tcPr>
          <w:p>
            <w:r>
              <w:rPr>
                <w:sz w:val="19"/>
              </w:rPr>
              <w:t>2026-08-05</w:t>
            </w:r>
          </w:p>
        </w:tc>
        <w:tc>
          <w:tcPr>
            <w:tcW w:type="dxa" w:w="2880"/>
          </w:tcPr>
          <w:p>
            <w:r>
              <w:rPr>
                <w:sz w:val="19"/>
              </w:rPr>
              <w:t>Adiciona camada opcional de antenas reais no Mapa.</w:t>
            </w:r>
          </w:p>
        </w:tc>
      </w:tr>
      <w:tr>
        <w:tc>
          <w:tcPr>
            <w:tcW w:type="dxa" w:w="2880"/>
          </w:tcPr>
          <w:p>
            <w:r>
              <w:rPr>
                <w:sz w:val="19"/>
              </w:rPr>
              <w:t>051dbc2</w:t>
            </w:r>
          </w:p>
        </w:tc>
        <w:tc>
          <w:tcPr>
            <w:tcW w:type="dxa" w:w="2880"/>
          </w:tcPr>
          <w:p>
            <w:r>
              <w:rPr>
                <w:sz w:val="19"/>
              </w:rPr>
              <w:t>2026-08-05</w:t>
            </w:r>
          </w:p>
        </w:tc>
        <w:tc>
          <w:tcPr>
            <w:tcW w:type="dxa" w:w="2880"/>
          </w:tcPr>
          <w:p>
            <w:r>
              <w:rPr>
                <w:sz w:val="19"/>
              </w:rPr>
              <w:t>Adiciona geofence: desenhar e nomear cluster customizado no Mapa.</w:t>
            </w:r>
          </w:p>
        </w:tc>
      </w:tr>
      <w:tr>
        <w:tc>
          <w:tcPr>
            <w:tcW w:type="dxa" w:w="2880"/>
          </w:tcPr>
          <w:p>
            <w:r>
              <w:rPr>
                <w:sz w:val="19"/>
              </w:rPr>
              <w:t>b7dc64d</w:t>
            </w:r>
          </w:p>
        </w:tc>
        <w:tc>
          <w:tcPr>
            <w:tcW w:type="dxa" w:w="2880"/>
          </w:tcPr>
          <w:p>
            <w:r>
              <w:rPr>
                <w:sz w:val="19"/>
              </w:rPr>
              <w:t>2026-08-05</w:t>
            </w:r>
          </w:p>
        </w:tc>
        <w:tc>
          <w:tcPr>
            <w:tcW w:type="dxa" w:w="2880"/>
          </w:tcPr>
          <w:p>
            <w:r>
              <w:rPr>
                <w:sz w:val="19"/>
              </w:rPr>
              <w:t>Adiciona divisão Voronoi no Mapa, com indicadores selecionáveis.</w:t>
            </w:r>
          </w:p>
        </w:tc>
      </w:tr>
      <w:tr>
        <w:tc>
          <w:tcPr>
            <w:tcW w:type="dxa" w:w="2880"/>
          </w:tcPr>
          <w:p>
            <w:r>
              <w:rPr>
                <w:sz w:val="19"/>
              </w:rPr>
              <w:t>02193fe</w:t>
            </w:r>
          </w:p>
        </w:tc>
        <w:tc>
          <w:tcPr>
            <w:tcW w:type="dxa" w:w="2880"/>
          </w:tcPr>
          <w:p>
            <w:r>
              <w:rPr>
                <w:sz w:val="19"/>
              </w:rPr>
              <w:t>2026-08-05</w:t>
            </w:r>
          </w:p>
        </w:tc>
        <w:tc>
          <w:tcPr>
            <w:tcW w:type="dxa" w:w="2880"/>
          </w:tcPr>
          <w:p>
            <w:r>
              <w:rPr>
                <w:sz w:val="19"/>
              </w:rPr>
              <w:t>Corrige nomes de região duplicados e torna Jornada RG interativo.</w:t>
            </w:r>
          </w:p>
        </w:tc>
      </w:tr>
      <w:tr>
        <w:tc>
          <w:tcPr>
            <w:tcW w:type="dxa" w:w="2880"/>
          </w:tcPr>
          <w:p>
            <w:r>
              <w:rPr>
                <w:sz w:val="19"/>
              </w:rPr>
              <w:t>f13dbdd</w:t>
            </w:r>
          </w:p>
        </w:tc>
        <w:tc>
          <w:tcPr>
            <w:tcW w:type="dxa" w:w="2880"/>
          </w:tcPr>
          <w:p>
            <w:r>
              <w:rPr>
                <w:sz w:val="19"/>
              </w:rPr>
              <w:t>2026-08-05</w:t>
            </w:r>
          </w:p>
        </w:tc>
        <w:tc>
          <w:tcPr>
            <w:tcW w:type="dxa" w:w="2880"/>
          </w:tcPr>
          <w:p>
            <w:r>
              <w:rPr>
                <w:sz w:val="19"/>
              </w:rPr>
              <w:t>[NetGraph→MNO 1/3] Adiciona topologia de rede (Core→PGW→SGW→Sites).</w:t>
            </w:r>
          </w:p>
        </w:tc>
      </w:tr>
      <w:tr>
        <w:tc>
          <w:tcPr>
            <w:tcW w:type="dxa" w:w="2880"/>
          </w:tcPr>
          <w:p>
            <w:r>
              <w:rPr>
                <w:sz w:val="19"/>
              </w:rPr>
              <w:t>a5d5abf</w:t>
            </w:r>
          </w:p>
        </w:tc>
        <w:tc>
          <w:tcPr>
            <w:tcW w:type="dxa" w:w="2880"/>
          </w:tcPr>
          <w:p>
            <w:r>
              <w:rPr>
                <w:sz w:val="19"/>
              </w:rPr>
              <w:t>2026-08-05</w:t>
            </w:r>
          </w:p>
        </w:tc>
        <w:tc>
          <w:tcPr>
            <w:tcW w:type="dxa" w:w="2880"/>
          </w:tcPr>
          <w:p>
            <w:r>
              <w:rPr>
                <w:sz w:val="19"/>
              </w:rPr>
              <w:t>[NetGraph→MNO 2/3] Adiciona alertas de rede (Markov + Bayes por nó).</w:t>
            </w:r>
          </w:p>
        </w:tc>
      </w:tr>
      <w:tr>
        <w:tc>
          <w:tcPr>
            <w:tcW w:type="dxa" w:w="2880"/>
          </w:tcPr>
          <w:p>
            <w:r>
              <w:rPr>
                <w:sz w:val="19"/>
              </w:rPr>
              <w:t>3fcd463</w:t>
            </w:r>
          </w:p>
        </w:tc>
        <w:tc>
          <w:tcPr>
            <w:tcW w:type="dxa" w:w="2880"/>
          </w:tcPr>
          <w:p>
            <w:r>
              <w:rPr>
                <w:sz w:val="19"/>
              </w:rPr>
              <w:t>2026-08-05</w:t>
            </w:r>
          </w:p>
        </w:tc>
        <w:tc>
          <w:tcPr>
            <w:tcW w:type="dxa" w:w="2880"/>
          </w:tcPr>
          <w:p>
            <w:r>
              <w:rPr>
                <w:sz w:val="19"/>
              </w:rPr>
              <w:t>[NetGraph→MNO 3/3] Adiciona capacidade (projeção) e outliers (MAD) por nó.</w:t>
            </w:r>
          </w:p>
        </w:tc>
      </w:tr>
      <w:tr>
        <w:tc>
          <w:tcPr>
            <w:tcW w:type="dxa" w:w="2880"/>
          </w:tcPr>
          <w:p>
            <w:r>
              <w:rPr>
                <w:sz w:val="19"/>
              </w:rPr>
              <w:t>16cf385</w:t>
            </w:r>
          </w:p>
        </w:tc>
        <w:tc>
          <w:tcPr>
            <w:tcW w:type="dxa" w:w="2880"/>
          </w:tcPr>
          <w:p>
            <w:r>
              <w:rPr>
                <w:sz w:val="19"/>
              </w:rPr>
              <w:t>2026-08-05</w:t>
            </w:r>
          </w:p>
        </w:tc>
        <w:tc>
          <w:tcPr>
            <w:tcW w:type="dxa" w:w="2880"/>
          </w:tcPr>
          <w:p>
            <w:r>
              <w:rPr>
                <w:sz w:val="19"/>
              </w:rPr>
              <w:t>Corrige nós travados no dígrafo de Jornada RG (agora arrastáveis).</w:t>
            </w:r>
          </w:p>
        </w:tc>
      </w:tr>
      <w:tr>
        <w:tc>
          <w:tcPr>
            <w:tcW w:type="dxa" w:w="2880"/>
          </w:tcPr>
          <w:p>
            <w:r>
              <w:rPr>
                <w:sz w:val="19"/>
              </w:rPr>
              <w:t>0181ef1</w:t>
            </w:r>
          </w:p>
        </w:tc>
        <w:tc>
          <w:tcPr>
            <w:tcW w:type="dxa" w:w="2880"/>
          </w:tcPr>
          <w:p>
            <w:r>
              <w:rPr>
                <w:sz w:val="19"/>
              </w:rPr>
              <w:t>2026-08-05</w:t>
            </w:r>
          </w:p>
        </w:tc>
        <w:tc>
          <w:tcPr>
            <w:tcW w:type="dxa" w:w="2880"/>
          </w:tcPr>
          <w:p>
            <w:r>
              <w:rPr>
                <w:sz w:val="19"/>
              </w:rPr>
              <w:t>Corrige matriz de Markov sempre idêntica: adiciona estrutura real ao gerador de drop/congestionamento.</w:t>
            </w:r>
          </w:p>
        </w:tc>
      </w:tr>
      <w:tr>
        <w:tc>
          <w:tcPr>
            <w:tcW w:type="dxa" w:w="2880"/>
          </w:tcPr>
          <w:p>
            <w:r>
              <w:rPr>
                <w:sz w:val="19"/>
              </w:rPr>
              <w:t>c61b19e</w:t>
            </w:r>
          </w:p>
        </w:tc>
        <w:tc>
          <w:tcPr>
            <w:tcW w:type="dxa" w:w="2880"/>
          </w:tcPr>
          <w:p>
            <w:r>
              <w:rPr>
                <w:sz w:val="19"/>
              </w:rPr>
              <w:t>2026-08-05</w:t>
            </w:r>
          </w:p>
        </w:tc>
        <w:tc>
          <w:tcPr>
            <w:tcW w:type="dxa" w:w="2880"/>
          </w:tcPr>
          <w:p>
            <w:r>
              <w:rPr>
                <w:sz w:val="19"/>
              </w:rPr>
              <w:t>Adiciona aba Outliers: filtro Bayesiano recursivo ao lado do MAD, com atribuição de causa tráfego×capacidade.</w:t>
            </w:r>
          </w:p>
        </w:tc>
      </w:tr>
      <w:tr>
        <w:tc>
          <w:tcPr>
            <w:tcW w:type="dxa" w:w="2880"/>
          </w:tcPr>
          <w:p>
            <w:r>
              <w:rPr>
                <w:sz w:val="19"/>
              </w:rPr>
              <w:t>0f50ae8</w:t>
            </w:r>
          </w:p>
        </w:tc>
        <w:tc>
          <w:tcPr>
            <w:tcW w:type="dxa" w:w="2880"/>
          </w:tcPr>
          <w:p>
            <w:r>
              <w:rPr>
                <w:sz w:val="19"/>
              </w:rPr>
              <w:t>2026-08-05</w:t>
            </w:r>
          </w:p>
        </w:tc>
        <w:tc>
          <w:tcPr>
            <w:tcW w:type="dxa" w:w="2880"/>
          </w:tcPr>
          <w:p>
            <w:r>
              <w:rPr>
                <w:sz w:val="19"/>
              </w:rPr>
              <w:t>Aumenta amostra sintética de 15.000 para 100.000 assinantes (~6,7% da base estimada).</w:t>
            </w:r>
          </w:p>
        </w:tc>
      </w:tr>
      <w:tr>
        <w:tc>
          <w:tcPr>
            <w:tcW w:type="dxa" w:w="2880"/>
          </w:tcPr>
          <w:p>
            <w:r>
              <w:rPr>
                <w:sz w:val="19"/>
              </w:rPr>
              <w:t>134a986</w:t>
            </w:r>
          </w:p>
        </w:tc>
        <w:tc>
          <w:tcPr>
            <w:tcW w:type="dxa" w:w="2880"/>
          </w:tcPr>
          <w:p>
            <w:r>
              <w:rPr>
                <w:sz w:val="19"/>
              </w:rPr>
              <w:t>2026-08-05</w:t>
            </w:r>
          </w:p>
        </w:tc>
        <w:tc>
          <w:tcPr>
            <w:tcW w:type="dxa" w:w="2880"/>
          </w:tcPr>
          <w:p>
            <w:r>
              <w:rPr>
                <w:sz w:val="19"/>
              </w:rPr>
              <w:t>[NetGraph→MNO 4/4] Adiciona Alertas de Rede priorizados: centralidade, Bayes ingênuo, score combinado, explicabilidade em 7 seções.</w:t>
            </w:r>
          </w:p>
        </w:tc>
      </w:tr>
    </w:tbl>
    <w:p/>
    <w:p>
      <w:r>
        <w:br w:type="page"/>
      </w:r>
    </w:p>
    <w:p>
      <w:pPr>
        <w:pStyle w:val="Heading1"/>
      </w:pPr>
      <w:r>
        <w:t>2. Tech Reference</w:t>
      </w:r>
    </w:p>
    <w:p>
      <w:pPr>
        <w:pStyle w:val="Heading2"/>
      </w:pPr>
      <w:r>
        <w:t>2.1 Arquitetura Detalhada</w:t>
      </w:r>
    </w:p>
    <w:p>
      <w:r>
        <w:rPr>
          <w:b w:val="0"/>
          <w:i w:val="0"/>
        </w:rPr>
        <w:t>Clona a arquitetura de journeygraph/index.html (telas, sidebars, dígrafo D3, Alertas, Consulta Individual restrita, Assistente), adaptando o domínio de "jornada de banda larga fixa" para "jornada e rede de assinante móvel", e incorpora quatro capacidades adicionais portadas do NetGraph (topologia hierárquica, Markov/Bayes de rede, MAD/regressão de capacidade, priorização de alertas por score combinado) — recalibradas para o domínio móvel em cada ponto onde a metodologia original do NetGraph era específica de banda fixa (fibra/OLT).</w:t>
      </w:r>
    </w:p>
    <w:p>
      <w:pPr>
        <w:pStyle w:val="Heading3"/>
      </w:pPr>
      <w:r>
        <w:t>Hierarquia de rede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Nível</w:t>
            </w:r>
          </w:p>
        </w:tc>
        <w:tc>
          <w:tcPr>
            <w:tcW w:type="dxa" w:w="2880"/>
            <w:shd w:val="clear" w:color="auto" w:fill="1A3050"/>
          </w:tcPr>
          <w:p>
            <w:r>
              <w:rPr>
                <w:b/>
                <w:color w:val="FFFFFF"/>
                <w:sz w:val="19"/>
              </w:rPr>
              <w:t>Quantidade</w:t>
            </w:r>
          </w:p>
        </w:tc>
        <w:tc>
          <w:tcPr>
            <w:tcW w:type="dxa" w:w="2880"/>
            <w:shd w:val="clear" w:color="auto" w:fill="1A3050"/>
          </w:tcPr>
          <w:p>
            <w:r>
              <w:rPr>
                <w:b/>
                <w:color w:val="FFFFFF"/>
                <w:sz w:val="19"/>
              </w:rPr>
              <w:t>Atributos-chave</w:t>
            </w:r>
          </w:p>
        </w:tc>
      </w:tr>
      <w:tr>
        <w:tc>
          <w:tcPr>
            <w:tcW w:type="dxa" w:w="2880"/>
          </w:tcPr>
          <w:p>
            <w:r>
              <w:rPr>
                <w:sz w:val="19"/>
              </w:rPr>
              <w:t>Core</w:t>
            </w:r>
          </w:p>
        </w:tc>
        <w:tc>
          <w:tcPr>
            <w:tcW w:type="dxa" w:w="2880"/>
          </w:tcPr>
          <w:p>
            <w:r>
              <w:rPr>
                <w:sz w:val="19"/>
              </w:rPr>
              <w:t>1 (agregação lógica)</w:t>
            </w:r>
          </w:p>
        </w:tc>
        <w:tc>
          <w:tcPr>
            <w:tcW w:type="dxa" w:w="2880"/>
          </w:tcPr>
          <w:p>
            <w:r>
              <w:rPr>
                <w:sz w:val="19"/>
              </w:rPr>
              <w:t>n_usuarios_est agregado de todos os sites; não é um equipamento físico distinto nesta topologia.</w:t>
            </w:r>
          </w:p>
        </w:tc>
      </w:tr>
      <w:tr>
        <w:tc>
          <w:tcPr>
            <w:tcW w:type="dxa" w:w="2880"/>
          </w:tcPr>
          <w:p>
            <w:r>
              <w:rPr>
                <w:sz w:val="19"/>
              </w:rPr>
              <w:t>PGW/UPF</w:t>
            </w:r>
          </w:p>
        </w:tc>
        <w:tc>
          <w:tcPr>
            <w:tcW w:type="dxa" w:w="2880"/>
          </w:tcPr>
          <w:p>
            <w:r>
              <w:rPr>
                <w:sz w:val="19"/>
              </w:rPr>
              <w:t>3</w:t>
            </w:r>
          </w:p>
        </w:tc>
        <w:tc>
          <w:tcPr>
            <w:tcW w:type="dxa" w:w="2880"/>
          </w:tcPr>
          <w:p>
            <w:r>
              <w:rPr>
                <w:sz w:val="19"/>
              </w:rPr>
              <w:t>Round-robin a partir dos 6 SGW; agrega drop/congestionamento médio dos SGW filhos.</w:t>
            </w:r>
          </w:p>
        </w:tc>
      </w:tr>
      <w:tr>
        <w:tc>
          <w:tcPr>
            <w:tcW w:type="dxa" w:w="2880"/>
          </w:tcPr>
          <w:p>
            <w:r>
              <w:rPr>
                <w:sz w:val="19"/>
              </w:rPr>
              <w:t>SGW</w:t>
            </w:r>
          </w:p>
        </w:tc>
        <w:tc>
          <w:tcPr>
            <w:tcW w:type="dxa" w:w="2880"/>
          </w:tcPr>
          <w:p>
            <w:r>
              <w:rPr>
                <w:sz w:val="19"/>
              </w:rPr>
              <w:t>6</w:t>
            </w:r>
          </w:p>
        </w:tc>
        <w:tc>
          <w:tcPr>
            <w:tcW w:type="dxa" w:w="2880"/>
          </w:tcPr>
          <w:p>
            <w:r>
              <w:rPr>
                <w:sz w:val="19"/>
              </w:rPr>
              <w:t>Atribuição hash estável por índice de site; agrega drop/congestionamento médio dos sites filhos.</w:t>
            </w:r>
          </w:p>
        </w:tc>
      </w:tr>
      <w:tr>
        <w:tc>
          <w:tcPr>
            <w:tcW w:type="dxa" w:w="2880"/>
          </w:tcPr>
          <w:p>
            <w:r>
              <w:rPr>
                <w:sz w:val="19"/>
              </w:rPr>
              <w:t>Site (físico)</w:t>
            </w:r>
          </w:p>
        </w:tc>
        <w:tc>
          <w:tcPr>
            <w:tcW w:type="dxa" w:w="2880"/>
          </w:tcPr>
          <w:p>
            <w:r>
              <w:rPr>
                <w:sz w:val="19"/>
              </w:rPr>
              <w:t>213</w:t>
            </w:r>
          </w:p>
        </w:tc>
        <w:tc>
          <w:tcPr>
            <w:tcW w:type="dxa" w:w="2880"/>
          </w:tcPr>
          <w:p>
            <w:r>
              <w:rPr>
                <w:sz w:val="19"/>
              </w:rPr>
              <w:t>Agrupamento de antenas por coordenada idêntica (setores/bandas co-locados); ponto de entrada real da hierarquia.</w:t>
            </w:r>
          </w:p>
        </w:tc>
      </w:tr>
      <w:tr>
        <w:tc>
          <w:tcPr>
            <w:tcW w:type="dxa" w:w="2880"/>
          </w:tcPr>
          <w:p>
            <w:r>
              <w:rPr>
                <w:sz w:val="19"/>
              </w:rPr>
              <w:t>MME/AMF</w:t>
            </w:r>
          </w:p>
        </w:tc>
        <w:tc>
          <w:tcPr>
            <w:tcW w:type="dxa" w:w="2880"/>
          </w:tcPr>
          <w:p>
            <w:r>
              <w:rPr>
                <w:sz w:val="19"/>
              </w:rPr>
              <w:t>6 (pool paralelo)</w:t>
            </w:r>
          </w:p>
        </w:tc>
        <w:tc>
          <w:tcPr>
            <w:tcW w:type="dxa" w:w="2880"/>
          </w:tcPr>
          <w:p>
            <w:r>
              <w:rPr>
                <w:sz w:val="19"/>
              </w:rPr>
              <w:t>Controle/sinalização — não faz parte da árvore de dados Core→PGW→SGW→Site.</w:t>
            </w:r>
          </w:p>
        </w:tc>
      </w:tr>
    </w:tbl>
    <w:p/>
    <w:p>
      <w:r>
        <w:rPr>
          <w:b w:val="0"/>
          <w:i w:val="0"/>
        </w:rPr>
        <w:t>Estados de saúde por nó de rede (Markov, §2.5): Saudável → Degradado → Crítico → Falha, por limiares de drop_pct calibrados sobre a distribuição real observada nesta execução (ver Ressalvas / Honestidade Metodológica).</w:t>
      </w:r>
    </w:p>
    <w:p>
      <w:pPr>
        <w:pStyle w:val="Heading2"/>
      </w:pPr>
      <w:r>
        <w:t>2.2 Stack</w:t>
      </w:r>
    </w:p>
    <w:p>
      <w:r>
        <w:rPr>
          <w:b w:val="0"/>
          <w:i w:val="0"/>
        </w:rPr>
        <w:t>D3.js v7.8.5 e Leaflet v1.9.4 via CDN para toda a visualização (grafos, mapa, gráficos de série temporal); HTML5/CSS/JavaScript puro para o motor analítico client-side — sem framework de build, sem backend, sem banco de dados no app. Pipeline de dados em Python 3.14 (pandas, scikit-learn, XGBoost, openpyxl, PyYAML), executado offline uma única vez por publicação.</w:t>
      </w:r>
    </w:p>
    <w:p>
      <w:pPr>
        <w:pStyle w:val="Heading2"/>
      </w:pPr>
      <w:r>
        <w:t>2.3 Desempenho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3050"/>
          </w:tcPr>
          <w:p>
            <w:r>
              <w:rPr>
                <w:b/>
                <w:color w:val="FFFFFF"/>
                <w:sz w:val="19"/>
              </w:rPr>
              <w:t>Métrica</w:t>
            </w:r>
          </w:p>
        </w:tc>
        <w:tc>
          <w:tcPr>
            <w:tcW w:type="dxa" w:w="4320"/>
            <w:shd w:val="clear" w:color="auto" w:fill="1A3050"/>
          </w:tcPr>
          <w:p>
            <w:r>
              <w:rPr>
                <w:b/>
                <w:color w:val="FFFFFF"/>
                <w:sz w:val="19"/>
              </w:rPr>
              <w:t>Valor</w:t>
            </w:r>
          </w:p>
        </w:tc>
      </w:tr>
      <w:tr>
        <w:tc>
          <w:tcPr>
            <w:tcW w:type="dxa" w:w="4320"/>
          </w:tcPr>
          <w:p>
            <w:r>
              <w:rPr>
                <w:sz w:val="19"/>
              </w:rPr>
              <w:t>Linhas de CDR sintético gerado</w:t>
            </w:r>
          </w:p>
        </w:tc>
        <w:tc>
          <w:tcPr>
            <w:tcW w:type="dxa" w:w="4320"/>
          </w:tcPr>
          <w:p>
            <w:r>
              <w:rPr>
                <w:sz w:val="19"/>
              </w:rPr>
              <w:t>4.610.999 (100.000 assinantes × 15 dias)</w:t>
            </w:r>
          </w:p>
        </w:tc>
      </w:tr>
      <w:tr>
        <w:tc>
          <w:tcPr>
            <w:tcW w:type="dxa" w:w="4320"/>
          </w:tcPr>
          <w:p>
            <w:r>
              <w:rPr>
                <w:sz w:val="19"/>
              </w:rPr>
              <w:t>Tempo do pipeline completo (geração→RAW)</w:t>
            </w:r>
          </w:p>
        </w:tc>
        <w:tc>
          <w:tcPr>
            <w:tcW w:type="dxa" w:w="4320"/>
          </w:tcPr>
          <w:p>
            <w:r>
              <w:rPr>
                <w:sz w:val="19"/>
              </w:rPr>
              <w:t>~15 min (multiprocessing, 8 workers, na etapa de geração de CDR)</w:t>
            </w:r>
          </w:p>
        </w:tc>
      </w:tr>
      <w:tr>
        <w:tc>
          <w:tcPr>
            <w:tcW w:type="dxa" w:w="4320"/>
          </w:tcPr>
          <w:p>
            <w:r>
              <w:rPr>
                <w:sz w:val="19"/>
              </w:rPr>
              <w:t>Tamanho do CDR bruto em disco (intermediário)</w:t>
            </w:r>
          </w:p>
        </w:tc>
        <w:tc>
          <w:tcPr>
            <w:tcW w:type="dxa" w:w="4320"/>
          </w:tcPr>
          <w:p>
            <w:r>
              <w:rPr>
                <w:sz w:val="19"/>
              </w:rPr>
              <w:t>~780 MB (tensor_mobilidade.csv, não publicado)</w:t>
            </w:r>
          </w:p>
        </w:tc>
      </w:tr>
      <w:tr>
        <w:tc>
          <w:tcPr>
            <w:tcW w:type="dxa" w:w="4320"/>
          </w:tcPr>
          <w:p>
            <w:r>
              <w:rPr>
                <w:sz w:val="19"/>
              </w:rPr>
              <w:t>Tamanho do RAW embutido no app</w:t>
            </w:r>
          </w:p>
        </w:tc>
        <w:tc>
          <w:tcPr>
            <w:tcW w:type="dxa" w:w="4320"/>
          </w:tcPr>
          <w:p>
            <w:r>
              <w:rPr>
                <w:sz w:val="19"/>
              </w:rPr>
              <w:t>18,9 MB (JSON)</w:t>
            </w:r>
          </w:p>
        </w:tc>
      </w:tr>
      <w:tr>
        <w:tc>
          <w:tcPr>
            <w:tcW w:type="dxa" w:w="4320"/>
          </w:tcPr>
          <w:p>
            <w:r>
              <w:rPr>
                <w:sz w:val="19"/>
              </w:rPr>
              <w:t>Tamanho final de index.html</w:t>
            </w:r>
          </w:p>
        </w:tc>
        <w:tc>
          <w:tcPr>
            <w:tcW w:type="dxa" w:w="4320"/>
          </w:tcPr>
          <w:p>
            <w:r>
              <w:rPr>
                <w:sz w:val="19"/>
              </w:rPr>
              <w:t>19,5 MB bruto / ~2,3 MB comprimido (gzip, servido pelo GitHub Pages)</w:t>
            </w:r>
          </w:p>
        </w:tc>
      </w:tr>
      <w:tr>
        <w:tc>
          <w:tcPr>
            <w:tcW w:type="dxa" w:w="4320"/>
          </w:tcPr>
          <w:p>
            <w:r>
              <w:rPr>
                <w:sz w:val="19"/>
              </w:rPr>
              <w:t>Linhas de código do motor analítico client-side</w:t>
            </w:r>
          </w:p>
        </w:tc>
        <w:tc>
          <w:tcPr>
            <w:tcW w:type="dxa" w:w="4320"/>
          </w:tcPr>
          <w:p>
            <w:r>
              <w:rPr>
                <w:sz w:val="19"/>
              </w:rPr>
              <w:t>~1.900 (journeygraph-mno/_part2.js)</w:t>
            </w:r>
          </w:p>
        </w:tc>
      </w:tr>
      <w:tr>
        <w:tc>
          <w:tcPr>
            <w:tcW w:type="dxa" w:w="4320"/>
          </w:tcPr>
          <w:p>
            <w:r>
              <w:rPr>
                <w:sz w:val="19"/>
              </w:rPr>
              <w:t>Linhas de código do pipeline de geração</w:t>
            </w:r>
          </w:p>
        </w:tc>
        <w:tc>
          <w:tcPr>
            <w:tcW w:type="dxa" w:w="4320"/>
          </w:tcPr>
          <w:p>
            <w:r>
              <w:rPr>
                <w:sz w:val="19"/>
              </w:rPr>
              <w:t>~1.100 (build_raw_mno.py, sem contar os 8 scripts numerados)</w:t>
            </w:r>
          </w:p>
        </w:tc>
      </w:tr>
    </w:tbl>
    <w:p/>
    <w:p>
      <w:pPr>
        <w:pStyle w:val="Heading2"/>
      </w:pPr>
      <w:r>
        <w:t>2.4 Parametrização</w:t>
      </w:r>
    </w:p>
    <w:p>
      <w:r>
        <w:rPr>
          <w:b w:val="0"/>
          <w:i w:val="0"/>
        </w:rPr>
        <w:t>Cidade-alvo, operadora (MNO), número de assinantes, número de dias e semente aleatória são parâmetros de linha de comando do pipeline (--cidade, --mno, --assinantes, --dias, --semente), não hardcoded — a mesma base de código já gerou uma execução para São Paulo antes de migrar para Brasília. Pesos de Markov/Bayes de rede, limiares de estado, causas candidatas e sensibilidade do filtro Bayesiano recursivo são constantes no código-fonte (build_raw_mno.py e _part2.js), não expostas em arquivo de configuração externo nesta versão.</w:t>
      </w:r>
    </w:p>
    <w:p>
      <w:pPr>
        <w:pStyle w:val="Heading2"/>
      </w:pPr>
      <w:r>
        <w:t>2.5 ML / IA / RAG / Agentes — Motor Analítico Real</w:t>
      </w:r>
    </w:p>
    <w:p>
      <w:r>
        <w:rPr>
          <w:b w:val="0"/>
          <w:i w:val="0"/>
        </w:rPr>
        <w:t>Declaração explícita, por componente, da natureza real de cada peça "inteligente" do produto — exigência de primeira classe do padrão de documentação da Vísent (§1.2 do padrão).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Componente</w:t>
            </w:r>
          </w:p>
        </w:tc>
        <w:tc>
          <w:tcPr>
            <w:tcW w:type="dxa" w:w="2880"/>
            <w:shd w:val="clear" w:color="auto" w:fill="1A3050"/>
          </w:tcPr>
          <w:p>
            <w:r>
              <w:rPr>
                <w:b/>
                <w:color w:val="FFFFFF"/>
                <w:sz w:val="19"/>
              </w:rPr>
              <w:t>Natureza real</w:t>
            </w:r>
          </w:p>
        </w:tc>
        <w:tc>
          <w:tcPr>
            <w:tcW w:type="dxa" w:w="2880"/>
            <w:shd w:val="clear" w:color="auto" w:fill="1A3050"/>
          </w:tcPr>
          <w:p>
            <w:r>
              <w:rPr>
                <w:b/>
                <w:color w:val="FFFFFF"/>
                <w:sz w:val="19"/>
              </w:rPr>
              <w:t>Detalhe</w:t>
            </w:r>
          </w:p>
        </w:tc>
      </w:tr>
      <w:tr>
        <w:tc>
          <w:tcPr>
            <w:tcW w:type="dxa" w:w="2880"/>
          </w:tcPr>
          <w:p>
            <w:r>
              <w:rPr>
                <w:sz w:val="19"/>
              </w:rPr>
              <w:t>Classificação de Persona</w:t>
            </w:r>
          </w:p>
        </w:tc>
        <w:tc>
          <w:tcPr>
            <w:tcW w:type="dxa" w:w="2880"/>
          </w:tcPr>
          <w:p>
            <w:r>
              <w:rPr>
                <w:sz w:val="19"/>
              </w:rPr>
              <w:t>Modelo estatístico real</w:t>
            </w:r>
          </w:p>
        </w:tc>
        <w:tc>
          <w:tcPr>
            <w:tcW w:type="dxa" w:w="2880"/>
          </w:tcPr>
          <w:p>
            <w:r>
              <w:rPr>
                <w:sz w:val="19"/>
              </w:rPr>
              <w:t>K-Means (MiniBatchKMeans, K=9) sobre 21 features + XGBoost supervisionado treinado sobre os rótulos do K-Means (acurácia 91% na amostra de teste) — não um rótulo manual.</w:t>
            </w:r>
          </w:p>
        </w:tc>
      </w:tr>
      <w:tr>
        <w:tc>
          <w:tcPr>
            <w:tcW w:type="dxa" w:w="2880"/>
          </w:tcPr>
          <w:p>
            <w:r>
              <w:rPr>
                <w:sz w:val="19"/>
              </w:rPr>
              <w:t>IPED (Qualidade no Deslocamento)</w:t>
            </w:r>
          </w:p>
        </w:tc>
        <w:tc>
          <w:tcPr>
            <w:tcW w:type="dxa" w:w="2880"/>
          </w:tcPr>
          <w:p>
            <w:r>
              <w:rPr>
                <w:sz w:val="19"/>
              </w:rPr>
              <w:t>Índice ponderado real</w:t>
            </w:r>
          </w:p>
        </w:tc>
        <w:tc>
          <w:tcPr>
            <w:tcW w:type="dxa" w:w="2880"/>
          </w:tcPr>
          <w:p>
            <w:r>
              <w:rPr>
                <w:sz w:val="19"/>
              </w:rPr>
              <w:t>Índice Ponderado de qualidade no DEslocamento — 4 componentes ativos (de 6 definidos) sobre 8 KQIs ativos (de 10), min-max normalizados, pesos e faixas lidos de planilha de curadoria (curadoria_iped_mno.xlsx) — mesma metodologia da StepGraph, não inventada para o MNO.</w:t>
            </w:r>
          </w:p>
        </w:tc>
      </w:tr>
      <w:tr>
        <w:tc>
          <w:tcPr>
            <w:tcW w:type="dxa" w:w="2880"/>
          </w:tcPr>
          <w:p>
            <w:r>
              <w:rPr>
                <w:sz w:val="19"/>
              </w:rPr>
              <w:t>Vamping</w:t>
            </w:r>
          </w:p>
        </w:tc>
        <w:tc>
          <w:tcPr>
            <w:tcW w:type="dxa" w:w="2880"/>
          </w:tcPr>
          <w:p>
            <w:r>
              <w:rPr>
                <w:sz w:val="19"/>
              </w:rPr>
              <w:t>Fórmula real, cópia verbatim</w:t>
            </w:r>
          </w:p>
        </w:tc>
        <w:tc>
          <w:tcPr>
            <w:tcW w:type="dxa" w:w="2880"/>
          </w:tcPr>
          <w:p>
            <w:r>
              <w:rPr>
                <w:sz w:val="19"/>
              </w:rPr>
              <w:t>Score 0–100 = 45%×frequência + 30%×volume + 25%×persistência de download na madrugada (00h–06h) acima de 10 MB; flag binário ≥4 noites/semana. Fórmula copiada sem alteração do JourneyGraph ISP Edition (14_calcular_vamping.py).</w:t>
            </w:r>
          </w:p>
        </w:tc>
      </w:tr>
      <w:tr>
        <w:tc>
          <w:tcPr>
            <w:tcW w:type="dxa" w:w="2880"/>
          </w:tcPr>
          <w:p>
            <w:r>
              <w:rPr>
                <w:sz w:val="19"/>
              </w:rPr>
              <w:t>Markov — Alertas por Persona</w:t>
            </w:r>
          </w:p>
        </w:tc>
        <w:tc>
          <w:tcPr>
            <w:tcW w:type="dxa" w:w="2880"/>
          </w:tcPr>
          <w:p>
            <w:r>
              <w:rPr>
                <w:sz w:val="19"/>
              </w:rPr>
              <w:t>Modelo estatístico real</w:t>
            </w:r>
          </w:p>
        </w:tc>
        <w:tc>
          <w:tcPr>
            <w:tcW w:type="dxa" w:w="2880"/>
          </w:tcPr>
          <w:p>
            <w:r>
              <w:rPr>
                <w:sz w:val="19"/>
              </w:rPr>
              <w:t>Matriz de transição contada por ocorrência real na série diária sintética de cada persona (4 estados: Normal/Atenção/Exceção/Crítico) — não uma cor fixa por limiar.</w:t>
            </w:r>
          </w:p>
        </w:tc>
      </w:tr>
      <w:tr>
        <w:tc>
          <w:tcPr>
            <w:tcW w:type="dxa" w:w="2880"/>
          </w:tcPr>
          <w:p>
            <w:r>
              <w:rPr>
                <w:sz w:val="19"/>
              </w:rPr>
              <w:t>Bayes por correlação — Alertas por Persona/Rede (Etapa 2)</w:t>
            </w:r>
          </w:p>
        </w:tc>
        <w:tc>
          <w:tcPr>
            <w:tcW w:type="dxa" w:w="2880"/>
          </w:tcPr>
          <w:p>
            <w:r>
              <w:rPr>
                <w:sz w:val="19"/>
              </w:rPr>
              <w:t>Cálculo estatístico real</w:t>
            </w:r>
          </w:p>
        </w:tc>
        <w:tc>
          <w:tcPr>
            <w:tcW w:type="dxa" w:w="2880"/>
          </w:tcPr>
          <w:p>
            <w:r>
              <w:rPr>
                <w:sz w:val="19"/>
              </w:rPr>
              <w:t>Evidência = correlação de Pearson real entre séries diárias (drop × congestionamento/tráfego/sessões/mix WCDMA), normalizada em posterior — mais simples que a rede Bayesiana ingênua de §2.5 seguinte, usada como primeira camada de causa provável.</w:t>
            </w:r>
          </w:p>
        </w:tc>
      </w:tr>
      <w:tr>
        <w:tc>
          <w:tcPr>
            <w:tcW w:type="dxa" w:w="2880"/>
          </w:tcPr>
          <w:p>
            <w:r>
              <w:rPr>
                <w:sz w:val="19"/>
              </w:rPr>
              <w:t>Rede Bayesiana ingênua — Alertas de Rede priorizados (Etapa 4)</w:t>
            </w:r>
          </w:p>
        </w:tc>
        <w:tc>
          <w:tcPr>
            <w:tcW w:type="dxa" w:w="2880"/>
          </w:tcPr>
          <w:p>
            <w:r>
              <w:rPr>
                <w:sz w:val="19"/>
              </w:rPr>
              <w:t>Modelo estatístico real</w:t>
            </w:r>
          </w:p>
        </w:tc>
        <w:tc>
          <w:tcPr>
            <w:tcW w:type="dxa" w:w="2880"/>
          </w:tcPr>
          <w:p>
            <w:r>
              <w:rPr>
                <w:sz w:val="19"/>
              </w:rPr>
              <w:t>6 causas candidatas nomeadas (sobrecarga de rede, saturação de backhaul, sinalização MME, cobertura RF legada, falha de energia de site, falha de equipamento ativo), cada uma com prior fixo (0,10–0,20, somando 1,0) e tabela de likelihood sobre 8 evidências binárias reais por nó (é SPOF, blast radius pequeno/amplo, outlier de drop/congestionamento, queda de tráfego, nível de site/agregação). Posterior calculado via Bayes ingênuo (naive Bayes) — mesma arquitetura do NetGraph §5.3, causas recalibradas para rede móvel.</w:t>
            </w:r>
          </w:p>
        </w:tc>
      </w:tr>
      <w:tr>
        <w:tc>
          <w:tcPr>
            <w:tcW w:type="dxa" w:w="2880"/>
          </w:tcPr>
          <w:p>
            <w:r>
              <w:rPr>
                <w:sz w:val="19"/>
              </w:rPr>
              <w:t>Detector de Outlier (MAD)</w:t>
            </w:r>
          </w:p>
        </w:tc>
        <w:tc>
          <w:tcPr>
            <w:tcW w:type="dxa" w:w="2880"/>
          </w:tcPr>
          <w:p>
            <w:r>
              <w:rPr>
                <w:sz w:val="19"/>
              </w:rPr>
              <w:t>Cálculo estatístico real</w:t>
            </w:r>
          </w:p>
        </w:tc>
        <w:tc>
          <w:tcPr>
            <w:tcW w:type="dxa" w:w="2880"/>
          </w:tcPr>
          <w:p>
            <w:r>
              <w:rPr>
                <w:sz w:val="19"/>
              </w:rPr>
              <w:t>Mediana + desvio absoluto mediano (MAD), z robusto = 0,6745×(x−mediana)/MAD, limiar |z|&gt;3,5 (Iglewicz &amp; Hoya, 1993) — aplicado a drop/congestionamento por site e tráfego por site/SGW/PGW.</w:t>
            </w:r>
          </w:p>
        </w:tc>
      </w:tr>
      <w:tr>
        <w:tc>
          <w:tcPr>
            <w:tcW w:type="dxa" w:w="2880"/>
          </w:tcPr>
          <w:p>
            <w:r>
              <w:rPr>
                <w:sz w:val="19"/>
              </w:rPr>
              <w:t>Filtro Bayesiano Recursivo (aba Outliers)</w:t>
            </w:r>
          </w:p>
        </w:tc>
        <w:tc>
          <w:tcPr>
            <w:tcW w:type="dxa" w:w="2880"/>
          </w:tcPr>
          <w:p>
            <w:r>
              <w:rPr>
                <w:sz w:val="19"/>
              </w:rPr>
              <w:t>Modelo estatístico real</w:t>
            </w:r>
          </w:p>
        </w:tc>
        <w:tc>
          <w:tcPr>
            <w:tcW w:type="dxa" w:w="2880"/>
          </w:tcPr>
          <w:p>
            <w:r>
              <w:rPr>
                <w:sz w:val="19"/>
              </w:rPr>
              <w:t>Modelo local-level (equivalente a um filtro de Kalman): estimativa do nível esperado atualizada a cada dia via máximo a posteriori, com 1 parâmetro de sensibilidade (razão ruído-de-processo/ruído-de-observação, ajustável na tela); z-score do erro de predição classifica em anomalia fraca (|z|&gt;2) ou forte (|z|&gt;3). Ruído de observação estimado por diferenças sucessivas (von Neumann), não pela variância bruta da série (que fica contaminada pela própria tendência).</w:t>
            </w:r>
          </w:p>
        </w:tc>
      </w:tr>
      <w:tr>
        <w:tc>
          <w:tcPr>
            <w:tcW w:type="dxa" w:w="2880"/>
          </w:tcPr>
          <w:p>
            <w:r>
              <w:rPr>
                <w:sz w:val="19"/>
              </w:rPr>
              <w:t>Projeção de Capacidade</w:t>
            </w:r>
          </w:p>
        </w:tc>
        <w:tc>
          <w:tcPr>
            <w:tcW w:type="dxa" w:w="2880"/>
          </w:tcPr>
          <w:p>
            <w:r>
              <w:rPr>
                <w:sz w:val="19"/>
              </w:rPr>
              <w:t>Regressão real</w:t>
            </w:r>
          </w:p>
        </w:tc>
        <w:tc>
          <w:tcPr>
            <w:tcW w:type="dxa" w:w="2880"/>
          </w:tcPr>
          <w:p>
            <w:r>
              <w:rPr>
                <w:sz w:val="19"/>
              </w:rPr>
              <w:t>Regressão linear por mínimos quadrados sobre a série de 15 dias de tráfego, com intervalo de confiança de 95% no coeficiente angular — projeta quando o nó atinge 90% do próprio pico observado na janela (sem dado de capacidade nominal de equipamento na base).</w:t>
            </w:r>
          </w:p>
        </w:tc>
      </w:tr>
      <w:tr>
        <w:tc>
          <w:tcPr>
            <w:tcW w:type="dxa" w:w="2880"/>
          </w:tcPr>
          <w:p>
            <w:r>
              <w:rPr>
                <w:sz w:val="19"/>
              </w:rPr>
              <w:t>Centralidade estrutural e SPOF</w:t>
            </w:r>
          </w:p>
        </w:tc>
        <w:tc>
          <w:tcPr>
            <w:tcW w:type="dxa" w:w="2880"/>
          </w:tcPr>
          <w:p>
            <w:r>
              <w:rPr>
                <w:sz w:val="19"/>
              </w:rPr>
              <w:t>Cálculo estrutural real</w:t>
            </w:r>
          </w:p>
        </w:tc>
        <w:tc>
          <w:tcPr>
            <w:tcW w:type="dxa" w:w="2880"/>
          </w:tcPr>
          <w:p>
            <w:r>
              <w:rPr>
                <w:sz w:val="19"/>
              </w:rPr>
              <w:t>Centralidade: proxy fechado de betweenness numa árvore — tamanho_subárvore(v)×(N−tamanho_subárvore(v)), normalizado 0–100. SPOF: todo SGW/PGW é ponto único de falha por construção (sem dado de redundância de enlace na base) — mesma fórmula do NetGraph §5.1.</w:t>
            </w:r>
          </w:p>
        </w:tc>
      </w:tr>
      <w:tr>
        <w:tc>
          <w:tcPr>
            <w:tcW w:type="dxa" w:w="2880"/>
          </w:tcPr>
          <w:p>
            <w:r>
              <w:rPr>
                <w:sz w:val="19"/>
              </w:rPr>
              <w:t>Score de Priorização de Alertas de Rede</w:t>
            </w:r>
          </w:p>
        </w:tc>
        <w:tc>
          <w:tcPr>
            <w:tcW w:type="dxa" w:w="2880"/>
          </w:tcPr>
          <w:p>
            <w:r>
              <w:rPr>
                <w:sz w:val="19"/>
              </w:rPr>
              <w:t>Score combinado, determinístico</w:t>
            </w:r>
          </w:p>
        </w:tc>
        <w:tc>
          <w:tcPr>
            <w:tcW w:type="dxa" w:w="2880"/>
          </w:tcPr>
          <w:p>
            <w:r>
              <w:rPr>
                <w:sz w:val="19"/>
              </w:rPr>
              <w:t>Gravidade técnica (estado 40% + Markov 25% + outlier 20% + SPOF 15%) × Impacto de negócio (assinantes em log-escala 40% + segmento de alto valor 20% + CRM sintético 20% + Ouvidoria 20%); score final = média simples dos dois — mesmos pesos do NetGraph §5.5.</w:t>
            </w:r>
          </w:p>
        </w:tc>
      </w:tr>
      <w:tr>
        <w:tc>
          <w:tcPr>
            <w:tcW w:type="dxa" w:w="2880"/>
          </w:tcPr>
          <w:p>
            <w:r>
              <w:rPr>
                <w:sz w:val="19"/>
              </w:rPr>
              <w:t>Voronoi</w:t>
            </w:r>
          </w:p>
        </w:tc>
        <w:tc>
          <w:tcPr>
            <w:tcW w:type="dxa" w:w="2880"/>
          </w:tcPr>
          <w:p>
            <w:r>
              <w:rPr>
                <w:sz w:val="19"/>
              </w:rPr>
              <w:t>Cálculo geométrico real</w:t>
            </w:r>
          </w:p>
        </w:tc>
        <w:tc>
          <w:tcPr>
            <w:tcW w:type="dxa" w:w="2880"/>
          </w:tcPr>
          <w:p>
            <w:r>
              <w:rPr>
                <w:sz w:val="19"/>
              </w:rPr>
              <w:t>Tesselação de Voronoi (d3.Delaunay) sobre os 213 sites físicos (antenas deduplicadas por coordenada); assinantes redistribuídos proporcionalmente à área da célula dentro do cluster; indicadores de qualidade herdados do cluster pai (rotulado como tal na interface).</w:t>
            </w:r>
          </w:p>
        </w:tc>
      </w:tr>
      <w:tr>
        <w:tc>
          <w:tcPr>
            <w:tcW w:type="dxa" w:w="2880"/>
          </w:tcPr>
          <w:p>
            <w:r>
              <w:rPr>
                <w:sz w:val="19"/>
              </w:rPr>
              <w:t>Assistente RAG/SLM</w:t>
            </w:r>
          </w:p>
        </w:tc>
        <w:tc>
          <w:tcPr>
            <w:tcW w:type="dxa" w:w="2880"/>
          </w:tcPr>
          <w:p>
            <w:r>
              <w:rPr>
                <w:sz w:val="19"/>
              </w:rPr>
              <w:t>Mock por palavras-chave</w:t>
            </w:r>
          </w:p>
        </w:tc>
        <w:tc>
          <w:tcPr>
            <w:tcW w:type="dxa" w:w="2880"/>
          </w:tcPr>
          <w:p>
            <w:r>
              <w:rPr>
                <w:sz w:val="19"/>
              </w:rPr>
              <w:t>Busca lexical sobre corpus estático de 13 documentos — sem embeddings, sem LLM real de produção. O Assistente narra os modelos acima corretamente; ele próprio não é um dos modelos reais.</w:t>
            </w:r>
          </w:p>
        </w:tc>
      </w:tr>
    </w:tbl>
    <w:p/>
    <w:p>
      <w:r>
        <w:br w:type="page"/>
      </w:r>
    </w:p>
    <w:p>
      <w:pPr>
        <w:pStyle w:val="Heading1"/>
      </w:pPr>
      <w:r>
        <w:t>3. Data Reference</w:t>
      </w:r>
    </w:p>
    <w:p>
      <w:pPr>
        <w:pStyle w:val="Heading2"/>
      </w:pPr>
      <w:r>
        <w:t>3.1 Dicionário de Dados</w:t>
      </w:r>
    </w:p>
    <w:p>
      <w:pPr>
        <w:pStyle w:val="Heading3"/>
      </w:pPr>
      <w:r>
        <w:t>Nó de Rede (site/SGW/PGW)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Campo</w:t>
            </w:r>
          </w:p>
        </w:tc>
        <w:tc>
          <w:tcPr>
            <w:tcW w:type="dxa" w:w="2880"/>
            <w:shd w:val="clear" w:color="auto" w:fill="1A3050"/>
          </w:tcPr>
          <w:p>
            <w:r>
              <w:rPr>
                <w:b/>
                <w:color w:val="FFFFFF"/>
                <w:sz w:val="19"/>
              </w:rPr>
              <w:t>Tipo</w:t>
            </w:r>
          </w:p>
        </w:tc>
        <w:tc>
          <w:tcPr>
            <w:tcW w:type="dxa" w:w="2880"/>
            <w:shd w:val="clear" w:color="auto" w:fill="1A3050"/>
          </w:tcPr>
          <w:p>
            <w:r>
              <w:rPr>
                <w:b/>
                <w:color w:val="FFFFFF"/>
                <w:sz w:val="19"/>
              </w:rPr>
              <w:t>Uso no produto</w:t>
            </w:r>
          </w:p>
        </w:tc>
      </w:tr>
      <w:tr>
        <w:tc>
          <w:tcPr>
            <w:tcW w:type="dxa" w:w="2880"/>
          </w:tcPr>
          <w:p>
            <w:r>
              <w:rPr>
                <w:sz w:val="19"/>
              </w:rPr>
              <w:t>n_usuarios_est</w:t>
            </w:r>
          </w:p>
        </w:tc>
        <w:tc>
          <w:tcPr>
            <w:tcW w:type="dxa" w:w="2880"/>
          </w:tcPr>
          <w:p>
            <w:r>
              <w:rPr>
                <w:sz w:val="19"/>
              </w:rPr>
              <w:t>float</w:t>
            </w:r>
          </w:p>
        </w:tc>
        <w:tc>
          <w:tcPr>
            <w:tcW w:type="dxa" w:w="2880"/>
          </w:tcPr>
          <w:p>
            <w:r>
              <w:rPr>
                <w:sz w:val="19"/>
              </w:rPr>
              <w:t>Blast radius — assinantes downstream, distribuído proporcionalmente por setores dentro do cluster</w:t>
            </w:r>
          </w:p>
        </w:tc>
      </w:tr>
      <w:tr>
        <w:tc>
          <w:tcPr>
            <w:tcW w:type="dxa" w:w="2880"/>
          </w:tcPr>
          <w:p>
            <w:r>
              <w:rPr>
                <w:sz w:val="19"/>
              </w:rPr>
              <w:t>drop_medio, cong_medio</w:t>
            </w:r>
          </w:p>
        </w:tc>
        <w:tc>
          <w:tcPr>
            <w:tcW w:type="dxa" w:w="2880"/>
          </w:tcPr>
          <w:p>
            <w:r>
              <w:rPr>
                <w:sz w:val="19"/>
              </w:rPr>
              <w:t>float</w:t>
            </w:r>
          </w:p>
        </w:tc>
        <w:tc>
          <w:tcPr>
            <w:tcW w:type="dxa" w:w="2880"/>
          </w:tcPr>
          <w:p>
            <w:r>
              <w:rPr>
                <w:sz w:val="19"/>
              </w:rPr>
              <w:t>Qualidade herdada do cluster pai; insumo direto de Markov/Bayes/outlier</w:t>
            </w:r>
          </w:p>
        </w:tc>
      </w:tr>
      <w:tr>
        <w:tc>
          <w:tcPr>
            <w:tcW w:type="dxa" w:w="2880"/>
          </w:tcPr>
          <w:p>
            <w:r>
              <w:rPr>
                <w:sz w:val="19"/>
              </w:rPr>
              <w:t>sgw_id, pgw_upf_id, mme_amf_id</w:t>
            </w:r>
          </w:p>
        </w:tc>
        <w:tc>
          <w:tcPr>
            <w:tcW w:type="dxa" w:w="2880"/>
          </w:tcPr>
          <w:p>
            <w:r>
              <w:rPr>
                <w:sz w:val="19"/>
              </w:rPr>
              <w:t>string</w:t>
            </w:r>
          </w:p>
        </w:tc>
        <w:tc>
          <w:tcPr>
            <w:tcW w:type="dxa" w:w="2880"/>
          </w:tcPr>
          <w:p>
            <w:r>
              <w:rPr>
                <w:sz w:val="19"/>
              </w:rPr>
              <w:t>Atribuição hash determinística — define a árvore Core→PGW→SGW→Site</w:t>
            </w:r>
          </w:p>
        </w:tc>
      </w:tr>
      <w:tr>
        <w:tc>
          <w:tcPr>
            <w:tcW w:type="dxa" w:w="2880"/>
          </w:tcPr>
          <w:p>
            <w:r>
              <w:rPr>
                <w:sz w:val="19"/>
              </w:rPr>
              <w:t>area_nome</w:t>
            </w:r>
          </w:p>
        </w:tc>
        <w:tc>
          <w:tcPr>
            <w:tcW w:type="dxa" w:w="2880"/>
          </w:tcPr>
          <w:p>
            <w:r>
              <w:rPr>
                <w:sz w:val="19"/>
              </w:rPr>
              <w:t>string</w:t>
            </w:r>
          </w:p>
        </w:tc>
        <w:tc>
          <w:tcPr>
            <w:tcW w:type="dxa" w:w="2880"/>
          </w:tcPr>
          <w:p>
            <w:r>
              <w:rPr>
                <w:sz w:val="19"/>
              </w:rPr>
              <w:t>Região Administrativa do DF mais próxima, com desambiguação (ver §Ressalvas)</w:t>
            </w:r>
          </w:p>
        </w:tc>
      </w:tr>
    </w:tbl>
    <w:p/>
    <w:p>
      <w:pPr>
        <w:pStyle w:val="Heading3"/>
      </w:pPr>
      <w:r>
        <w:t>Série temporal por nó (RAW.series_rede)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Campo</w:t>
            </w:r>
          </w:p>
        </w:tc>
        <w:tc>
          <w:tcPr>
            <w:tcW w:type="dxa" w:w="2880"/>
            <w:shd w:val="clear" w:color="auto" w:fill="1A3050"/>
          </w:tcPr>
          <w:p>
            <w:r>
              <w:rPr>
                <w:b/>
                <w:color w:val="FFFFFF"/>
                <w:sz w:val="19"/>
              </w:rPr>
              <w:t>Tipo</w:t>
            </w:r>
          </w:p>
        </w:tc>
        <w:tc>
          <w:tcPr>
            <w:tcW w:type="dxa" w:w="2880"/>
            <w:shd w:val="clear" w:color="auto" w:fill="1A3050"/>
          </w:tcPr>
          <w:p>
            <w:r>
              <w:rPr>
                <w:b/>
                <w:color w:val="FFFFFF"/>
                <w:sz w:val="19"/>
              </w:rPr>
              <w:t>Uso no produto</w:t>
            </w:r>
          </w:p>
        </w:tc>
      </w:tr>
      <w:tr>
        <w:tc>
          <w:tcPr>
            <w:tcW w:type="dxa" w:w="2880"/>
          </w:tcPr>
          <w:p>
            <w:r>
              <w:rPr>
                <w:sz w:val="19"/>
              </w:rPr>
              <w:t>dias</w:t>
            </w:r>
          </w:p>
        </w:tc>
        <w:tc>
          <w:tcPr>
            <w:tcW w:type="dxa" w:w="2880"/>
          </w:tcPr>
          <w:p>
            <w:r>
              <w:rPr>
                <w:sz w:val="19"/>
              </w:rPr>
              <w:t>array[string] (15)</w:t>
            </w:r>
          </w:p>
        </w:tc>
        <w:tc>
          <w:tcPr>
            <w:tcW w:type="dxa" w:w="2880"/>
          </w:tcPr>
          <w:p>
            <w:r>
              <w:rPr>
                <w:sz w:val="19"/>
              </w:rPr>
              <w:t>Eixo temporal dos gráficos da aba Outliers</w:t>
            </w:r>
          </w:p>
        </w:tc>
      </w:tr>
      <w:tr>
        <w:tc>
          <w:tcPr>
            <w:tcW w:type="dxa" w:w="2880"/>
          </w:tcPr>
          <w:p>
            <w:r>
              <w:rPr>
                <w:sz w:val="19"/>
              </w:rPr>
              <w:t>trafego_gb</w:t>
            </w:r>
          </w:p>
        </w:tc>
        <w:tc>
          <w:tcPr>
            <w:tcW w:type="dxa" w:w="2880"/>
          </w:tcPr>
          <w:p>
            <w:r>
              <w:rPr>
                <w:sz w:val="19"/>
              </w:rPr>
              <w:t>array[float] (15)</w:t>
            </w:r>
          </w:p>
        </w:tc>
        <w:tc>
          <w:tcPr>
            <w:tcW w:type="dxa" w:w="2880"/>
          </w:tcPr>
          <w:p>
            <w:r>
              <w:rPr>
                <w:sz w:val="19"/>
              </w:rPr>
              <w:t>Tráfego total diário — insumo de MAD, filtro Bayesiano recursivo e regressão de capacidade</w:t>
            </w:r>
          </w:p>
        </w:tc>
      </w:tr>
      <w:tr>
        <w:tc>
          <w:tcPr>
            <w:tcW w:type="dxa" w:w="2880"/>
          </w:tcPr>
          <w:p>
            <w:r>
              <w:rPr>
                <w:sz w:val="19"/>
              </w:rPr>
              <w:t>drop_pct, cong</w:t>
            </w:r>
          </w:p>
        </w:tc>
        <w:tc>
          <w:tcPr>
            <w:tcW w:type="dxa" w:w="2880"/>
          </w:tcPr>
          <w:p>
            <w:r>
              <w:rPr>
                <w:sz w:val="19"/>
              </w:rPr>
              <w:t>array[float] (15)</w:t>
            </w:r>
          </w:p>
        </w:tc>
        <w:tc>
          <w:tcPr>
            <w:tcW w:type="dxa" w:w="2880"/>
          </w:tcPr>
          <w:p>
            <w:r>
              <w:rPr>
                <w:sz w:val="19"/>
              </w:rPr>
              <w:t>Drop e congestionamento diários — insumo de MAD, filtro Bayesiano recursivo e evidência da rede Bayesiana de causa-raiz</w:t>
            </w:r>
          </w:p>
        </w:tc>
      </w:tr>
    </w:tbl>
    <w:p/>
    <w:p>
      <w:pPr>
        <w:pStyle w:val="Heading3"/>
      </w:pPr>
      <w:r>
        <w:t>Alerta de Rede priorizado (calculado em runtime, não persistido)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3050"/>
          </w:tcPr>
          <w:p>
            <w:r>
              <w:rPr>
                <w:b/>
                <w:color w:val="FFFFFF"/>
                <w:sz w:val="19"/>
              </w:rPr>
              <w:t>Campo</w:t>
            </w:r>
          </w:p>
        </w:tc>
        <w:tc>
          <w:tcPr>
            <w:tcW w:type="dxa" w:w="4320"/>
            <w:shd w:val="clear" w:color="auto" w:fill="1A3050"/>
          </w:tcPr>
          <w:p>
            <w:r>
              <w:rPr>
                <w:b/>
                <w:color w:val="FFFFFF"/>
                <w:sz w:val="19"/>
              </w:rPr>
              <w:t>Uso no produto</w:t>
            </w:r>
          </w:p>
        </w:tc>
      </w:tr>
      <w:tr>
        <w:tc>
          <w:tcPr>
            <w:tcW w:type="dxa" w:w="4320"/>
          </w:tcPr>
          <w:p>
            <w:r>
              <w:rPr>
                <w:sz w:val="19"/>
              </w:rPr>
              <w:t>score.gravidade / score.impacto / score.score</w:t>
            </w:r>
          </w:p>
        </w:tc>
        <w:tc>
          <w:tcPr>
            <w:tcW w:type="dxa" w:w="4320"/>
          </w:tcPr>
          <w:p>
            <w:r>
              <w:rPr>
                <w:sz w:val="19"/>
              </w:rPr>
              <w:t>Os três números que ordenam a lista priorizada — decompostos na seção 5 da explicabilidade</w:t>
            </w:r>
          </w:p>
        </w:tc>
      </w:tr>
      <w:tr>
        <w:tc>
          <w:tcPr>
            <w:tcW w:type="dxa" w:w="4320"/>
          </w:tcPr>
          <w:p>
            <w:r>
              <w:rPr>
                <w:sz w:val="19"/>
              </w:rPr>
              <w:t>bayes.posterior</w:t>
            </w:r>
          </w:p>
        </w:tc>
        <w:tc>
          <w:tcPr>
            <w:tcW w:type="dxa" w:w="4320"/>
          </w:tcPr>
          <w:p>
            <w:r>
              <w:rPr>
                <w:sz w:val="19"/>
              </w:rPr>
              <w:t>As 6 causas candidatas com probabilidade posterior, ordenadas — seção 2 da explicabilidade</w:t>
            </w:r>
          </w:p>
        </w:tc>
      </w:tr>
      <w:tr>
        <w:tc>
          <w:tcPr>
            <w:tcW w:type="dxa" w:w="4320"/>
          </w:tcPr>
          <w:p>
            <w:r>
              <w:rPr>
                <w:sz w:val="19"/>
              </w:rPr>
              <w:t>score.centralidade, score.spof</w:t>
            </w:r>
          </w:p>
        </w:tc>
        <w:tc>
          <w:tcPr>
            <w:tcW w:type="dxa" w:w="4320"/>
          </w:tcPr>
          <w:p>
            <w:r>
              <w:rPr>
                <w:sz w:val="19"/>
              </w:rPr>
              <w:t>Seção 4 da explicabilidade (blast radius / estrutura)</w:t>
            </w:r>
          </w:p>
        </w:tc>
      </w:tr>
      <w:tr>
        <w:tc>
          <w:tcPr>
            <w:tcW w:type="dxa" w:w="4320"/>
          </w:tcPr>
          <w:p>
            <w:r>
              <w:rPr>
                <w:sz w:val="19"/>
              </w:rPr>
              <w:t>score.crmTotal, score.ouvidoria</w:t>
            </w:r>
          </w:p>
        </w:tc>
        <w:tc>
          <w:tcPr>
            <w:tcW w:type="dxa" w:w="4320"/>
          </w:tcPr>
          <w:p>
            <w:r>
              <w:rPr>
                <w:sz w:val="19"/>
              </w:rPr>
              <w:t>Seção 5 da explicabilidade — eixo de impacto de negócio</w:t>
            </w:r>
          </w:p>
        </w:tc>
      </w:tr>
    </w:tbl>
    <w:p/>
    <w:p>
      <w:pPr>
        <w:pStyle w:val="Heading3"/>
      </w:pPr>
      <w:r>
        <w:t>Schema do Corpus do Assistente</w:t>
      </w:r>
    </w:p>
    <w:p>
      <w:r>
        <w:rPr>
          <w:b w:val="0"/>
          <w:i w:val="0"/>
        </w:rPr>
        <w:t>JSON estrito com aspas nas chaves — {"id","corpus","secao","titulo","fonte","texto"} — mesma sintaxe do JourneyGraph (ISP Edition), schema mínimo definido no padrão de documentação §5. 13 documentos, cobrindo metodologia (Vamping, IPED, Markov/Bayes por persona, topologia de rede, Alertas de Rede priorizados, filtro Bayesiano recursivo), dados/proveniência, privacidade/LGPD e glossário técnico (RAT, ecgi).</w:t>
      </w:r>
    </w:p>
    <w:p>
      <w:pPr>
        <w:pStyle w:val="Heading2"/>
      </w:pPr>
      <w:r>
        <w:t>3.2 Volumetria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3050"/>
          </w:tcPr>
          <w:p>
            <w:r>
              <w:rPr>
                <w:b/>
                <w:color w:val="FFFFFF"/>
                <w:sz w:val="19"/>
              </w:rPr>
              <w:t>Métrica</w:t>
            </w:r>
          </w:p>
        </w:tc>
        <w:tc>
          <w:tcPr>
            <w:tcW w:type="dxa" w:w="4320"/>
            <w:shd w:val="clear" w:color="auto" w:fill="1A3050"/>
          </w:tcPr>
          <w:p>
            <w:r>
              <w:rPr>
                <w:b/>
                <w:color w:val="FFFFFF"/>
                <w:sz w:val="19"/>
              </w:rPr>
              <w:t>Valor de referência</w:t>
            </w:r>
          </w:p>
        </w:tc>
      </w:tr>
      <w:tr>
        <w:tc>
          <w:tcPr>
            <w:tcW w:type="dxa" w:w="4320"/>
          </w:tcPr>
          <w:p>
            <w:r>
              <w:rPr>
                <w:sz w:val="19"/>
              </w:rPr>
              <w:t>Antenas Anatel (Claro, Brasília/DF)</w:t>
            </w:r>
          </w:p>
        </w:tc>
        <w:tc>
          <w:tcPr>
            <w:tcW w:type="dxa" w:w="4320"/>
          </w:tcPr>
          <w:p>
            <w:r>
              <w:rPr>
                <w:sz w:val="19"/>
              </w:rPr>
              <w:t>4.186</w:t>
            </w:r>
          </w:p>
        </w:tc>
      </w:tr>
      <w:tr>
        <w:tc>
          <w:tcPr>
            <w:tcW w:type="dxa" w:w="4320"/>
          </w:tcPr>
          <w:p>
            <w:r>
              <w:rPr>
                <w:sz w:val="19"/>
              </w:rPr>
              <w:t>Clusters (K-Means)</w:t>
            </w:r>
          </w:p>
        </w:tc>
        <w:tc>
          <w:tcPr>
            <w:tcW w:type="dxa" w:w="4320"/>
          </w:tcPr>
          <w:p>
            <w:r>
              <w:rPr>
                <w:sz w:val="19"/>
              </w:rPr>
              <w:t>35</w:t>
            </w:r>
          </w:p>
        </w:tc>
      </w:tr>
      <w:tr>
        <w:tc>
          <w:tcPr>
            <w:tcW w:type="dxa" w:w="4320"/>
          </w:tcPr>
          <w:p>
            <w:r>
              <w:rPr>
                <w:sz w:val="19"/>
              </w:rPr>
              <w:t>Assinantes sintéticos</w:t>
            </w:r>
          </w:p>
        </w:tc>
        <w:tc>
          <w:tcPr>
            <w:tcW w:type="dxa" w:w="4320"/>
          </w:tcPr>
          <w:p>
            <w:r>
              <w:rPr>
                <w:sz w:val="19"/>
              </w:rPr>
              <w:t>100.000 (~6,7% da base estimada de 1,5M linhas Claro na cidade)</w:t>
            </w:r>
          </w:p>
        </w:tc>
      </w:tr>
      <w:tr>
        <w:tc>
          <w:tcPr>
            <w:tcW w:type="dxa" w:w="4320"/>
          </w:tcPr>
          <w:p>
            <w:r>
              <w:rPr>
                <w:sz w:val="19"/>
              </w:rPr>
              <w:t>Janela temporal</w:t>
            </w:r>
          </w:p>
        </w:tc>
        <w:tc>
          <w:tcPr>
            <w:tcW w:type="dxa" w:w="4320"/>
          </w:tcPr>
          <w:p>
            <w:r>
              <w:rPr>
                <w:sz w:val="19"/>
              </w:rPr>
              <w:t>15 dias (2026-03-01 a 2026-03-15)</w:t>
            </w:r>
          </w:p>
        </w:tc>
      </w:tr>
      <w:tr>
        <w:tc>
          <w:tcPr>
            <w:tcW w:type="dxa" w:w="4320"/>
          </w:tcPr>
          <w:p>
            <w:r>
              <w:rPr>
                <w:sz w:val="19"/>
              </w:rPr>
              <w:t>Linhas de CDR sintético</w:t>
            </w:r>
          </w:p>
        </w:tc>
        <w:tc>
          <w:tcPr>
            <w:tcW w:type="dxa" w:w="4320"/>
          </w:tcPr>
          <w:p>
            <w:r>
              <w:rPr>
                <w:sz w:val="19"/>
              </w:rPr>
              <w:t>4.610.999</w:t>
            </w:r>
          </w:p>
        </w:tc>
      </w:tr>
      <w:tr>
        <w:tc>
          <w:tcPr>
            <w:tcW w:type="dxa" w:w="4320"/>
          </w:tcPr>
          <w:p>
            <w:r>
              <w:rPr>
                <w:sz w:val="19"/>
              </w:rPr>
              <w:t>Personas</w:t>
            </w:r>
          </w:p>
        </w:tc>
        <w:tc>
          <w:tcPr>
            <w:tcW w:type="dxa" w:w="4320"/>
          </w:tcPr>
          <w:p>
            <w:r>
              <w:rPr>
                <w:sz w:val="19"/>
              </w:rPr>
              <w:t>9 (K=9)</w:t>
            </w:r>
          </w:p>
        </w:tc>
      </w:tr>
      <w:tr>
        <w:tc>
          <w:tcPr>
            <w:tcW w:type="dxa" w:w="4320"/>
          </w:tcPr>
          <w:p>
            <w:r>
              <w:rPr>
                <w:sz w:val="19"/>
              </w:rPr>
              <w:t>Pares Origem-Destino (K-anonimato K=3)</w:t>
            </w:r>
          </w:p>
        </w:tc>
        <w:tc>
          <w:tcPr>
            <w:tcW w:type="dxa" w:w="4320"/>
          </w:tcPr>
          <w:p>
            <w:r>
              <w:rPr>
                <w:sz w:val="19"/>
              </w:rPr>
              <w:t>1.156 de 1.182 (2,2% suprimidos)</w:t>
            </w:r>
          </w:p>
        </w:tc>
      </w:tr>
      <w:tr>
        <w:tc>
          <w:tcPr>
            <w:tcW w:type="dxa" w:w="4320"/>
          </w:tcPr>
          <w:p>
            <w:r>
              <w:rPr>
                <w:sz w:val="19"/>
              </w:rPr>
              <w:t>Sites/SGW/PGW/MME na topologia de rede</w:t>
            </w:r>
          </w:p>
        </w:tc>
        <w:tc>
          <w:tcPr>
            <w:tcW w:type="dxa" w:w="4320"/>
          </w:tcPr>
          <w:p>
            <w:r>
              <w:rPr>
                <w:sz w:val="19"/>
              </w:rPr>
              <w:t>213 / 6 / 3 / 6</w:t>
            </w:r>
          </w:p>
        </w:tc>
      </w:tr>
      <w:tr>
        <w:tc>
          <w:tcPr>
            <w:tcW w:type="dxa" w:w="4320"/>
          </w:tcPr>
          <w:p>
            <w:r>
              <w:rPr>
                <w:sz w:val="19"/>
              </w:rPr>
              <w:t>Alertas de Rede priorizados (candidatos filtrados)</w:t>
            </w:r>
          </w:p>
        </w:tc>
        <w:tc>
          <w:tcPr>
            <w:tcW w:type="dxa" w:w="4320"/>
          </w:tcPr>
          <w:p>
            <w:r>
              <w:rPr>
                <w:sz w:val="19"/>
              </w:rPr>
              <w:t>37 (de 222 nós na árvore de dados)</w:t>
            </w:r>
          </w:p>
        </w:tc>
      </w:tr>
      <w:tr>
        <w:tc>
          <w:tcPr>
            <w:tcW w:type="dxa" w:w="4320"/>
          </w:tcPr>
          <w:p>
            <w:r>
              <w:rPr>
                <w:sz w:val="19"/>
              </w:rPr>
              <w:t>Causas candidatas — rede Bayesiana</w:t>
            </w:r>
          </w:p>
        </w:tc>
        <w:tc>
          <w:tcPr>
            <w:tcW w:type="dxa" w:w="4320"/>
          </w:tcPr>
          <w:p>
            <w:r>
              <w:rPr>
                <w:sz w:val="19"/>
              </w:rPr>
              <w:t>6 (priors de 0,10 a 0,20, somando 1,0)</w:t>
            </w:r>
          </w:p>
        </w:tc>
      </w:tr>
    </w:tbl>
    <w:p/>
    <w:p>
      <w:pPr>
        <w:pStyle w:val="Heading2"/>
      </w:pPr>
      <w:r>
        <w:t>3.3 Esquema de Saída</w:t>
      </w:r>
    </w:p>
    <w:p>
      <w:r>
        <w:rPr>
          <w:b w:val="0"/>
          <w:i w:val="0"/>
        </w:rPr>
        <w:t>Toda a base (RAW) é um único objeto JSON embutido em journeygraph-mno/index.html — não há exportação estruturada, API ou persistência em banco de dados. O pipeline de geração produz, além do RAW final, artefatos intermediários (CSV/Parquet) usados apenas dentro do próprio pipeline, não publicados no repositório versionado pelo Git.</w:t>
      </w:r>
    </w:p>
    <w:p>
      <w:r>
        <w:br w:type="page"/>
      </w:r>
    </w:p>
    <w:p>
      <w:pPr>
        <w:pStyle w:val="Heading1"/>
      </w:pPr>
      <w:r>
        <w:t>4. Base Metodológica</w:t>
      </w:r>
    </w:p>
    <w:p>
      <w:pPr>
        <w:pStyle w:val="Heading2"/>
      </w:pPr>
      <w:r>
        <w:t>4.1 Bases Teóricas dos Algoritmos</w:t>
      </w:r>
    </w:p>
    <w:p>
      <w:pPr>
        <w:pStyle w:val="ListBullet"/>
      </w:pPr>
      <w:r>
        <w:t>K-Means + XGBoost: clustering não supervisionado (MiniBatchKMeans) seguido de classificador supervisionado (XGBoost) treinado sobre os próprios rótulos do K-Means — padrão de "destilação" para obter um classificador determinístico e rápido a partir de um agrupamento nem sempre estável entre execuções.</w:t>
      </w:r>
    </w:p>
    <w:p>
      <w:pPr>
        <w:pStyle w:val="ListBullet"/>
      </w:pPr>
      <w:r>
        <w:t>IPED: média ponderada de KQIs normalizados por min-max, agregados em componentes por peso de curadoria (planilha), banda em faixas (BOM/REGULAR/RUIM/CRÍTICO) — mesma metodologia real da StepGraph, aplicada por trajeto.</w:t>
      </w:r>
    </w:p>
    <w:p>
      <w:pPr>
        <w:pStyle w:val="ListBullet"/>
      </w:pPr>
      <w:r>
        <w:t>Cadeia de Markov de estados: matriz de transição estimada por contagem real de transições observadas na série sintética — não um limiar de cor fixo.</w:t>
      </w:r>
    </w:p>
    <w:p>
      <w:pPr>
        <w:pStyle w:val="ListBullet"/>
      </w:pPr>
      <w:r>
        <w:t>Bayes ingênuo (naive Bayes): posterior calculado sobre causas candidatas concorrentes a partir de priors autorados e uma tabela de likelihood por evidência binária observada — mesmo princípio metodológico usado no NetGraph.</w:t>
      </w:r>
    </w:p>
    <w:p>
      <w:pPr>
        <w:pStyle w:val="ListBullet"/>
      </w:pPr>
      <w:r>
        <w:t>Detecção de outlier por MAD: mediana e desvio absoluto mediano (MAD) são estatísticas robustas a outliers, ao contrário de média/desvio-padrão clássicos; z robusto = 0,6745×(x−mediana)/MAD; limiar |z|&gt;3,5 (Iglewicz &amp; Hoya, 1993).</w:t>
      </w:r>
    </w:p>
    <w:p>
      <w:pPr>
        <w:pStyle w:val="ListBullet"/>
      </w:pPr>
      <w:r>
        <w:t>Filtro Bayesiano recursivo (local-level / Kalman): para um modelo linear-gaussiano de nível local, a estimativa de máximo a posteriori recursiva é matematicamente equivalente ao filtro de Kalman — média a posteriori do nível esperado, atualizada a cada nova observação, com ganho de Kalman controlando o quanto a nova observação corrige a estimativa anterior.</w:t>
      </w:r>
    </w:p>
    <w:p>
      <w:pPr>
        <w:pStyle w:val="ListBullet"/>
      </w:pPr>
      <w:r>
        <w:t>Estimador de ruído por diferenças sucessivas (von Neumann): a variância bruta de uma série com tendência superestima o ruído real (a própria tendência conta como "variância"); a variância das diferenças consecutivas (dividida por 2) isola melhor o componente de ruído de observação.</w:t>
      </w:r>
    </w:p>
    <w:p>
      <w:pPr>
        <w:pStyle w:val="ListBullet"/>
      </w:pPr>
      <w:r>
        <w:t>Centralidade estrutural em árvore: para uma topologia estritamente arborescente, o número de pares de nós cujo caminho mais curto passa por um nó v é size_below(v)×(N−size_below(v)) — usado como proxy fechado de betweenness, sem exigir o algoritmo geral de Brandes.</w:t>
      </w:r>
    </w:p>
    <w:p>
      <w:pPr>
        <w:pStyle w:val="ListBullet"/>
      </w:pPr>
      <w:r>
        <w:t>K-anonimato: supressão de pares origem-destino com menos de K assinantes observados (K=3), evitando reidentificação por trajeto raro.</w:t>
      </w:r>
    </w:p>
    <w:p>
      <w:pPr>
        <w:pStyle w:val="ListBullet"/>
      </w:pPr>
      <w:r>
        <w:t>Tesselação de Voronoi: partição do plano em células, cada uma associada ao ponto (antena/site) mais próximo — usada para redistribuir indicadores agregados por cluster proporcionalmente à área de influência geográfica real de cada site.</w:t>
      </w:r>
    </w:p>
    <w:p>
      <w:pPr>
        <w:pStyle w:val="Heading2"/>
      </w:pPr>
      <w:r>
        <w:t>4.2 Normas e Frameworks Setoriais</w:t>
      </w:r>
    </w:p>
    <w:p>
      <w:pPr>
        <w:pStyle w:val="Heading3"/>
      </w:pPr>
      <w:r>
        <w:t>LGT e regulação de telecomunicações móveis</w:t>
      </w:r>
    </w:p>
    <w:p>
      <w:r>
        <w:rPr>
          <w:b w:val="0"/>
          <w:i w:val="0"/>
        </w:rPr>
        <w:t>Lei nº 9.472/1997 (Lei Geral de Telecomunicações) como base legal geral da atividade de operadora móvel citada no produto; indicadores de qualidade do Serviço Móvel Pessoal (SMP) da Anatel referenciados de forma parafraseada no Assistente e na narrativa de Alertas de Rede (ver Ressalvas — disclaimer de paráfrase normativa).</w:t>
      </w:r>
    </w:p>
    <w:p>
      <w:pPr>
        <w:pStyle w:val="Heading3"/>
      </w:pPr>
      <w:r>
        <w:t>LGPD</w:t>
      </w:r>
    </w:p>
    <w:p>
      <w:r>
        <w:rPr>
          <w:b w:val="0"/>
          <w:i w:val="0"/>
        </w:rPr>
        <w:t>Lei nº 13.709/2018 (Lei Geral de Proteção de Dados) como base legal da Consulta Individual de assinante — ver capítulo Base Legal, ao final deste documento.</w:t>
      </w:r>
    </w:p>
    <w:p>
      <w:pPr>
        <w:pStyle w:val="Heading3"/>
      </w:pPr>
      <w:r>
        <w:t>Base pública Anatel — Estações Licenciadas SMP</w:t>
      </w:r>
    </w:p>
    <w:p>
      <w:r>
        <w:rPr>
          <w:b w:val="0"/>
          <w:i w:val="0"/>
        </w:rPr>
        <w:t>Fonte real e pública usada como geografia-base do produto (localização, tecnologia, altura e azimute de antena) — o único dado não sintético em toda a base.</w:t>
      </w:r>
    </w:p>
    <w:p>
      <w:pPr>
        <w:pStyle w:val="Heading2"/>
      </w:pPr>
      <w:r>
        <w:t>4.3 Referências Bibliográficas</w:t>
      </w:r>
    </w:p>
    <w:p>
      <w:pPr>
        <w:pStyle w:val="ListBullet"/>
      </w:pPr>
      <w:r>
        <w:t>IGLEWICZ, B.; HOYA, D. C. How to Detect and Handle Outliers. ASQC Quality Press, 1993 — limiar |z|&gt;3,5 do detector de outlier robusto (MAD).</w:t>
      </w:r>
    </w:p>
    <w:p>
      <w:pPr>
        <w:pStyle w:val="ListBullet"/>
      </w:pPr>
      <w:r>
        <w:t>VON NEUMANN, J. et al. The mean square successive difference. Annals of Mathematical Statistics, 1941 — base do estimador de ruído por diferenças sucessivas usado no filtro Bayesiano recursivo.</w:t>
      </w:r>
    </w:p>
    <w:p>
      <w:pPr>
        <w:pStyle w:val="ListBullet"/>
      </w:pPr>
      <w:r>
        <w:t>SWEENEY, L. k-anonymity: A model for protecting privacy. International Journal of Uncertainty, Fuzziness and Knowledge-Based Systems, 2002 — base conceitual da supressão de pares OD com K&lt;3.</w:t>
      </w:r>
    </w:p>
    <w:p>
      <w:pPr>
        <w:pStyle w:val="ListBullet"/>
      </w:pPr>
      <w:r>
        <w:t>Lei nº 9.472/1997 (Lei Geral de Telecomunicações). Lei nº 13.709/2018 (LGPD).</w:t>
      </w:r>
    </w:p>
    <w:p>
      <w:pPr>
        <w:pStyle w:val="ListBullet"/>
      </w:pPr>
      <w:r>
        <w:t>ANATEL. Estações Licenciadas — Base de Dados Pública (SMP) — fonte real da geografia de antenas.</w:t>
      </w:r>
    </w:p>
    <w:p>
      <w:pPr>
        <w:pStyle w:val="ListBullet"/>
      </w:pPr>
      <w:r>
        <w:t>docs/JOURNEYGRAPH_MNO_PROMPT.md — especificação de desenvolvimento original deste produto, versionada neste repositório.</w:t>
      </w:r>
    </w:p>
    <w:p>
      <w:r>
        <w:br w:type="page"/>
      </w:r>
    </w:p>
    <w:p>
      <w:pPr>
        <w:pStyle w:val="Heading1"/>
      </w:pPr>
      <w:r>
        <w:t>5. Use Cases</w:t>
      </w:r>
    </w:p>
    <w:p>
      <w:pPr>
        <w:pStyle w:val="Heading3"/>
      </w:pPr>
      <w:r>
        <w:t>Caso 1 — Priorização de Segmento para Campanha de Retenção</w:t>
      </w:r>
    </w:p>
    <w:p>
      <w:r>
        <w:rPr>
          <w:b w:val="0"/>
          <w:i w:val="0"/>
        </w:rPr>
        <w:t>Contexto: time de Marketing precisa decidir em qual segmento investir orçamento de retenção neste ciclo, entre 9 personas com perfis de uso e risco muito diferentes.</w:t>
      </w:r>
    </w:p>
    <w:p>
      <w:r>
        <w:rPr>
          <w:b w:val="0"/>
          <w:i w:val="0"/>
        </w:rPr>
        <w:t>Benefícios: cartão de persona com critério de inclusão/exclusão explícito, distribuição real da base, indicadores de qualidade esperada e Vamping — decisão orientada por dado, não por intuição de segmento.</w:t>
      </w:r>
    </w:p>
    <w:p>
      <w:r>
        <w:rPr>
          <w:b w:val="0"/>
          <w:i w:val="0"/>
        </w:rPr>
        <w:t>Limitações: personas são inferidas por K-Means+XGBoost sobre CDR sintético — em produção, a mesma pipeline precisaria rodar sobre CDR real e ser recalibrada.</w:t>
      </w:r>
    </w:p>
    <w:p>
      <w:r>
        <w:rPr>
          <w:b w:val="0"/>
          <w:i w:val="0"/>
        </w:rPr>
        <w:t>Benchmark: diferencial frente a ferramentas de CVM genéricas que não expõem o critério de inclusão de cada segmento de forma auditável.</w:t>
      </w:r>
    </w:p>
    <w:p>
      <w:r>
        <w:rPr>
          <w:b w:val="0"/>
          <w:i w:val="0"/>
        </w:rPr>
        <w:t>Exemplos: P4 Churn Silencioso concentra 13,0% da base (13.025 assinantes) — candidato natural a campanha de retenção neste ciclo.</w:t>
      </w:r>
    </w:p>
    <w:p>
      <w:pPr>
        <w:pStyle w:val="Heading3"/>
      </w:pPr>
      <w:r>
        <w:t>Caso 2 — Triagem de Incidente de Rede pelo NOC</w:t>
      </w:r>
    </w:p>
    <w:p>
      <w:r>
        <w:rPr>
          <w:b w:val="0"/>
          <w:i w:val="0"/>
        </w:rPr>
        <w:t>Contexto: múltiplos sites em estado degradado simultaneamente, NOC precisa decidir qual atender primeiro sem critério objetivo de prioridade.</w:t>
      </w:r>
    </w:p>
    <w:p>
      <w:r>
        <w:rPr>
          <w:b w:val="0"/>
          <w:i w:val="0"/>
        </w:rPr>
        <w:t>Benefícios: lista ordenada por score combinado (gravidade técnica × impacto de negócio), com causa provável explícita (rede Bayesiana) e recomendação de ação por causa — decisão de triagem em segundos, não em análise manual de cada nó.</w:t>
      </w:r>
    </w:p>
    <w:p>
      <w:r>
        <w:rPr>
          <w:b w:val="0"/>
          <w:i w:val="0"/>
        </w:rPr>
        <w:t>Limitações: priors da rede Bayesiana são autorados por raciocínio de domínio, não recalibrados a partir de um log de causa-raiz real rotulado.</w:t>
      </w:r>
    </w:p>
    <w:p>
      <w:r>
        <w:rPr>
          <w:b w:val="0"/>
          <w:i w:val="0"/>
        </w:rPr>
        <w:t>Benchmark: não identificado em ferramentas de mercado equivalentes que unam engenharia de rede móvel e priorização de negócio no mesmo score.</w:t>
      </w:r>
    </w:p>
    <w:p>
      <w:r>
        <w:rPr>
          <w:b w:val="0"/>
          <w:i w:val="0"/>
        </w:rPr>
        <w:t>Exemplos: 37 alertas priorizados na execução de referência, do total de 222 nós de rede; o alerta de maior prioridade aponta cobertura RF legada (WCDMA/3G) como causa mais provável (47% de posterior).</w:t>
      </w:r>
    </w:p>
    <w:p>
      <w:pPr>
        <w:pStyle w:val="Heading3"/>
      </w:pPr>
      <w:r>
        <w:t>Caso 3 — Planejamento de Capacidade de SGW/PGW</w:t>
      </w:r>
    </w:p>
    <w:p>
      <w:r>
        <w:rPr>
          <w:b w:val="0"/>
          <w:i w:val="0"/>
        </w:rPr>
        <w:t>Contexto: decisão de expansão de capacidade tomada sem visibilidade objetiva de quando um SGW ou PGW se aproxima de sua própria referência de pico.</w:t>
      </w:r>
    </w:p>
    <w:p>
      <w:r>
        <w:rPr>
          <w:b w:val="0"/>
          <w:i w:val="0"/>
        </w:rPr>
        <w:t>Benefícios: regressão real sobre a série de 15 dias, com intervalo de confiança — insumo direto para priorizar onde investigar primeiro uma possível necessidade de expansão.</w:t>
      </w:r>
    </w:p>
    <w:p>
      <w:r>
        <w:rPr>
          <w:b w:val="0"/>
          <w:i w:val="0"/>
        </w:rPr>
        <w:t>Limitações: sem dado de capacidade nominal de equipamento na base (não existe nem na Anatel nem no CDR sintético) — a projeção usa o próprio pico observado na janela como referência de 100%, não uma capacidade de hardware real.</w:t>
      </w:r>
    </w:p>
    <w:p>
      <w:r>
        <w:rPr>
          <w:b w:val="0"/>
          <w:i w:val="0"/>
        </w:rPr>
        <w:t>Benchmark: não aplicável — dado 100% sintético nesta versão do produto.</w:t>
      </w:r>
    </w:p>
    <w:p>
      <w:r>
        <w:rPr>
          <w:b w:val="0"/>
          <w:i w:val="0"/>
        </w:rPr>
        <w:t>Exemplos: 32 de 213 sites apresentaram projeção de saturação aplicável na execução de referência; os demais não tinham tendência de crescimento estatisticamente relevante na janela observada.</w:t>
      </w:r>
    </w:p>
    <w:p>
      <w:pPr>
        <w:pStyle w:val="Heading3"/>
      </w:pPr>
      <w:r>
        <w:t>Caso 4 — Atribuição de Causa: Demanda × Capacidade</w:t>
      </w:r>
    </w:p>
    <w:p>
      <w:r>
        <w:rPr>
          <w:b w:val="0"/>
          <w:i w:val="0"/>
        </w:rPr>
        <w:t>Contexto: um site apresenta anomalia de qualidade e a equipe precisa decidir, rapidamente, se é um problema de demanda (mais uso, sem ação de rede necessária) ou de capacidade (possível falha, ação de campo necessária).</w:t>
      </w:r>
    </w:p>
    <w:p>
      <w:r>
        <w:rPr>
          <w:b w:val="0"/>
          <w:i w:val="0"/>
        </w:rPr>
        <w:t>Benefícios: comparação automática entre o z-score da anomalia de qualidade e o z-score do tráfego no mesmo dia — pico de tráfego junto sugere demanda; ausência de pico sugere possível falha.</w:t>
      </w:r>
    </w:p>
    <w:p>
      <w:r>
        <w:rPr>
          <w:b w:val="0"/>
          <w:i w:val="0"/>
        </w:rPr>
        <w:t>Limitações: heurística de correspondência estatística entre séries reais do próprio dataset, não uma causa diagnosticada por instrumentação externa de falha.</w:t>
      </w:r>
    </w:p>
    <w:p>
      <w:r>
        <w:rPr>
          <w:b w:val="0"/>
          <w:i w:val="0"/>
        </w:rPr>
        <w:t>Benchmark: não aplicável — funcionalidade nova, sem correspondente direto no NetGraph nem em ferramentas de mercado consultadas.</w:t>
      </w:r>
    </w:p>
    <w:p>
      <w:r>
        <w:rPr>
          <w:b w:val="0"/>
          <w:i w:val="0"/>
        </w:rPr>
        <w:t>Exemplos: os dois picos de fim de semana observados em SGW-01 foram corretamente atribuídos a "Tráfego ↑" (coincidência com pico de tráfego real) após o ajuste do gerador para incluir o mesmo efeito de fim de semana no volume, não só na qualidade.</w:t>
      </w:r>
    </w:p>
    <w:p>
      <w:pPr>
        <w:pStyle w:val="Heading3"/>
      </w:pPr>
      <w:r>
        <w:t>Caso 5 — Consulta Individual sob Hipótese de Uso Nomeada (LGPD)</w:t>
      </w:r>
    </w:p>
    <w:p>
      <w:r>
        <w:rPr>
          <w:b w:val="0"/>
          <w:i w:val="0"/>
        </w:rPr>
        <w:t>Contexto: uma reclamação formal ou uma exigência de SLA de NOC exige acesso ao histórico de um assinante específico, fora do agregado normal do produto.</w:t>
      </w:r>
    </w:p>
    <w:p>
      <w:r>
        <w:rPr>
          <w:b w:val="0"/>
          <w:i w:val="0"/>
        </w:rPr>
        <w:t>Benefícios: acesso restrito por senha ilustrativa, motivo de acesso obrigatório e log de auditoria — mesmo padrão do JourneyGraph (ISP Edition) e do NetGraph.</w:t>
      </w:r>
    </w:p>
    <w:p>
      <w:r>
        <w:rPr>
          <w:b w:val="0"/>
          <w:i w:val="0"/>
        </w:rPr>
        <w:t>Limitações: autenticação apenas ilustrativa (client-side, sem backend) — ver capítulo Base Legal para o detalhamento completo.</w:t>
      </w:r>
    </w:p>
    <w:p>
      <w:r>
        <w:rPr>
          <w:b w:val="0"/>
          <w:i w:val="0"/>
        </w:rPr>
        <w:t>Benchmark: mesmo padrão dos produtos irmãos da Lounge; não avaliado contra ferramenta de mercado.</w:t>
      </w:r>
    </w:p>
    <w:p>
      <w:r>
        <w:rPr>
          <w:b w:val="0"/>
          <w:i w:val="0"/>
        </w:rPr>
        <w:t>Exemplos: assinante identificado apenas por hash sintético (não MSISDN real), mesmo em modo de Consulta Individual.</w:t>
      </w:r>
    </w:p>
    <w:p>
      <w:r>
        <w:br w:type="page"/>
      </w:r>
    </w:p>
    <w:p>
      <w:pPr>
        <w:pStyle w:val="Heading1"/>
      </w:pPr>
      <w:r>
        <w:t>Ressalvas / Honestidade Metodológica</w:t>
      </w:r>
    </w:p>
    <w:p>
      <w:r>
        <w:rPr>
          <w:b w:val="0"/>
          <w:i w:val="0"/>
        </w:rPr>
        <w:t>Consolidação das notas de honestidade metodológica deste documento, no formato exigido pelo padrão de documentação da Vísent (§3).</w:t>
      </w:r>
    </w:p>
    <w:p>
      <w:pPr>
        <w:pStyle w:val="ListBullet"/>
      </w:pPr>
      <w:r>
        <w:t>Modelos analíticos reais, dados sintéticos: todos os motores analíticos descritos em §2.5 (K-Means/XGBoost, IPED, Vamping, Markov, Bayes por correlação, rede Bayesiana ingênua, MAD, filtro Bayesiano recursivo, regressão, centralidade, Voronoi) são cálculos estatísticos/estruturais reais sobre a base gerada — a honestidade metodológica aqui não está no método (que é real), mas na origem do dado (100% sintético e determinístico, sobre geografia real de antenas Anatel, sem qualquer CDR real de assinante).</w:t>
      </w:r>
    </w:p>
    <w:p>
      <w:pPr>
        <w:pStyle w:val="ListBullet"/>
      </w:pPr>
      <w:r>
        <w:t>Limiares de estado de saúde de rede (Saudável/Degradado/Crítico/Falha) foram recalibrados durante o desenvolvimento (0,05/0,08/0,12 → 0,075/0,088/0,100 de drop_pct) após a expansão da amostra para 100.000 assinantes revelar que os limiares originais — copiados do nível de persona — saturavam praticamente todo nó de rede em "Crítico". A recalibração é calibrada à faixa observada nesta execução específica, não um SLA de mercado nem um valor validado contra operação real.</w:t>
      </w:r>
    </w:p>
    <w:p>
      <w:pPr>
        <w:pStyle w:val="ListBullet"/>
      </w:pPr>
      <w:r>
        <w:t>Priors da rede Bayesiana (causa provável de alertas de rede): definidos por raciocínio de domínio sobre causas plausíveis de degradação em rede móvel, não recalibrados a partir de um log de causa-raiz real rotulado. Uma implantação em produção exigiria recalibração com histórico de incidentes real da operadora cliente.</w:t>
      </w:r>
    </w:p>
    <w:p>
      <w:pPr>
        <w:pStyle w:val="ListBullet"/>
      </w:pPr>
      <w:r>
        <w:t>Proxy de "segmento de alto valor" no score de impacto de negócio: o dataset MNO não tem o conceito de "cliente corporativo com SLA diferenciado" usado no NetGraph (produto de banda fixa) — em seu lugar, usa-se a presença da persona P1 Executivo Mobile (já definida por renda A + dispositivo flagship) como proxy real, documentado como tal na própria interface e nesta documentação, não apresentado como um campo de CRM real.</w:t>
      </w:r>
    </w:p>
    <w:p>
      <w:pPr>
        <w:pStyle w:val="ListBullet"/>
      </w:pPr>
      <w:r>
        <w:t>CRM/Ouvidoria sintéticos: volume de reclamação por região administrativa é gerado deterministicamente (seed fixa) e reforçado quando há nó em Crítico/Falha na área — mesma técnica do NetGraph, correlação intencional para fins de demonstração, não dado real de atendimento ao cliente.</w:t>
      </w:r>
    </w:p>
    <w:p>
      <w:pPr>
        <w:pStyle w:val="ListBullet"/>
      </w:pPr>
      <w:r>
        <w:t>Projeção de capacidade sem capacidade nominal real: como não existe dado de capacidade de equipamento nem na base pública da Anatel nem no CDR sintético, a "capacidade" projetada é relativa ao próprio pico de tráfego observado do nó na janela de 15 dias — tratar como tendência ilustrativa, não como SLA de engenharia.</w:t>
      </w:r>
    </w:p>
    <w:p>
      <w:pPr>
        <w:pStyle w:val="ListBullet"/>
      </w:pPr>
      <w:r>
        <w:t>Texto normativo (indicadores de qualidade do SMP, Anatel): paráfrase para fins de demonstração no Assistente e na narrativa de alertas — não deve ser usado como referência jurídica ou de compliance; a resolução vigente específica deve ser validada com a área regulatória antes de qualquer uso externo.</w:t>
      </w:r>
    </w:p>
    <w:p>
      <w:pPr>
        <w:pStyle w:val="ListBullet"/>
      </w:pPr>
      <w:r>
        <w:t>Assistente RAG/SLM: mock por palavras-chave e templates sobre corpus estático — sem embeddings, sem LLM real de produção. Mesmo padrão dos demais produtos da Lounge; a diferença está nos modelos analíticos que o Assistente narra (reais), não no mecanismo de busca do Assistente em si.</w:t>
      </w:r>
    </w:p>
    <w:p>
      <w:pPr>
        <w:pStyle w:val="ListBullet"/>
      </w:pPr>
      <w:r>
        <w:t>Autenticação da Consulta Individual restrita: apenas ilustrativa — ver capítulo Base Legal, a seguir, para o detalhamento completo das limitações.</w:t>
      </w:r>
    </w:p>
    <w:p>
      <w:r>
        <w:br w:type="page"/>
      </w:r>
    </w:p>
    <w:p>
      <w:pPr>
        <w:pStyle w:val="Heading1"/>
      </w:pPr>
      <w:r>
        <w:t>Base Legal / Controle de Acesso a Dado Pessoal</w:t>
      </w:r>
    </w:p>
    <w:p>
      <w:r>
        <w:rPr>
          <w:b w:val="0"/>
          <w:i w:val="0"/>
        </w:rPr>
        <w:t>Capítulo obrigatório por força da funcionalidade de Consulta Individual de Assinante (Modo Restrito) — mesmo padrão do JourneyGraph (ISP Edition) e do NetGraph.</w:t>
      </w:r>
    </w:p>
    <w:p>
      <w:pPr>
        <w:pStyle w:val="Heading2"/>
      </w:pPr>
      <w:r>
        <w:t>Hipóteses de Uso Nomeadas</w:t>
      </w:r>
    </w:p>
    <w:p>
      <w:pPr>
        <w:pStyle w:val="ListBullet"/>
      </w:pPr>
      <w:r>
        <w:t>Interceptação legal: mediante mandado judicial.</w:t>
      </w:r>
    </w:p>
    <w:p>
      <w:pPr>
        <w:pStyle w:val="ListBullet"/>
      </w:pPr>
      <w:r>
        <w:t>Apuração de ouvidoria: reclamação formal em curso, exigindo acesso ao assinante específico.</w:t>
      </w:r>
    </w:p>
    <w:p>
      <w:pPr>
        <w:pStyle w:val="ListBullet"/>
      </w:pPr>
      <w:r>
        <w:t>SLA de NOC: manutenção em profundidade sob acordo de nível de serviço que exige acesso ao assinante individual.</w:t>
      </w:r>
    </w:p>
    <w:p>
      <w:r>
        <w:rPr>
          <w:b w:val="0"/>
          <w:i/>
        </w:rPr>
        <w:t>Nunca consulta discricionária ou de rotina.</w:t>
      </w:r>
    </w:p>
    <w:p>
      <w:pPr>
        <w:pStyle w:val="Heading2"/>
      </w:pPr>
      <w:r>
        <w:t>Base Legal Específica</w:t>
      </w:r>
    </w:p>
    <w:p>
      <w:r>
        <w:rPr>
          <w:b w:val="0"/>
          <w:i w:val="0"/>
        </w:rPr>
        <w:t>Lei nº 9.472/1997 (Lei Geral de Telecomunicações, art. 3º/72), Lei nº 9.296/1996 (interceptação judicial), Marco Civil da Internet (Lei nº 12.965/2014, art. 10) e Lei nº 13.709/2018 — LGPD (art. 7º, VI e X) — mesma base legal já documentada no JourneyGraph (ISP Edition) e replicada no NetGraph, aplicável sem alteração ao domínio móvel.</w:t>
      </w:r>
    </w:p>
    <w:p>
      <w:pPr>
        <w:pStyle w:val="Heading2"/>
      </w:pPr>
      <w:r>
        <w:t>Nota de Honestidade Metodológica</w:t>
      </w:r>
    </w:p>
    <w:p>
      <w:r>
        <w:rPr>
          <w:b w:val="0"/>
          <w:i w:val="0"/>
        </w:rPr>
        <w:t>A autenticação da Consulta Individual restrita é apenas ilustrativa (client-side, sem backend), não um controle de acesso de produção. Uma implantação de produção exige, no mínimo: autenticação corporativa (SSO/LDAP) por operador nomeado, autenticação multifator, controle de acesso por papel, log de auditoria imutável server-side com identidade do operador e timestamp, e política de retenção alinhada ao motivo do acesso e à LGPD.</w:t>
      </w:r>
    </w:p>
    <w:p>
      <w:r>
        <w:br w:type="page"/>
      </w:r>
    </w:p>
    <w:p>
      <w:pPr>
        <w:pStyle w:val="Heading1"/>
      </w:pPr>
      <w:r>
        <w:t>Glossário e Siglas</w:t>
      </w:r>
    </w:p>
    <w:p>
      <w:r>
        <w:rPr>
          <w:b w:val="0"/>
          <w:i w:val="0"/>
        </w:rPr>
        <w:t>Consolida, em ordem alfabética, os termos, siglas, modelos e frameworks efetivamente citados neste documento e no corpus técnico do produto.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3050"/>
          </w:tcPr>
          <w:p>
            <w:r>
              <w:rPr>
                <w:b/>
                <w:color w:val="FFFFFF"/>
                <w:sz w:val="19"/>
              </w:rPr>
              <w:t>Termo</w:t>
            </w:r>
          </w:p>
        </w:tc>
        <w:tc>
          <w:tcPr>
            <w:tcW w:type="dxa" w:w="2880"/>
            <w:shd w:val="clear" w:color="auto" w:fill="1A3050"/>
          </w:tcPr>
          <w:p>
            <w:r>
              <w:rPr>
                <w:b/>
                <w:color w:val="FFFFFF"/>
                <w:sz w:val="19"/>
              </w:rPr>
              <w:t>Categoria</w:t>
            </w:r>
          </w:p>
        </w:tc>
        <w:tc>
          <w:tcPr>
            <w:tcW w:type="dxa" w:w="2880"/>
            <w:shd w:val="clear" w:color="auto" w:fill="1A3050"/>
          </w:tcPr>
          <w:p>
            <w:r>
              <w:rPr>
                <w:b/>
                <w:color w:val="FFFFFF"/>
                <w:sz w:val="19"/>
              </w:rPr>
              <w:t>Definição</w:t>
            </w:r>
          </w:p>
        </w:tc>
      </w:tr>
      <w:tr>
        <w:tc>
          <w:tcPr>
            <w:tcW w:type="dxa" w:w="2880"/>
          </w:tcPr>
          <w:p>
            <w:r>
              <w:rPr>
                <w:sz w:val="19"/>
              </w:rPr>
              <w:t>Anatel</w:t>
            </w:r>
          </w:p>
        </w:tc>
        <w:tc>
          <w:tcPr>
            <w:tcW w:type="dxa" w:w="2880"/>
          </w:tcPr>
          <w:p>
            <w:r>
              <w:rPr>
                <w:sz w:val="19"/>
              </w:rPr>
              <w:t>Sigla</w:t>
            </w:r>
          </w:p>
        </w:tc>
        <w:tc>
          <w:tcPr>
            <w:tcW w:type="dxa" w:w="2880"/>
          </w:tcPr>
          <w:p>
            <w:r>
              <w:rPr>
                <w:sz w:val="19"/>
              </w:rPr>
              <w:t>Agência Nacional de Telecomunicações — origem da base pública de antenas licenciadas (SMP) usada como geografia real do produto.</w:t>
            </w:r>
          </w:p>
        </w:tc>
      </w:tr>
      <w:tr>
        <w:tc>
          <w:tcPr>
            <w:tcW w:type="dxa" w:w="2880"/>
          </w:tcPr>
          <w:p>
            <w:r>
              <w:rPr>
                <w:sz w:val="19"/>
              </w:rPr>
              <w:t>Bayes ingênuo (naive Bayes)</w:t>
            </w:r>
          </w:p>
        </w:tc>
        <w:tc>
          <w:tcPr>
            <w:tcW w:type="dxa" w:w="2880"/>
          </w:tcPr>
          <w:p>
            <w:r>
              <w:rPr>
                <w:sz w:val="19"/>
              </w:rPr>
              <w:t>Modelo/Técnica</w:t>
            </w:r>
          </w:p>
        </w:tc>
        <w:tc>
          <w:tcPr>
            <w:tcW w:type="dxa" w:w="2880"/>
          </w:tcPr>
          <w:p>
            <w:r>
              <w:rPr>
                <w:sz w:val="19"/>
              </w:rPr>
              <w:t>Posterior calculado sobre causas candidatas concorrentes a partir de priors e uma tabela de likelihood por evidência — usado na causa provável dos Alertas de Rede priorizados (§2.5).</w:t>
            </w:r>
          </w:p>
        </w:tc>
      </w:tr>
      <w:tr>
        <w:tc>
          <w:tcPr>
            <w:tcW w:type="dxa" w:w="2880"/>
          </w:tcPr>
          <w:p>
            <w:r>
              <w:rPr>
                <w:sz w:val="19"/>
              </w:rPr>
              <w:t>Blast radius</w:t>
            </w:r>
          </w:p>
        </w:tc>
        <w:tc>
          <w:tcPr>
            <w:tcW w:type="dxa" w:w="2880"/>
          </w:tcPr>
          <w:p>
            <w:r>
              <w:rPr>
                <w:sz w:val="19"/>
              </w:rPr>
              <w:t>Modelo/Técnica</w:t>
            </w:r>
          </w:p>
        </w:tc>
        <w:tc>
          <w:tcPr>
            <w:tcW w:type="dxa" w:w="2880"/>
          </w:tcPr>
          <w:p>
            <w:r>
              <w:rPr>
                <w:sz w:val="19"/>
              </w:rPr>
              <w:t>Assinantes/nós downstream afetados por uma falha num nó — soma real via a hierarquia Core→PGW→SGW→Site.</w:t>
            </w:r>
          </w:p>
        </w:tc>
      </w:tr>
      <w:tr>
        <w:tc>
          <w:tcPr>
            <w:tcW w:type="dxa" w:w="2880"/>
          </w:tcPr>
          <w:p>
            <w:r>
              <w:rPr>
                <w:sz w:val="19"/>
              </w:rPr>
              <w:t>CDR</w:t>
            </w:r>
          </w:p>
        </w:tc>
        <w:tc>
          <w:tcPr>
            <w:tcW w:type="dxa" w:w="2880"/>
          </w:tcPr>
          <w:p>
            <w:r>
              <w:rPr>
                <w:sz w:val="19"/>
              </w:rPr>
              <w:t>Sigla</w:t>
            </w:r>
          </w:p>
        </w:tc>
        <w:tc>
          <w:tcPr>
            <w:tcW w:type="dxa" w:w="2880"/>
          </w:tcPr>
          <w:p>
            <w:r>
              <w:rPr>
                <w:sz w:val="19"/>
              </w:rPr>
              <w:t>Call Detail Record — registro de detalhe de chamada/sessão; base de todo o dado sintético deste produto.</w:t>
            </w:r>
          </w:p>
        </w:tc>
      </w:tr>
      <w:tr>
        <w:tc>
          <w:tcPr>
            <w:tcW w:type="dxa" w:w="2880"/>
          </w:tcPr>
          <w:p>
            <w:r>
              <w:rPr>
                <w:sz w:val="19"/>
              </w:rPr>
              <w:t>Centralidade estrutural</w:t>
            </w:r>
          </w:p>
        </w:tc>
        <w:tc>
          <w:tcPr>
            <w:tcW w:type="dxa" w:w="2880"/>
          </w:tcPr>
          <w:p>
            <w:r>
              <w:rPr>
                <w:sz w:val="19"/>
              </w:rPr>
              <w:t>Modelo/Técnica</w:t>
            </w:r>
          </w:p>
        </w:tc>
        <w:tc>
          <w:tcPr>
            <w:tcW w:type="dxa" w:w="2880"/>
          </w:tcPr>
          <w:p>
            <w:r>
              <w:rPr>
                <w:sz w:val="19"/>
              </w:rPr>
              <w:t>Proxy fechado de betweenness numa árvore: tamanho_subárvore(v)×(N−tamanho_subárvore(v)), normalizado 0–100.</w:t>
            </w:r>
          </w:p>
        </w:tc>
      </w:tr>
      <w:tr>
        <w:tc>
          <w:tcPr>
            <w:tcW w:type="dxa" w:w="2880"/>
          </w:tcPr>
          <w:p>
            <w:r>
              <w:rPr>
                <w:sz w:val="19"/>
              </w:rPr>
              <w:t>CRM</w:t>
            </w:r>
          </w:p>
        </w:tc>
        <w:tc>
          <w:tcPr>
            <w:tcW w:type="dxa" w:w="2880"/>
          </w:tcPr>
          <w:p>
            <w:r>
              <w:rPr>
                <w:sz w:val="19"/>
              </w:rPr>
              <w:t>Sigla</w:t>
            </w:r>
          </w:p>
        </w:tc>
        <w:tc>
          <w:tcPr>
            <w:tcW w:type="dxa" w:w="2880"/>
          </w:tcPr>
          <w:p>
            <w:r>
              <w:rPr>
                <w:sz w:val="19"/>
              </w:rPr>
              <w:t>Customer Relationship Management — volume sintético de reclamação por região, usado no eixo de impacto de negócio do score de alerta.</w:t>
            </w:r>
          </w:p>
        </w:tc>
      </w:tr>
      <w:tr>
        <w:tc>
          <w:tcPr>
            <w:tcW w:type="dxa" w:w="2880"/>
          </w:tcPr>
          <w:p>
            <w:r>
              <w:rPr>
                <w:sz w:val="19"/>
              </w:rPr>
              <w:t>ECGI</w:t>
            </w:r>
          </w:p>
        </w:tc>
        <w:tc>
          <w:tcPr>
            <w:tcW w:type="dxa" w:w="2880"/>
          </w:tcPr>
          <w:p>
            <w:r>
              <w:rPr>
                <w:sz w:val="19"/>
              </w:rPr>
              <w:t>Sigla</w:t>
            </w:r>
          </w:p>
        </w:tc>
        <w:tc>
          <w:tcPr>
            <w:tcW w:type="dxa" w:w="2880"/>
          </w:tcPr>
          <w:p>
            <w:r>
              <w:rPr>
                <w:sz w:val="19"/>
              </w:rPr>
              <w:t>E-UTRAN Cell Global Identifier — identificador de antena/célula servidora (MCC+MNC+eNB+CellID).</w:t>
            </w:r>
          </w:p>
        </w:tc>
      </w:tr>
      <w:tr>
        <w:tc>
          <w:tcPr>
            <w:tcW w:type="dxa" w:w="2880"/>
          </w:tcPr>
          <w:p>
            <w:r>
              <w:rPr>
                <w:sz w:val="19"/>
              </w:rPr>
              <w:t>Filtro Bayesiano recursivo</w:t>
            </w:r>
          </w:p>
        </w:tc>
        <w:tc>
          <w:tcPr>
            <w:tcW w:type="dxa" w:w="2880"/>
          </w:tcPr>
          <w:p>
            <w:r>
              <w:rPr>
                <w:sz w:val="19"/>
              </w:rPr>
              <w:t>Modelo/Técnica</w:t>
            </w:r>
          </w:p>
        </w:tc>
        <w:tc>
          <w:tcPr>
            <w:tcW w:type="dxa" w:w="2880"/>
          </w:tcPr>
          <w:p>
            <w:r>
              <w:rPr>
                <w:sz w:val="19"/>
              </w:rPr>
              <w:t>Modelo local-level (equivalente a um filtro de Kalman) que atualiza a estimativa do nível esperado a cada nova observação via máximo a posteriori — usado na aba Outliers.</w:t>
            </w:r>
          </w:p>
        </w:tc>
      </w:tr>
      <w:tr>
        <w:tc>
          <w:tcPr>
            <w:tcW w:type="dxa" w:w="2880"/>
          </w:tcPr>
          <w:p>
            <w:r>
              <w:rPr>
                <w:sz w:val="19"/>
              </w:rPr>
              <w:t>IPED</w:t>
            </w:r>
          </w:p>
        </w:tc>
        <w:tc>
          <w:tcPr>
            <w:tcW w:type="dxa" w:w="2880"/>
          </w:tcPr>
          <w:p>
            <w:r>
              <w:rPr>
                <w:sz w:val="19"/>
              </w:rPr>
              <w:t>Modelo/Técnica</w:t>
            </w:r>
          </w:p>
        </w:tc>
        <w:tc>
          <w:tcPr>
            <w:tcW w:type="dxa" w:w="2880"/>
          </w:tcPr>
          <w:p>
            <w:r>
              <w:rPr>
                <w:sz w:val="19"/>
              </w:rPr>
              <w:t>Índice Ponderado de qualidade no DEslocamento — média ponderada de KQIs normalizados, por componente e faixa de curadoria.</w:t>
            </w:r>
          </w:p>
        </w:tc>
      </w:tr>
      <w:tr>
        <w:tc>
          <w:tcPr>
            <w:tcW w:type="dxa" w:w="2880"/>
          </w:tcPr>
          <w:p>
            <w:r>
              <w:rPr>
                <w:sz w:val="19"/>
              </w:rPr>
              <w:t>K-anonimato</w:t>
            </w:r>
          </w:p>
        </w:tc>
        <w:tc>
          <w:tcPr>
            <w:tcW w:type="dxa" w:w="2880"/>
          </w:tcPr>
          <w:p>
            <w:r>
              <w:rPr>
                <w:sz w:val="19"/>
              </w:rPr>
              <w:t>Modelo/Técnica</w:t>
            </w:r>
          </w:p>
        </w:tc>
        <w:tc>
          <w:tcPr>
            <w:tcW w:type="dxa" w:w="2880"/>
          </w:tcPr>
          <w:p>
            <w:r>
              <w:rPr>
                <w:sz w:val="19"/>
              </w:rPr>
              <w:t>Supressão de registros (pares origem-destino) observados por menos de K assinantes distintos — K=3 neste produto.</w:t>
            </w:r>
          </w:p>
        </w:tc>
      </w:tr>
      <w:tr>
        <w:tc>
          <w:tcPr>
            <w:tcW w:type="dxa" w:w="2880"/>
          </w:tcPr>
          <w:p>
            <w:r>
              <w:rPr>
                <w:sz w:val="19"/>
              </w:rPr>
              <w:t>K-Means</w:t>
            </w:r>
          </w:p>
        </w:tc>
        <w:tc>
          <w:tcPr>
            <w:tcW w:type="dxa" w:w="2880"/>
          </w:tcPr>
          <w:p>
            <w:r>
              <w:rPr>
                <w:sz w:val="19"/>
              </w:rPr>
              <w:t>Modelo/Técnica</w:t>
            </w:r>
          </w:p>
        </w:tc>
        <w:tc>
          <w:tcPr>
            <w:tcW w:type="dxa" w:w="2880"/>
          </w:tcPr>
          <w:p>
            <w:r>
              <w:rPr>
                <w:sz w:val="19"/>
              </w:rPr>
              <w:t>Algoritmo de clustering não supervisionado (variante MiniBatchKMeans) usado para inferir as 9 personas.</w:t>
            </w:r>
          </w:p>
        </w:tc>
      </w:tr>
      <w:tr>
        <w:tc>
          <w:tcPr>
            <w:tcW w:type="dxa" w:w="2880"/>
          </w:tcPr>
          <w:p>
            <w:r>
              <w:rPr>
                <w:sz w:val="19"/>
              </w:rPr>
              <w:t>KQI</w:t>
            </w:r>
          </w:p>
        </w:tc>
        <w:tc>
          <w:tcPr>
            <w:tcW w:type="dxa" w:w="2880"/>
          </w:tcPr>
          <w:p>
            <w:r>
              <w:rPr>
                <w:sz w:val="19"/>
              </w:rPr>
              <w:t>Sigla</w:t>
            </w:r>
          </w:p>
        </w:tc>
        <w:tc>
          <w:tcPr>
            <w:tcW w:type="dxa" w:w="2880"/>
          </w:tcPr>
          <w:p>
            <w:r>
              <w:rPr>
                <w:sz w:val="19"/>
              </w:rPr>
              <w:t>Key Quality Indicator — indicador de qualidade individual que compõe um componente do IPED.</w:t>
            </w:r>
          </w:p>
        </w:tc>
      </w:tr>
      <w:tr>
        <w:tc>
          <w:tcPr>
            <w:tcW w:type="dxa" w:w="2880"/>
          </w:tcPr>
          <w:p>
            <w:r>
              <w:rPr>
                <w:sz w:val="19"/>
              </w:rPr>
              <w:t>LGPD</w:t>
            </w:r>
          </w:p>
        </w:tc>
        <w:tc>
          <w:tcPr>
            <w:tcW w:type="dxa" w:w="2880"/>
          </w:tcPr>
          <w:p>
            <w:r>
              <w:rPr>
                <w:sz w:val="19"/>
              </w:rPr>
              <w:t>Sigla</w:t>
            </w:r>
          </w:p>
        </w:tc>
        <w:tc>
          <w:tcPr>
            <w:tcW w:type="dxa" w:w="2880"/>
          </w:tcPr>
          <w:p>
            <w:r>
              <w:rPr>
                <w:sz w:val="19"/>
              </w:rPr>
              <w:t>Lei Geral de Proteção de Dados (Lei nº 13.709/2018) — base legal da Consulta Individual de Assinante.</w:t>
            </w:r>
          </w:p>
        </w:tc>
      </w:tr>
      <w:tr>
        <w:tc>
          <w:tcPr>
            <w:tcW w:type="dxa" w:w="2880"/>
          </w:tcPr>
          <w:p>
            <w:r>
              <w:rPr>
                <w:sz w:val="19"/>
              </w:rPr>
              <w:t>MAD</w:t>
            </w:r>
          </w:p>
        </w:tc>
        <w:tc>
          <w:tcPr>
            <w:tcW w:type="dxa" w:w="2880"/>
          </w:tcPr>
          <w:p>
            <w:r>
              <w:rPr>
                <w:sz w:val="19"/>
              </w:rPr>
              <w:t>Modelo/Técnica</w:t>
            </w:r>
          </w:p>
        </w:tc>
        <w:tc>
          <w:tcPr>
            <w:tcW w:type="dxa" w:w="2880"/>
          </w:tcPr>
          <w:p>
            <w:r>
              <w:rPr>
                <w:sz w:val="19"/>
              </w:rPr>
              <w:t>Median Absolute Deviation — detector de outlier por z-score robusto, limiar |z|&gt;3,5 (Iglewicz &amp; Hoya, 1993).</w:t>
            </w:r>
          </w:p>
        </w:tc>
      </w:tr>
      <w:tr>
        <w:tc>
          <w:tcPr>
            <w:tcW w:type="dxa" w:w="2880"/>
          </w:tcPr>
          <w:p>
            <w:r>
              <w:rPr>
                <w:sz w:val="19"/>
              </w:rPr>
              <w:t>Markov (cadeia de Markov)</w:t>
            </w:r>
          </w:p>
        </w:tc>
        <w:tc>
          <w:tcPr>
            <w:tcW w:type="dxa" w:w="2880"/>
          </w:tcPr>
          <w:p>
            <w:r>
              <w:rPr>
                <w:sz w:val="19"/>
              </w:rPr>
              <w:t>Modelo/Técnica</w:t>
            </w:r>
          </w:p>
        </w:tc>
        <w:tc>
          <w:tcPr>
            <w:tcW w:type="dxa" w:w="2880"/>
          </w:tcPr>
          <w:p>
            <w:r>
              <w:rPr>
                <w:sz w:val="19"/>
              </w:rPr>
              <w:t>Matriz de transição de estados estimada por contagem real de transições observadas na série sintética.</w:t>
            </w:r>
          </w:p>
        </w:tc>
      </w:tr>
      <w:tr>
        <w:tc>
          <w:tcPr>
            <w:tcW w:type="dxa" w:w="2880"/>
          </w:tcPr>
          <w:p>
            <w:r>
              <w:rPr>
                <w:sz w:val="19"/>
              </w:rPr>
              <w:t>MME/AMF</w:t>
            </w:r>
          </w:p>
        </w:tc>
        <w:tc>
          <w:tcPr>
            <w:tcW w:type="dxa" w:w="2880"/>
          </w:tcPr>
          <w:p>
            <w:r>
              <w:rPr>
                <w:sz w:val="19"/>
              </w:rPr>
              <w:t>Sigla</w:t>
            </w:r>
          </w:p>
        </w:tc>
        <w:tc>
          <w:tcPr>
            <w:tcW w:type="dxa" w:w="2880"/>
          </w:tcPr>
          <w:p>
            <w:r>
              <w:rPr>
                <w:sz w:val="19"/>
              </w:rPr>
              <w:t>Mobility Management Entity / Access and Mobility Management Function — pool de controle/sinalização, paralelo à árvore de dados Core→PGW→SGW→Site.</w:t>
            </w:r>
          </w:p>
        </w:tc>
      </w:tr>
      <w:tr>
        <w:tc>
          <w:tcPr>
            <w:tcW w:type="dxa" w:w="2880"/>
          </w:tcPr>
          <w:p>
            <w:r>
              <w:rPr>
                <w:sz w:val="19"/>
              </w:rPr>
              <w:t>PGW/UPF</w:t>
            </w:r>
          </w:p>
        </w:tc>
        <w:tc>
          <w:tcPr>
            <w:tcW w:type="dxa" w:w="2880"/>
          </w:tcPr>
          <w:p>
            <w:r>
              <w:rPr>
                <w:sz w:val="19"/>
              </w:rPr>
              <w:t>Sigla</w:t>
            </w:r>
          </w:p>
        </w:tc>
        <w:tc>
          <w:tcPr>
            <w:tcW w:type="dxa" w:w="2880"/>
          </w:tcPr>
          <w:p>
            <w:r>
              <w:rPr>
                <w:sz w:val="19"/>
              </w:rPr>
              <w:t>Packet Gateway / User Plane Function — nível de agregação entre o Core e os SGW na topologia sintética.</w:t>
            </w:r>
          </w:p>
        </w:tc>
      </w:tr>
      <w:tr>
        <w:tc>
          <w:tcPr>
            <w:tcW w:type="dxa" w:w="2880"/>
          </w:tcPr>
          <w:p>
            <w:r>
              <w:rPr>
                <w:sz w:val="19"/>
              </w:rPr>
              <w:t>RAG / SLM</w:t>
            </w:r>
          </w:p>
        </w:tc>
        <w:tc>
          <w:tcPr>
            <w:tcW w:type="dxa" w:w="2880"/>
          </w:tcPr>
          <w:p>
            <w:r>
              <w:rPr>
                <w:sz w:val="19"/>
              </w:rPr>
              <w:t>Sigla</w:t>
            </w:r>
          </w:p>
        </w:tc>
        <w:tc>
          <w:tcPr>
            <w:tcW w:type="dxa" w:w="2880"/>
          </w:tcPr>
          <w:p>
            <w:r>
              <w:rPr>
                <w:sz w:val="19"/>
              </w:rPr>
              <w:t>Retrieval-Augmented Generation / Small Language Model — mesmo padrão mock dos produtos irmãos: busca lexical sobre corpus estático, sem embeddings nem LLM real.</w:t>
            </w:r>
          </w:p>
        </w:tc>
      </w:tr>
      <w:tr>
        <w:tc>
          <w:tcPr>
            <w:tcW w:type="dxa" w:w="2880"/>
          </w:tcPr>
          <w:p>
            <w:r>
              <w:rPr>
                <w:sz w:val="19"/>
              </w:rPr>
              <w:t>RAT</w:t>
            </w:r>
          </w:p>
        </w:tc>
        <w:tc>
          <w:tcPr>
            <w:tcW w:type="dxa" w:w="2880"/>
          </w:tcPr>
          <w:p>
            <w:r>
              <w:rPr>
                <w:sz w:val="19"/>
              </w:rPr>
              <w:t>Sigla</w:t>
            </w:r>
          </w:p>
        </w:tc>
        <w:tc>
          <w:tcPr>
            <w:tcW w:type="dxa" w:w="2880"/>
          </w:tcPr>
          <w:p>
            <w:r>
              <w:rPr>
                <w:sz w:val="19"/>
              </w:rPr>
              <w:t>Radio Access Technology — NR (5G), LTE (4G) ou WCDMA (3G, tecnologia legada).</w:t>
            </w:r>
          </w:p>
        </w:tc>
      </w:tr>
      <w:tr>
        <w:tc>
          <w:tcPr>
            <w:tcW w:type="dxa" w:w="2880"/>
          </w:tcPr>
          <w:p>
            <w:r>
              <w:rPr>
                <w:sz w:val="19"/>
              </w:rPr>
              <w:t>Regressão Linear</w:t>
            </w:r>
          </w:p>
        </w:tc>
        <w:tc>
          <w:tcPr>
            <w:tcW w:type="dxa" w:w="2880"/>
          </w:tcPr>
          <w:p>
            <w:r>
              <w:rPr>
                <w:sz w:val="19"/>
              </w:rPr>
              <w:t>Modelo/Técnica</w:t>
            </w:r>
          </w:p>
        </w:tc>
        <w:tc>
          <w:tcPr>
            <w:tcW w:type="dxa" w:w="2880"/>
          </w:tcPr>
          <w:p>
            <w:r>
              <w:rPr>
                <w:sz w:val="19"/>
              </w:rPr>
              <w:t>Projeção de saturação de tráfego por mínimos quadrados, com intervalo de confiança de 95% no coeficiente angular.</w:t>
            </w:r>
          </w:p>
        </w:tc>
      </w:tr>
      <w:tr>
        <w:tc>
          <w:tcPr>
            <w:tcW w:type="dxa" w:w="2880"/>
          </w:tcPr>
          <w:p>
            <w:r>
              <w:rPr>
                <w:sz w:val="19"/>
              </w:rPr>
              <w:t>RG (categoria de serviço)</w:t>
            </w:r>
          </w:p>
        </w:tc>
        <w:tc>
          <w:tcPr>
            <w:tcW w:type="dxa" w:w="2880"/>
          </w:tcPr>
          <w:p>
            <w:r>
              <w:rPr>
                <w:sz w:val="19"/>
              </w:rPr>
              <w:t>Sigla/Conceito</w:t>
            </w:r>
          </w:p>
        </w:tc>
        <w:tc>
          <w:tcPr>
            <w:tcW w:type="dxa" w:w="2880"/>
          </w:tcPr>
          <w:p>
            <w:r>
              <w:rPr>
                <w:sz w:val="19"/>
              </w:rPr>
              <w:t>Streaming, Gaming, Social, Comunicação, VPN ou Outros — taxonomia de serviço do CDR móvel, papel equivalente ao SVA da banda fixa.</w:t>
            </w:r>
          </w:p>
        </w:tc>
      </w:tr>
      <w:tr>
        <w:tc>
          <w:tcPr>
            <w:tcW w:type="dxa" w:w="2880"/>
          </w:tcPr>
          <w:p>
            <w:r>
              <w:rPr>
                <w:sz w:val="19"/>
              </w:rPr>
              <w:t>SGW</w:t>
            </w:r>
          </w:p>
        </w:tc>
        <w:tc>
          <w:tcPr>
            <w:tcW w:type="dxa" w:w="2880"/>
          </w:tcPr>
          <w:p>
            <w:r>
              <w:rPr>
                <w:sz w:val="19"/>
              </w:rPr>
              <w:t>Sigla</w:t>
            </w:r>
          </w:p>
        </w:tc>
        <w:tc>
          <w:tcPr>
            <w:tcW w:type="dxa" w:w="2880"/>
          </w:tcPr>
          <w:p>
            <w:r>
              <w:rPr>
                <w:sz w:val="19"/>
              </w:rPr>
              <w:t>Serving Gateway — nível de agregação entre PGW e os sites físicos na topologia sintética.</w:t>
            </w:r>
          </w:p>
        </w:tc>
      </w:tr>
      <w:tr>
        <w:tc>
          <w:tcPr>
            <w:tcW w:type="dxa" w:w="2880"/>
          </w:tcPr>
          <w:p>
            <w:r>
              <w:rPr>
                <w:sz w:val="19"/>
              </w:rPr>
              <w:t>SMP</w:t>
            </w:r>
          </w:p>
        </w:tc>
        <w:tc>
          <w:tcPr>
            <w:tcW w:type="dxa" w:w="2880"/>
          </w:tcPr>
          <w:p>
            <w:r>
              <w:rPr>
                <w:sz w:val="19"/>
              </w:rPr>
              <w:t>Sigla</w:t>
            </w:r>
          </w:p>
        </w:tc>
        <w:tc>
          <w:tcPr>
            <w:tcW w:type="dxa" w:w="2880"/>
          </w:tcPr>
          <w:p>
            <w:r>
              <w:rPr>
                <w:sz w:val="19"/>
              </w:rPr>
              <w:t>Serviço Móvel Pessoal — serviço regulado pela Anatel cuja base de estações licenciadas fundamenta a geografia real do produto.</w:t>
            </w:r>
          </w:p>
        </w:tc>
      </w:tr>
      <w:tr>
        <w:tc>
          <w:tcPr>
            <w:tcW w:type="dxa" w:w="2880"/>
          </w:tcPr>
          <w:p>
            <w:r>
              <w:rPr>
                <w:sz w:val="19"/>
              </w:rPr>
              <w:t>SPOF</w:t>
            </w:r>
          </w:p>
        </w:tc>
        <w:tc>
          <w:tcPr>
            <w:tcW w:type="dxa" w:w="2880"/>
          </w:tcPr>
          <w:p>
            <w:r>
              <w:rPr>
                <w:sz w:val="19"/>
              </w:rPr>
              <w:t>Sigla</w:t>
            </w:r>
          </w:p>
        </w:tc>
        <w:tc>
          <w:tcPr>
            <w:tcW w:type="dxa" w:w="2880"/>
          </w:tcPr>
          <w:p>
            <w:r>
              <w:rPr>
                <w:sz w:val="19"/>
              </w:rPr>
              <w:t>Single Point of Failure — todo nó SGW/PGW é SPOF por construção nesta topologia (sem dado de redundância de enlace).</w:t>
            </w:r>
          </w:p>
        </w:tc>
      </w:tr>
      <w:tr>
        <w:tc>
          <w:tcPr>
            <w:tcW w:type="dxa" w:w="2880"/>
          </w:tcPr>
          <w:p>
            <w:r>
              <w:rPr>
                <w:sz w:val="19"/>
              </w:rPr>
              <w:t>Vamping</w:t>
            </w:r>
          </w:p>
        </w:tc>
        <w:tc>
          <w:tcPr>
            <w:tcW w:type="dxa" w:w="2880"/>
          </w:tcPr>
          <w:p>
            <w:r>
              <w:rPr>
                <w:sz w:val="19"/>
              </w:rPr>
              <w:t>Modelo/Técnica</w:t>
            </w:r>
          </w:p>
        </w:tc>
        <w:tc>
          <w:tcPr>
            <w:tcW w:type="dxa" w:w="2880"/>
          </w:tcPr>
          <w:p>
            <w:r>
              <w:rPr>
                <w:sz w:val="19"/>
              </w:rPr>
              <w:t>Indicador transversal (não persona) de exposição a telas na madrugada — score 0–100 e flag binário, fórmula copiada do JourneyGraph ISP Edition.</w:t>
            </w:r>
          </w:p>
        </w:tc>
      </w:tr>
      <w:tr>
        <w:tc>
          <w:tcPr>
            <w:tcW w:type="dxa" w:w="2880"/>
          </w:tcPr>
          <w:p>
            <w:r>
              <w:rPr>
                <w:sz w:val="19"/>
              </w:rPr>
              <w:t>Voronoi (tesselação)</w:t>
            </w:r>
          </w:p>
        </w:tc>
        <w:tc>
          <w:tcPr>
            <w:tcW w:type="dxa" w:w="2880"/>
          </w:tcPr>
          <w:p>
            <w:r>
              <w:rPr>
                <w:sz w:val="19"/>
              </w:rPr>
              <w:t>Modelo/Técnica</w:t>
            </w:r>
          </w:p>
        </w:tc>
        <w:tc>
          <w:tcPr>
            <w:tcW w:type="dxa" w:w="2880"/>
          </w:tcPr>
          <w:p>
            <w:r>
              <w:rPr>
                <w:sz w:val="19"/>
              </w:rPr>
              <w:t>Partição geométrica do plano em células associadas ao site mais próximo — usada para redistribuir indicadores agregados por área.</w:t>
            </w:r>
          </w:p>
        </w:tc>
      </w:tr>
      <w:tr>
        <w:tc>
          <w:tcPr>
            <w:tcW w:type="dxa" w:w="2880"/>
          </w:tcPr>
          <w:p>
            <w:r>
              <w:rPr>
                <w:sz w:val="19"/>
              </w:rPr>
              <w:t>XGBoost</w:t>
            </w:r>
          </w:p>
        </w:tc>
        <w:tc>
          <w:tcPr>
            <w:tcW w:type="dxa" w:w="2880"/>
          </w:tcPr>
          <w:p>
            <w:r>
              <w:rPr>
                <w:sz w:val="19"/>
              </w:rPr>
              <w:t>Modelo/Técnica</w:t>
            </w:r>
          </w:p>
        </w:tc>
        <w:tc>
          <w:tcPr>
            <w:tcW w:type="dxa" w:w="2880"/>
          </w:tcPr>
          <w:p>
            <w:r>
              <w:rPr>
                <w:sz w:val="19"/>
              </w:rPr>
              <w:t>Classificador supervisionado (gradient boosting) treinado sobre os rótulos do K-Means, para classificação determinística de persona.</w:t>
            </w:r>
          </w:p>
        </w:tc>
      </w:tr>
    </w:tbl>
    <w:p/>
    <w:p>
      <w:r>
        <w:rPr>
          <w:b w:val="0"/>
          <w:i/>
        </w:rPr>
        <w:t>Termos institucionais recorrentes em toda a série de documentos da Lounge de Soluções ISP/MNO (RAG, SLM, LGPD, LGT) seguem a mesma definição em todos os Product Reports desta série, por força do padrão de documentação da Vísent (docs/PADRAO_DOCUMENTACAO_PRODUTO.md).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