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" w:before="200"/>
      </w:pPr>
      <w:r>
        <w:rPr>
          <w:b/>
          <w:bCs/>
          <w:color w:val="000000"/>
          <w:sz w:val="40"/>
          <w:szCs w:val="40"/>
        </w:rPr>
        <w:t xml:space="preserve">StepGraph</w:t>
      </w:r>
    </w:p>
    <w:p>
      <w:pPr>
        <w:spacing w:after="360"/>
      </w:pPr>
      <w:r>
        <w:rPr>
          <w:color w:val="000000"/>
          <w:sz w:val="26"/>
          <w:szCs w:val="26"/>
        </w:rPr>
        <w:t xml:space="preserve">Product Report — documentação do estado real do produto neste repositório</w:t>
      </w:r>
    </w:p>
    <w:p>
      <w:pPr>
        <w:spacing w:after="60" w:before="300"/>
      </w:pPr>
      <w:r>
        <w:rPr>
          <w:b/>
          <w:bCs/>
          <w:sz w:val="22"/>
          <w:szCs w:val="22"/>
        </w:rPr>
        <w:t xml:space="preserve">Documentação de Produto</w:t>
      </w:r>
    </w:p>
    <w:p>
      <w:pPr>
        <w:spacing w:after="360"/>
      </w:pPr>
      <w:r>
        <w:rPr>
          <w:i/>
          <w:iCs/>
          <w:color w:val="595959"/>
          <w:sz w:val="20"/>
          <w:szCs w:val="20"/>
        </w:rPr>
        <w:t xml:space="preserve">CDRView PERSONAS Module — para uso interno; ver nota de escopo sobre a versão MNO Edition externa</w:t>
      </w:r>
    </w:p>
    <w:p>
      <w:pPr>
        <w:spacing w:after="60" w:before="1600"/>
      </w:pPr>
      <w:r>
        <w:rPr>
          <w:sz w:val="22"/>
          <w:szCs w:val="22"/>
        </w:rPr>
        <w:t xml:space="preserve">Agosto de 2026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Documento gerado a partir do código-fonte de step/index.html e do histórico real de commits do repositório — seções sem conteúdo real são marcadas "Não documentado nesta versão", não preenchidas por inferência.</w:t>
      </w:r>
    </w:p>
    <w:p>
      <w:pPr>
        <w:pageBreakBefore/>
      </w:pPr>
    </w:p>
    <w:p>
      <w:pPr>
        <w:pStyle w:val="Heading1"/>
      </w:pPr>
      <w:r>
        <w:t xml:space="preserve">Sumário</w:t>
      </w:r>
    </w:p>
    <w:p>
      <w:pPr>
        <w:tabs>
          <w:tab w:val="right" w:pos="9026" w:leader="dot"/>
        </w:tabs>
        <w:spacing w:after="100"/>
        <w:ind w:left="0"/>
      </w:pPr>
      <w:r>
        <w:rPr>
          <w:b/>
          <w:bCs/>
          <w:sz w:val="22"/>
          <w:szCs w:val="22"/>
        </w:rPr>
        <w:t xml:space="preserve">1. Product Report</w:t>
      </w:r>
      <w:r>
        <w:rPr>
          <w:sz w:val="22"/>
          <w:szCs w:val="22"/>
        </w:rPr>
        <w:t xml:space="preserve">	3</w:t>
      </w:r>
    </w:p>
    <w:p>
      <w:pPr>
        <w:tabs>
          <w:tab w:val="right" w:pos="9026" w:leader="dot"/>
        </w:tabs>
        <w:spacing w:after="60"/>
        <w:ind w:left="360"/>
      </w:pPr>
      <w:r>
        <w:rPr>
          <w:b w:val="false"/>
          <w:bCs w:val="false"/>
          <w:sz w:val="22"/>
          <w:szCs w:val="22"/>
        </w:rPr>
        <w:t xml:space="preserve">1.1–1.7 Objeto a Funcionalidades</w:t>
      </w:r>
      <w:r>
        <w:rPr>
          <w:sz w:val="22"/>
          <w:szCs w:val="22"/>
        </w:rPr>
        <w:t xml:space="preserve">	3</w:t>
      </w:r>
    </w:p>
    <w:p>
      <w:pPr>
        <w:tabs>
          <w:tab w:val="right" w:pos="9026" w:leader="dot"/>
        </w:tabs>
        <w:spacing w:after="60"/>
        <w:ind w:left="360"/>
      </w:pPr>
      <w:r>
        <w:rPr>
          <w:b w:val="false"/>
          <w:bCs w:val="false"/>
          <w:sz w:val="22"/>
          <w:szCs w:val="22"/>
        </w:rPr>
        <w:t xml:space="preserve">1.8–1.18 Entradas a Histórico de Evolução</w:t>
      </w:r>
      <w:r>
        <w:rPr>
          <w:sz w:val="22"/>
          <w:szCs w:val="22"/>
        </w:rPr>
        <w:t xml:space="preserve">	4</w:t>
      </w:r>
    </w:p>
    <w:p>
      <w:pPr>
        <w:tabs>
          <w:tab w:val="right" w:pos="9026" w:leader="dot"/>
        </w:tabs>
        <w:spacing w:after="100"/>
        <w:ind w:left="0"/>
      </w:pPr>
      <w:r>
        <w:rPr>
          <w:b/>
          <w:bCs/>
          <w:sz w:val="22"/>
          <w:szCs w:val="22"/>
        </w:rPr>
        <w:t xml:space="preserve">2. Tech Reference</w:t>
      </w:r>
      <w:r>
        <w:rPr>
          <w:sz w:val="22"/>
          <w:szCs w:val="22"/>
        </w:rPr>
        <w:t xml:space="preserve">	5</w:t>
      </w:r>
    </w:p>
    <w:p>
      <w:pPr>
        <w:tabs>
          <w:tab w:val="right" w:pos="9026" w:leader="dot"/>
        </w:tabs>
        <w:spacing w:after="100"/>
        <w:ind w:left="0"/>
      </w:pPr>
      <w:r>
        <w:rPr>
          <w:b/>
          <w:bCs/>
          <w:sz w:val="22"/>
          <w:szCs w:val="22"/>
        </w:rPr>
        <w:t xml:space="preserve">3. Data Reference</w:t>
      </w:r>
      <w:r>
        <w:rPr>
          <w:sz w:val="22"/>
          <w:szCs w:val="22"/>
        </w:rPr>
        <w:t xml:space="preserve">	6</w:t>
      </w:r>
    </w:p>
    <w:p>
      <w:pPr>
        <w:tabs>
          <w:tab w:val="right" w:pos="9026" w:leader="dot"/>
        </w:tabs>
        <w:spacing w:after="100"/>
        <w:ind w:left="0"/>
      </w:pPr>
      <w:r>
        <w:rPr>
          <w:b/>
          <w:bCs/>
          <w:sz w:val="22"/>
          <w:szCs w:val="22"/>
        </w:rPr>
        <w:t xml:space="preserve">4. Base Metodológica</w:t>
      </w:r>
      <w:r>
        <w:rPr>
          <w:sz w:val="22"/>
          <w:szCs w:val="22"/>
        </w:rPr>
        <w:t xml:space="preserve">	7</w:t>
      </w:r>
    </w:p>
    <w:p>
      <w:pPr>
        <w:tabs>
          <w:tab w:val="right" w:pos="9026" w:leader="dot"/>
        </w:tabs>
        <w:spacing w:after="100"/>
        <w:ind w:left="0"/>
      </w:pPr>
      <w:r>
        <w:rPr>
          <w:b/>
          <w:bCs/>
          <w:sz w:val="22"/>
          <w:szCs w:val="22"/>
        </w:rPr>
        <w:t xml:space="preserve">5. Use Cases</w:t>
      </w:r>
      <w:r>
        <w:rPr>
          <w:sz w:val="22"/>
          <w:szCs w:val="22"/>
        </w:rPr>
        <w:t xml:space="preserve">	7</w:t>
      </w:r>
    </w:p>
    <w:p>
      <w:pPr>
        <w:tabs>
          <w:tab w:val="right" w:pos="9026" w:leader="dot"/>
        </w:tabs>
        <w:spacing w:after="100"/>
        <w:ind w:left="0"/>
      </w:pPr>
      <w:r>
        <w:rPr>
          <w:b/>
          <w:bCs/>
          <w:sz w:val="22"/>
          <w:szCs w:val="22"/>
        </w:rPr>
        <w:t xml:space="preserve">Ressalvas / Honestidade Metodológica</w:t>
      </w:r>
      <w:r>
        <w:rPr>
          <w:sz w:val="22"/>
          <w:szCs w:val="22"/>
        </w:rPr>
        <w:t xml:space="preserve">	8</w:t>
      </w:r>
    </w:p>
    <w:p>
      <w:pPr>
        <w:tabs>
          <w:tab w:val="right" w:pos="9026" w:leader="dot"/>
        </w:tabs>
        <w:spacing w:after="100"/>
        <w:ind w:left="0"/>
      </w:pPr>
      <w:r>
        <w:rPr>
          <w:b/>
          <w:bCs/>
          <w:sz w:val="22"/>
          <w:szCs w:val="22"/>
        </w:rPr>
        <w:t xml:space="preserve">Base Legal / Controle de Acesso a Dado Pessoal</w:t>
      </w:r>
      <w:r>
        <w:rPr>
          <w:sz w:val="22"/>
          <w:szCs w:val="22"/>
        </w:rPr>
        <w:t xml:space="preserve">	8</w:t>
      </w:r>
    </w:p>
    <w:p>
      <w:pPr>
        <w:tabs>
          <w:tab w:val="right" w:pos="9026" w:leader="dot"/>
        </w:tabs>
        <w:spacing w:after="100"/>
        <w:ind w:left="0"/>
      </w:pPr>
      <w:r>
        <w:rPr>
          <w:b/>
          <w:bCs/>
          <w:sz w:val="22"/>
          <w:szCs w:val="22"/>
        </w:rPr>
        <w:t xml:space="preserve">Glossário e Siglas</w:t>
      </w:r>
      <w:r>
        <w:rPr>
          <w:sz w:val="22"/>
          <w:szCs w:val="22"/>
        </w:rPr>
        <w:t xml:space="preserve">	9</w:t>
      </w:r>
    </w:p>
    <w:p>
      <w:pPr>
        <w:sectPr>
          <w:headerReference w:type="default" r:id="rId7"/>
          <w:footerReference w:type="default" r:id="rId8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1. Product Report</w:t>
      </w:r>
    </w:p>
    <w:p>
      <w:pPr>
        <w:pStyle w:val="Heading2"/>
      </w:pPr>
      <w:r>
        <w:t xml:space="preserve">1.1 Objeto</w:t>
      </w:r>
    </w:p>
    <w:p>
      <w:pPr>
        <w:spacing w:after="200" w:before="0"/>
        <w:jc w:val="both"/>
      </w:pPr>
      <w:r>
        <w:rPr>
          <w:b w:val="false"/>
          <w:bCs w:val="false"/>
          <w:i w:val="false"/>
          <w:iCs w:val="false"/>
        </w:rPr>
        <w:t xml:space="preserve">O StepGraph, na versão presente neste repositório (step/index.html, sob o rótulo "ecStepGraph — STEP · Monetização de Dados"), é um painel de visualização de fluxos de deslocamento físico sobre um mapa interativo (Leaflet + D3.js) da Grande Florianópolis. Reconstrói a mobilidade agregada entre 8 zonas geográficas, segmentada por 5 personas, com filtros de persona e horário de pico e um pequeno conjunto de indicadores-resumo.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8DA9C4" w:sz="4"/>
              <w:left w:val="single" w:color="8DA9C4" w:sz="24"/>
              <w:bottom w:val="single" w:color="8DA9C4" w:sz="4"/>
              <w:right w:val="single" w:color="8DA9C4" w:sz="4"/>
            </w:tcBorders>
            <w:shd w:fill="E8EEF5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jc w:val="both"/>
            </w:pPr>
            <w:r>
              <w:rPr>
                <w:i/>
                <w:iCs/>
                <w:color w:val="2E4A66"/>
                <w:sz w:val="19"/>
                <w:szCs w:val="19"/>
              </w:rPr>
              <w:t xml:space="preserve">Nota de escopo importante: o card "StepGraph MNO Edition" da Lounge de Soluções (index.html raiz) descreve um produto substancialmente mais amplo — IPED (índice de qualidade fim-a-fim por corredor), grafo de fluxo com fan-in/centralidade, Radar de Causa-Raiz (Grafos + Markov + Bayes), Assistente RAG cruzando cobertura de rede com dados socioeconômicos públicos — hospedado externamente em stepvis.netlify.app e construído em React + D3 + Leaflet. Esse produto mais amplo não está neste repositório (só o link externo no card da Lounge) e não pôde ser verificado contra código-fonte para esta documentação. Este Product Report documenta exclusivamente o que existe de fato em step/index.html: um painel de fluxos mais simples, sem RAG, sem Assistente, sem motor de causa-raiz.</w:t>
            </w:r>
          </w:p>
        </w:tc>
      </w:tr>
    </w:tbl>
    <w:p>
      <w:pPr>
        <w:pStyle w:val="Heading2"/>
      </w:pPr>
      <w:r>
        <w:t xml:space="preserve">1.2 Objetivo</w:t>
      </w:r>
    </w:p>
    <w:p>
      <w:pPr>
        <w:spacing w:after="200" w:before="0"/>
        <w:jc w:val="both"/>
      </w:pPr>
      <w:r>
        <w:rPr>
          <w:b w:val="false"/>
          <w:bCs w:val="false"/>
          <w:i w:val="false"/>
          <w:iCs w:val="false"/>
        </w:rPr>
        <w:t xml:space="preserve">Servir como MVP de visualização de mobilidade física de assinante móvel para operadoras regionais (MVNO/MNO), demonstrando o valor de cruzar dado de deslocamento agregado com segmentação por persona — sem, nesta versão, os componentes analíticos mais avançados descritos no posicionamento comercial do produto mais amplo.</w:t>
      </w:r>
    </w:p>
    <w:p>
      <w:pPr>
        <w:pStyle w:val="Heading2"/>
      </w:pPr>
      <w:r>
        <w:t xml:space="preserve">1.3 Aplicações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Planejamento comercial: </w:t>
      </w:r>
      <w:r>
        <w:t xml:space="preserve">identificação da zona de maior concentração de deslocamentos e da persona dominante em cada filtro.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Visualização de corredores de mobilidade: </w:t>
      </w:r>
      <w:r>
        <w:t xml:space="preserve">espessura de rota proporcional ao volume estimado, com detalhe de origem/destino, volume e horário de pico ao clicar um fluxo.</w:t>
      </w:r>
    </w:p>
    <w:p>
      <w:pPr>
        <w:pStyle w:val="Heading2"/>
      </w:pPr>
      <w:r>
        <w:t xml:space="preserve">1.4 Benefícios</w:t>
      </w:r>
    </w:p>
    <w:p>
      <w:pPr>
        <w:spacing w:after="200" w:before="0"/>
        <w:jc w:val="both"/>
      </w:pPr>
      <w:r>
        <w:rPr>
          <w:b w:val="false"/>
          <w:bCs w:val="false"/>
          <w:i w:val="false"/>
          <w:iCs w:val="false"/>
        </w:rPr>
        <w:t xml:space="preserve">Interface simples e imediata para discussão comercial: quatro KPIs de topo (deslocamentos no filtro atual, zona mais concentrada, persona dominante, precisão média de localização) somados a um mapa interativo e uma tabela de Top Fluxos por Volume.</w:t>
      </w:r>
    </w:p>
    <w:p>
      <w:pPr>
        <w:pStyle w:val="Heading2"/>
      </w:pPr>
      <w:r>
        <w:t xml:space="preserve">1.5 Diferenciais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8DA9C4" w:sz="4"/>
              <w:left w:val="single" w:color="8DA9C4" w:sz="24"/>
              <w:bottom w:val="single" w:color="8DA9C4" w:sz="4"/>
              <w:right w:val="single" w:color="8DA9C4" w:sz="4"/>
            </w:tcBorders>
            <w:shd w:fill="E8EEF5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jc w:val="both"/>
            </w:pPr>
            <w:r>
              <w:rPr>
                <w:i/>
                <w:iCs/>
                <w:color w:val="2E4A66"/>
                <w:sz w:val="19"/>
                <w:szCs w:val="19"/>
              </w:rPr>
              <w:t xml:space="preserve">Não documentado nesta versão do produto — o card da Lounge atribui diferenciais (IPED, Radar de Causa-Raiz, Assistente RAG com dado socioeconômico público) ao StepGraph MNO Edition hospedado externamente, não à versão presente neste repositório. Não inventado aqui, para não confundir as duas versões do produto.</w:t>
            </w:r>
          </w:p>
        </w:tc>
      </w:tr>
    </w:tbl>
    <w:p>
      <w:pPr>
        <w:pStyle w:val="Heading2"/>
      </w:pPr>
      <w:r>
        <w:t xml:space="preserve">1.6 Arquitetura (visão executiva)</w:t>
      </w:r>
    </w:p>
    <w:p>
      <w:pPr>
        <w:spacing w:after="200" w:before="0"/>
        <w:jc w:val="both"/>
      </w:pPr>
      <w:r>
        <w:rPr>
          <w:b w:val="false"/>
          <w:bCs w:val="false"/>
          <w:i w:val="false"/>
          <w:iCs w:val="false"/>
        </w:rPr>
        <w:t xml:space="preserve">Arquivo HTML único (step/index.html), sem servidor, banco de dados ou build step. Usa D3.js v7.8.5 e Leaflet v1.9.4, ambos via CDN Cloudflare. Existe também uma "versão HTML" estática (step/versao-html.html) como prévia visual sem interatividade, referenciada a partir da versão principal.</w:t>
      </w:r>
    </w:p>
    <w:p>
      <w:pPr>
        <w:pStyle w:val="Heading2"/>
      </w:pPr>
      <w:r>
        <w:t xml:space="preserve">1.7 Funcionalidades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7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O que o usuário faz</w:t>
            </w:r>
          </w:p>
        </w:tc>
      </w:tr>
      <w:tr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Filtros de Persona</w:t>
            </w:r>
          </w:p>
        </w:tc>
        <w:tc>
          <w:tcPr>
            <w:tcW w:type="dxa" w:w="7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 botões (Todas + 5 personas) que restringem os fluxos exibidos no mapa e recalculam os KPIs.</w:t>
            </w:r>
          </w:p>
        </w:tc>
      </w:tr>
      <w:tr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KPIs de topo</w:t>
            </w:r>
          </w:p>
        </w:tc>
        <w:tc>
          <w:tcPr>
            <w:tcW w:type="dxa" w:w="7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4 indicadores: Deslocamentos no Filtro Atual, Zona Mais Concentrada, Persona Dominante, Precisão Média de Localização (fixo em 94,2%).</w:t>
            </w:r>
          </w:p>
        </w:tc>
      </w:tr>
      <w:tr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Mapa de Fluxos</w:t>
            </w:r>
          </w:p>
        </w:tc>
        <w:tc>
          <w:tcPr>
            <w:tcW w:type="dxa" w:w="7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Leaflet + D3 — rotas curvas entre zonas, espessura proporcional ao volume, cor por persona; clique numa rota abre o detalhe (origem, destino, volume, persona, pico) no painel lateral.</w:t>
            </w:r>
          </w:p>
        </w:tc>
      </w:tr>
      <w:tr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Marcadores de Zona</w:t>
            </w:r>
          </w:p>
        </w:tc>
        <w:tc>
          <w:tcPr>
            <w:tcW w:type="dxa" w:w="7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Círculo por zona, raio proporcional à concentração de deslocamentos no filtro atual; clique abre detalhamento por persona daquela zona.</w:t>
            </w:r>
          </w:p>
        </w:tc>
      </w:tr>
      <w:tr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Top Fluxos por Volume</w:t>
            </w:r>
          </w:p>
        </w:tc>
        <w:tc>
          <w:tcPr>
            <w:tcW w:type="dxa" w:w="76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Tabela com os 6 maiores fluxos dentro do filtro ativo.</w:t>
            </w:r>
          </w:p>
        </w:tc>
      </w:tr>
    </w:tbl>
    <w:p>
      <w:pPr>
        <w:pStyle w:val="Heading2"/>
      </w:pPr>
      <w:r>
        <w:t xml:space="preserve">1.8 Entradas</w:t>
      </w:r>
    </w:p>
    <w:p>
      <w:pPr>
        <w:spacing w:after="200" w:before="0"/>
        <w:jc w:val="both"/>
      </w:pPr>
      <w:r>
        <w:rPr>
          <w:b w:val="false"/>
          <w:bCs w:val="false"/>
          <w:i w:val="false"/>
          <w:iCs w:val="false"/>
        </w:rPr>
        <w:t xml:space="preserve">12 fluxos sintéticos fixos, codificados diretamente no array FLOWS do JavaScript do produto — cada um com origem, destino, volume estimado por dia, persona associada e horário de pico. Não há geração determinística por seed nem carregamento de arquivo externo: os dados são um array literal fixo no código-fonte.</w:t>
      </w:r>
    </w:p>
    <w:p>
      <w:pPr>
        <w:pStyle w:val="Heading2"/>
      </w:pPr>
      <w:r>
        <w:t xml:space="preserve">1.9 Transformações</w:t>
      </w:r>
    </w:p>
    <w:p>
      <w:pPr>
        <w:spacing w:after="200" w:before="0"/>
        <w:jc w:val="both"/>
      </w:pPr>
      <w:r>
        <w:rPr>
          <w:b w:val="false"/>
          <w:bCs w:val="false"/>
          <w:i w:val="false"/>
          <w:iCs w:val="false"/>
        </w:rPr>
        <w:t xml:space="preserve">Para cada combinação de filtros (persona × horário de pico) ativa, o produto recalcula, no navegador: concentração de deslocamentos por zona (soma de volume de todos os fluxos que tocam aquela zona), raio do marcador de zona (escala de raiz quadrada sobre a concentração), espessura de cada rota (escala linear sobre o volume do fluxo) e os 4 KPIs de topo.</w:t>
      </w:r>
    </w:p>
    <w:p>
      <w:pPr>
        <w:pStyle w:val="Heading2"/>
      </w:pPr>
      <w:r>
        <w:t xml:space="preserve">1.10 Persistência e Saídas</w:t>
      </w:r>
    </w:p>
    <w:p>
      <w:pPr>
        <w:spacing w:after="200" w:before="0"/>
        <w:jc w:val="both"/>
      </w:pPr>
      <w:r>
        <w:rPr>
          <w:b w:val="false"/>
          <w:bCs w:val="false"/>
          <w:i w:val="false"/>
          <w:iCs w:val="false"/>
        </w:rPr>
        <w:t xml:space="preserve">Sem persistência: todo o estado (filtro ativo, seleção de fluxo/zona) vive em memória no navegador durante a sessão. Não há exportação de dado nem API.</w:t>
      </w:r>
    </w:p>
    <w:p>
      <w:pPr>
        <w:pStyle w:val="Heading2"/>
      </w:pPr>
      <w:r>
        <w:t xml:space="preserve">1.11 Integrações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8DA9C4" w:sz="4"/>
              <w:left w:val="single" w:color="8DA9C4" w:sz="24"/>
              <w:bottom w:val="single" w:color="8DA9C4" w:sz="4"/>
              <w:right w:val="single" w:color="8DA9C4" w:sz="4"/>
            </w:tcBorders>
            <w:shd w:fill="E8EEF5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jc w:val="both"/>
            </w:pPr>
            <w:r>
              <w:rPr>
                <w:i/>
                <w:iCs/>
                <w:color w:val="2E4A66"/>
                <w:sz w:val="19"/>
                <w:szCs w:val="19"/>
              </w:rPr>
              <w:t xml:space="preserve">Não documentado nesta versão do produto — nenhuma integração de sistema externo identificada no código-fonte.</w:t>
            </w:r>
          </w:p>
        </w:tc>
      </w:tr>
    </w:tbl>
    <w:p>
      <w:pPr>
        <w:pStyle w:val="Heading2"/>
      </w:pPr>
      <w:r>
        <w:t xml:space="preserve">1.12 Ambientes</w:t>
      </w:r>
    </w:p>
    <w:p>
      <w:pPr>
        <w:spacing w:after="200" w:before="0"/>
        <w:jc w:val="both"/>
      </w:pPr>
      <w:r>
        <w:rPr>
          <w:b w:val="false"/>
          <w:bCs w:val="false"/>
          <w:i w:val="false"/>
          <w:iCs w:val="false"/>
        </w:rPr>
        <w:t xml:space="preserve">Navegador moderno com suporte a Leaflet e D3.js. Arquivo HTML único, aberto diretamente ou servido como página estática.</w:t>
      </w:r>
    </w:p>
    <w:p>
      <w:pPr>
        <w:pStyle w:val="Heading2"/>
      </w:pPr>
      <w:r>
        <w:t xml:space="preserve">1.13 Requisitos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330"/>
        <w:gridCol w:w="3330"/>
      </w:tblGrid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Componente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Versão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D3.js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7.8.5 (CDN)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Escalas (largura de rota, raio de zona)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Leaflet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1.9.4 (CDN)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Mapa interativo, camada de tiles CARTO Voyager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Navegador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Chrome/Edge/Firefox modernos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Renderização do mapa e interatividade</w:t>
            </w:r>
          </w:p>
        </w:tc>
      </w:tr>
    </w:tbl>
    <w:p>
      <w:pPr>
        <w:pStyle w:val="Heading2"/>
      </w:pPr>
      <w:r>
        <w:t xml:space="preserve">1.14 Deploy</w:t>
      </w:r>
    </w:p>
    <w:p>
      <w:pPr>
        <w:spacing w:after="200" w:before="0"/>
        <w:jc w:val="both"/>
      </w:pPr>
      <w:r>
        <w:rPr>
          <w:b w:val="false"/>
          <w:bCs w:val="false"/>
          <w:i w:val="false"/>
          <w:iCs w:val="false"/>
        </w:rPr>
        <w:t xml:space="preserve">Arquivo único (step/index.html) — basta abrir no navegador ou publicar como página estática, junto com step/versao-html.html (prévia visual estática).</w:t>
      </w:r>
    </w:p>
    <w:p>
      <w:pPr>
        <w:pStyle w:val="Heading2"/>
      </w:pPr>
      <w:r>
        <w:t xml:space="preserve">1.15 Testes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8DA9C4" w:sz="4"/>
              <w:left w:val="single" w:color="8DA9C4" w:sz="24"/>
              <w:bottom w:val="single" w:color="8DA9C4" w:sz="4"/>
              <w:right w:val="single" w:color="8DA9C4" w:sz="4"/>
            </w:tcBorders>
            <w:shd w:fill="E8EEF5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jc w:val="both"/>
            </w:pPr>
            <w:r>
              <w:rPr>
                <w:i/>
                <w:iCs/>
                <w:color w:val="2E4A66"/>
                <w:sz w:val="19"/>
                <w:szCs w:val="19"/>
              </w:rPr>
              <w:t xml:space="preserve">Não documentado nesta versão do produto — não há suíte de testes automatizados nem processo de validação formal identificado no repositório para este produto.</w:t>
            </w:r>
          </w:p>
        </w:tc>
      </w:tr>
    </w:tbl>
    <w:p>
      <w:pPr>
        <w:pStyle w:val="Heading2"/>
      </w:pPr>
      <w:r>
        <w:t xml:space="preserve">1.16 Capacitação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8DA9C4" w:sz="4"/>
              <w:left w:val="single" w:color="8DA9C4" w:sz="24"/>
              <w:bottom w:val="single" w:color="8DA9C4" w:sz="4"/>
              <w:right w:val="single" w:color="8DA9C4" w:sz="4"/>
            </w:tcBorders>
            <w:shd w:fill="E8EEF5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jc w:val="both"/>
            </w:pPr>
            <w:r>
              <w:rPr>
                <w:i/>
                <w:iCs/>
                <w:color w:val="2E4A66"/>
                <w:sz w:val="19"/>
                <w:szCs w:val="19"/>
              </w:rPr>
              <w:t xml:space="preserve">Não aplicável nesta versão do produto — não há Assistente nem qualquer mecanismo de autoexplicação embutido (diferente dos demais produtos maduros da Lounge).</w:t>
            </w:r>
          </w:p>
        </w:tc>
      </w:tr>
    </w:tbl>
    <w:p>
      <w:pPr>
        <w:pStyle w:val="Heading2"/>
      </w:pPr>
      <w:r>
        <w:t xml:space="preserve">1.17 Sustentação</w:t>
      </w:r>
    </w:p>
    <w:p>
      <w:pPr>
        <w:spacing w:after="200" w:before="0"/>
        <w:jc w:val="both"/>
      </w:pPr>
      <w:r>
        <w:rPr>
          <w:b w:val="false"/>
          <w:bCs w:val="false"/>
          <w:i w:val="false"/>
          <w:iCs w:val="false"/>
        </w:rPr>
        <w:t xml:space="preserve">Não há processo de curadoria formalizado neste repositório para o StepGraph. O histórico de commits (§1.18) mostra apenas correções pontuais de responsividade mobile, não evolução de funcionalidade.</w:t>
      </w:r>
    </w:p>
    <w:p>
      <w:pPr>
        <w:pStyle w:val="Heading2"/>
      </w:pPr>
      <w:r>
        <w:t xml:space="preserve">1.18 Histórico de Evolução</w:t>
      </w:r>
    </w:p>
    <w:p>
      <w:pPr>
        <w:spacing w:after="200" w:before="0"/>
        <w:jc w:val="both"/>
      </w:pPr>
      <w:r>
        <w:rPr>
          <w:b w:val="false"/>
          <w:bCs w:val="false"/>
          <w:i w:val="false"/>
          <w:iCs w:val="false"/>
        </w:rPr>
        <w:t xml:space="preserve">Reconstruído a partir de `git log --oneline --date=short -- step/` deste repositório.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5760"/>
      </w:tblGrid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Commit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5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Entrega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e4df42f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27/07/2026</w:t>
            </w:r>
          </w:p>
        </w:tc>
        <w:tc>
          <w:tcPr>
            <w:tcW w:type="dxa" w:w="5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Reestrutura o Pages como lounge de soluções ISP: JourneyGraph + ITXView (inclui o StepGraph como app existente da lounge).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6dcc1ac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02/08/2026</w:t>
            </w:r>
          </w:p>
        </w:tc>
        <w:tc>
          <w:tcPr>
            <w:tcW w:type="dxa" w:w="5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Reduz altura do topbar do StepGraph em telas de celular.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5a1d3c4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02/08/2026</w:t>
            </w:r>
          </w:p>
        </w:tc>
        <w:tc>
          <w:tcPr>
            <w:tcW w:type="dxa" w:w="5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Corrige 3 bugs de responsividade no StepGraph MNO Edition.</w:t>
            </w:r>
          </w:p>
        </w:tc>
      </w:tr>
    </w:tbl>
    <w:p>
      <w:pPr>
        <w:pStyle w:val="Heading1"/>
      </w:pPr>
      <w:r>
        <w:t xml:space="preserve">2. Tech Reference</w:t>
      </w:r>
    </w:p>
    <w:p>
      <w:pPr>
        <w:pStyle w:val="Heading2"/>
      </w:pPr>
      <w:r>
        <w:t xml:space="preserve">2.1 Arquitetura Detalhada</w:t>
      </w:r>
    </w:p>
    <w:p>
      <w:pPr>
        <w:spacing w:after="200" w:before="0"/>
        <w:jc w:val="both"/>
      </w:pPr>
      <w:r>
        <w:rPr>
          <w:b w:val="false"/>
          <w:bCs w:val="false"/>
          <w:i w:val="false"/>
          <w:iCs w:val="false"/>
        </w:rPr>
        <w:t xml:space="preserve">Página HTML única com três blocos principais: barra de navegação/filtros, grade principal (mapa Leaflet + painel lateral) e nota de rodapé com link para a versão estática. O mapa usa L.polyline duplicada por fluxo — uma linha visível (não interativa, para não competir na detecção de clique) e uma linha invisível mais grossa sobreposta, usada apenas para capturar clique/toque (weight mínimo de 18px), já que a rota visível pode ter só 2px de largura — solução de usabilidade documentada em comentário no próprio código-fonte.</w:t>
      </w:r>
    </w:p>
    <w:p>
      <w:pPr>
        <w:pStyle w:val="Heading2"/>
      </w:pPr>
      <w:r>
        <w:t xml:space="preserve">2.2 Stack</w:t>
      </w:r>
    </w:p>
    <w:p>
      <w:pPr>
        <w:spacing w:after="200" w:before="0"/>
        <w:jc w:val="both"/>
      </w:pPr>
      <w:r>
        <w:rPr>
          <w:b w:val="false"/>
          <w:bCs w:val="false"/>
          <w:i w:val="false"/>
          <w:iCs w:val="false"/>
        </w:rPr>
        <w:t xml:space="preserve">D3.js v7.8.5 (escalas lineares e de raiz quadrada) e Leaflet v1.9.4 (mapa, tiles CARTO Voyager, polylines curvas via interpolação quadrática de Bézier), ambos via CDN. HTML5/CSS puro para o layout, sem framework de build.</w:t>
      </w:r>
    </w:p>
    <w:p>
      <w:pPr>
        <w:pStyle w:val="Heading2"/>
      </w:pPr>
      <w:r>
        <w:t xml:space="preserve">2.3 Desempenho</w:t>
      </w:r>
    </w:p>
    <w:p>
      <w:pPr>
        <w:spacing w:after="200" w:before="0"/>
        <w:jc w:val="both"/>
      </w:pPr>
      <w:r>
        <w:rPr>
          <w:b w:val="false"/>
          <w:bCs w:val="false"/>
          <w:i w:val="false"/>
          <w:iCs w:val="false"/>
        </w:rPr>
        <w:t xml:space="preserve">Escala trivial — 12 fluxos fixos, 8 zonas — sem qualquer preocupação de performance nesta versão.</w:t>
      </w:r>
    </w:p>
    <w:p>
      <w:pPr>
        <w:pStyle w:val="Heading2"/>
      </w:pPr>
      <w:r>
        <w:t xml:space="preserve">2.4 Parametrização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8DA9C4" w:sz="4"/>
              <w:left w:val="single" w:color="8DA9C4" w:sz="24"/>
              <w:bottom w:val="single" w:color="8DA9C4" w:sz="4"/>
              <w:right w:val="single" w:color="8DA9C4" w:sz="4"/>
            </w:tcBorders>
            <w:shd w:fill="E8EEF5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jc w:val="both"/>
            </w:pPr>
            <w:r>
              <w:rPr>
                <w:i/>
                <w:iCs/>
                <w:color w:val="2E4A66"/>
                <w:sz w:val="19"/>
                <w:szCs w:val="19"/>
              </w:rPr>
              <w:t xml:space="preserve">Não documentado nesta versão do produto — dados e escalas são constantes fixas no código-fonte, sem arquivo de configuração externo.</w:t>
            </w:r>
          </w:p>
        </w:tc>
      </w:tr>
    </w:tbl>
    <w:p>
      <w:pPr>
        <w:pStyle w:val="Heading2"/>
      </w:pPr>
      <w:r>
        <w:t xml:space="preserve">2.5 ML / IA / RAG / Agentes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8DA9C4" w:sz="4"/>
              <w:left w:val="single" w:color="8DA9C4" w:sz="24"/>
              <w:bottom w:val="single" w:color="8DA9C4" w:sz="4"/>
              <w:right w:val="single" w:color="8DA9C4" w:sz="4"/>
            </w:tcBorders>
            <w:shd w:fill="E8EEF5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jc w:val="both"/>
            </w:pPr>
            <w:r>
              <w:rPr>
                <w:i/>
                <w:iCs/>
                <w:color w:val="2E4A66"/>
                <w:sz w:val="19"/>
                <w:szCs w:val="19"/>
              </w:rPr>
              <w:t xml:space="preserve">Não aplicável nesta versão do produto — não há nenhum componente de inteligência artificial, aprendizado de máquina ou Assistente conversacional no step/index.html deste repositório. Isso contrasta com o card da Lounge, que atribui um "Radar de Causa-Raiz (Grafos + Markov + Bayes)" e um "Assistente com RAG" ao StepGraph MNO Edition — funcionalidades de uma versão externa (stepvis.netlify.app), não desta.</w:t>
            </w:r>
          </w:p>
        </w:tc>
      </w:tr>
    </w:tbl>
    <w:p>
      <w:pPr>
        <w:pStyle w:val="Heading1"/>
      </w:pPr>
      <w:r>
        <w:t xml:space="preserve">3. Data Reference</w:t>
      </w:r>
    </w:p>
    <w:p>
      <w:pPr>
        <w:pStyle w:val="Heading2"/>
      </w:pPr>
      <w:r>
        <w:t xml:space="preserve">3.1 Dicionário de Dados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4760"/>
      </w:tblGrid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4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o, d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string (chave de zona)</w:t>
            </w:r>
          </w:p>
        </w:tc>
        <w:tc>
          <w:tcPr>
            <w:tcW w:type="dxa" w:w="4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Zona de origem e destino do fluxo, entre as 8 zonas cadastradas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integer</w:t>
            </w:r>
          </w:p>
        </w:tc>
        <w:tc>
          <w:tcPr>
            <w:tcW w:type="dxa" w:w="4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Volume estimado de deslocamentos por dia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string (chave de persona)</w:t>
            </w:r>
          </w:p>
        </w:tc>
        <w:tc>
          <w:tcPr>
            <w:tcW w:type="dxa" w:w="4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Persona associada ao fluxo, entre as 5 cadastradas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peak</w:t>
            </w:r>
          </w:p>
        </w:tc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string</w:t>
            </w:r>
          </w:p>
        </w:tc>
        <w:tc>
          <w:tcPr>
            <w:tcW w:type="dxa" w:w="4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Horário de pico do fluxo (texto livre, ex. "Manhã (7h-9h)")</w:t>
            </w:r>
          </w:p>
        </w:tc>
      </w:tr>
    </w:tbl>
    <w:p>
      <w:pPr>
        <w:pStyle w:val="Heading2"/>
      </w:pPr>
      <w:r>
        <w:t xml:space="preserve">3.2 Volumetria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330"/>
        <w:gridCol w:w="3330"/>
      </w:tblGrid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Métrica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Valor de referência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Zonas geográficas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Centro, Trindade/UFSC, Ingleses, Lagoa da Conceição, Estreito/Continente, São José/Kobrasol, Palhoça, Campeche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Personas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Estudante Universitário, Trabalhador CLT, Turista, Home Office/Autônomo, Aposentado</w:t>
            </w:r>
          </w:p>
        </w:tc>
      </w:tr>
      <w:tr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Fluxos cadastrados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333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Array fixo no código-fonte, sem geração sintética por seed</w:t>
            </w:r>
          </w:p>
        </w:tc>
      </w:tr>
    </w:tbl>
    <w:p>
      <w:pPr>
        <w:pStyle w:val="Heading2"/>
      </w:pPr>
      <w:r>
        <w:t xml:space="preserve">3.3 Esquema de Saída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8DA9C4" w:sz="4"/>
              <w:left w:val="single" w:color="8DA9C4" w:sz="24"/>
              <w:bottom w:val="single" w:color="8DA9C4" w:sz="4"/>
              <w:right w:val="single" w:color="8DA9C4" w:sz="4"/>
            </w:tcBorders>
            <w:shd w:fill="E8EEF5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jc w:val="both"/>
            </w:pPr>
            <w:r>
              <w:rPr>
                <w:i/>
                <w:iCs/>
                <w:color w:val="2E4A66"/>
                <w:sz w:val="19"/>
                <w:szCs w:val="19"/>
              </w:rPr>
              <w:t xml:space="preserve">Não aplicável — não há saída persistida ou exportável nesta versão do produto; todo o estado vive em memória no navegador.</w:t>
            </w:r>
          </w:p>
        </w:tc>
      </w:tr>
    </w:tbl>
    <w:p>
      <w:pPr>
        <w:pStyle w:val="Heading1"/>
      </w:pPr>
      <w:r>
        <w:t xml:space="preserve">4. Base Metodológica</w:t>
      </w:r>
    </w:p>
    <w:p>
      <w:pPr>
        <w:pStyle w:val="Heading2"/>
      </w:pPr>
      <w:r>
        <w:t xml:space="preserve">4.1 Bases Teóricas dos Algoritmos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8DA9C4" w:sz="4"/>
              <w:left w:val="single" w:color="8DA9C4" w:sz="24"/>
              <w:bottom w:val="single" w:color="8DA9C4" w:sz="4"/>
              <w:right w:val="single" w:color="8DA9C4" w:sz="4"/>
            </w:tcBorders>
            <w:shd w:fill="E8EEF5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jc w:val="both"/>
            </w:pPr>
            <w:r>
              <w:rPr>
                <w:i/>
                <w:iCs/>
                <w:color w:val="2E4A66"/>
                <w:sz w:val="19"/>
                <w:szCs w:val="19"/>
              </w:rPr>
              <w:t xml:space="preserve">Não documentado nesta versão do produto — as únicas técnicas identificadas no código-fonte são escalas D3 padrão (linear para espessura de rota, raiz quadrada para raio de zona) e interpolação quadrática de Bézier para curvar as rotas no mapa — técnicas de visualização, não modelos analíticos ou estatísticos.</w:t>
            </w:r>
          </w:p>
        </w:tc>
      </w:tr>
    </w:tbl>
    <w:p>
      <w:pPr>
        <w:pStyle w:val="Heading2"/>
      </w:pPr>
      <w:r>
        <w:t xml:space="preserve">4.2 Normas e Frameworks Setoriais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8DA9C4" w:sz="4"/>
              <w:left w:val="single" w:color="8DA9C4" w:sz="24"/>
              <w:bottom w:val="single" w:color="8DA9C4" w:sz="4"/>
              <w:right w:val="single" w:color="8DA9C4" w:sz="4"/>
            </w:tcBorders>
            <w:shd w:fill="E8EEF5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jc w:val="both"/>
            </w:pPr>
            <w:r>
              <w:rPr>
                <w:i/>
                <w:iCs/>
                <w:color w:val="2E4A66"/>
                <w:sz w:val="19"/>
                <w:szCs w:val="19"/>
              </w:rPr>
              <w:t xml:space="preserve">Não documentado nesta versão do produto — nenhuma referência normativa, regulatória ou de framework setorial (Anatel, ITU-T, TM Forum) identificada no código-fonte do step/index.html deste repositório.</w:t>
            </w:r>
          </w:p>
        </w:tc>
      </w:tr>
    </w:tbl>
    <w:p>
      <w:pPr>
        <w:pStyle w:val="Heading2"/>
      </w:pPr>
      <w:r>
        <w:t xml:space="preserve">4.3 Referências Bibliográficas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8DA9C4" w:sz="4"/>
              <w:left w:val="single" w:color="8DA9C4" w:sz="24"/>
              <w:bottom w:val="single" w:color="8DA9C4" w:sz="4"/>
              <w:right w:val="single" w:color="8DA9C4" w:sz="4"/>
            </w:tcBorders>
            <w:shd w:fill="E8EEF5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jc w:val="both"/>
            </w:pPr>
            <w:r>
              <w:rPr>
                <w:i/>
                <w:iCs/>
                <w:color w:val="2E4A66"/>
                <w:sz w:val="19"/>
                <w:szCs w:val="19"/>
              </w:rPr>
              <w:t xml:space="preserve">Não aplicável nesta versão do produto.</w:t>
            </w:r>
          </w:p>
        </w:tc>
      </w:tr>
    </w:tbl>
    <w:p>
      <w:pPr>
        <w:pStyle w:val="Heading1"/>
      </w:pPr>
      <w:r>
        <w:t xml:space="preserve">5. Use Cases</w:t>
      </w:r>
    </w:p>
    <w:p>
      <w:pPr>
        <w:pStyle w:val="Heading2"/>
      </w:pPr>
      <w:r>
        <w:t xml:space="preserve">Caso 1 — Identificação de Corredores de Mobilidade Dominantes</w:t>
      </w:r>
    </w:p>
    <w:p>
      <w:pPr>
        <w:spacing w:after="200"/>
        <w:jc w:val="both"/>
      </w:pPr>
      <w:r>
        <w:rPr>
          <w:b/>
          <w:bCs/>
        </w:rPr>
        <w:t xml:space="preserve">Contexto: </w:t>
      </w:r>
      <w:r>
        <w:t xml:space="preserve">discussão comercial inicial sobre onde a base de assinantes móveis se desloca com maior intensidade.</w:t>
      </w:r>
    </w:p>
    <w:p>
      <w:pPr>
        <w:spacing w:after="200"/>
        <w:jc w:val="both"/>
      </w:pPr>
      <w:r>
        <w:rPr>
          <w:b/>
          <w:bCs/>
        </w:rPr>
        <w:t xml:space="preserve">Benefícios: </w:t>
      </w:r>
      <w:r>
        <w:t xml:space="preserve">visualização imediata da zona mais concentrada e da persona dominante, via os 4 KPIs de topo e o mapa interativo.</w:t>
      </w:r>
    </w:p>
    <w:p>
      <w:pPr>
        <w:spacing w:after="200"/>
        <w:jc w:val="both"/>
      </w:pPr>
      <w:r>
        <w:rPr>
          <w:b/>
          <w:bCs/>
        </w:rPr>
        <w:t xml:space="preserve">Limitações: </w:t>
      </w:r>
      <w:r>
        <w:t xml:space="preserve">dado 100% fixo e sintético (12 fluxos), sem geração determinística nem qualquer camada analítica além de agregação simples — adequado a demonstração comercial, não a decisão operacional.</w:t>
      </w:r>
    </w:p>
    <w:p>
      <w:pPr>
        <w:spacing w:after="200"/>
        <w:jc w:val="both"/>
      </w:pPr>
      <w:r>
        <w:rPr>
          <w:b/>
          <w:bCs/>
        </w:rPr>
        <w:t xml:space="preserve">Benchmark: </w:t>
      </w:r>
      <w:r>
        <w:t xml:space="preserve">não aplicável — versão MVP simples, sem comparação de mercado documentada para esta versão específica.</w:t>
      </w:r>
    </w:p>
    <w:p>
      <w:pPr>
        <w:spacing w:after="200"/>
        <w:jc w:val="both"/>
      </w:pPr>
      <w:r>
        <w:rPr>
          <w:b/>
          <w:bCs/>
        </w:rPr>
        <w:t xml:space="preserve">Exemplos: </w:t>
      </w:r>
      <w:r>
        <w:t xml:space="preserve">filtro por persona "Trabalhador CLT" concentra fluxos com pico "Manhã (7h-9h)" entre zonas residenciais (São José, Palhoça, Estreito/Continente) e o Centro.</w:t>
      </w:r>
    </w:p>
    <w:p>
      <w:pPr>
        <w:pStyle w:val="Heading1"/>
      </w:pPr>
      <w:r>
        <w:t xml:space="preserve">Ressalvas / Honestidade Metodológica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0792A" w:sz="4"/>
              <w:left w:val="single" w:color="C0792A" w:sz="24"/>
              <w:bottom w:val="single" w:color="C0792A" w:sz="4"/>
              <w:right w:val="single" w:color="C0792A" w:sz="4"/>
            </w:tcBorders>
            <w:shd w:fill="FDEBD0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jc w:val="both"/>
            </w:pPr>
            <w:r>
              <w:rPr>
                <w:b/>
                <w:bCs/>
                <w:color w:val="7F4F0E"/>
                <w:sz w:val="19"/>
                <w:szCs w:val="19"/>
              </w:rPr>
              <w:t xml:space="preserve">Nota de honestidade metodológica sobre a divergência entre o card da Lounge e o código deste repositório: </w:t>
            </w:r>
            <w:r>
              <w:rPr>
                <w:color w:val="594019"/>
                <w:sz w:val="19"/>
                <w:szCs w:val="19"/>
              </w:rPr>
              <w:t xml:space="preserve">o card "StepGraph MNO Edition" na página raiz da Lounge (index.html) descreve funcionalidades (IPED, Radar de Causa-Raiz Grafos+Markov+Bayes, Assistente RAG com dado socioeconômico público, stack React+D3+Leaflet) que não existem no step/index.html presente neste repositório — essas funcionalidades pertencem a uma versão hospedada externamente (stepvis.netlify.app), fora do escopo verificável desta documentação. Este documento reporta apenas o que está de fato implementado e verificável em step/index.html: um painel de fluxos com filtros de persona/horário e 4 KPIs simples.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0792A" w:sz="4"/>
              <w:left w:val="single" w:color="C0792A" w:sz="24"/>
              <w:bottom w:val="single" w:color="C0792A" w:sz="4"/>
              <w:right w:val="single" w:color="C0792A" w:sz="4"/>
            </w:tcBorders>
            <w:shd w:fill="FDEBD0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jc w:val="both"/>
            </w:pPr>
            <w:r>
              <w:rPr>
                <w:b/>
                <w:bCs/>
                <w:color w:val="7F4F0E"/>
                <w:sz w:val="19"/>
                <w:szCs w:val="19"/>
              </w:rPr>
              <w:t xml:space="preserve">Indicador "Precisão Média de Localização: 94,2%": </w:t>
            </w:r>
            <w:r>
              <w:rPr>
                <w:color w:val="594019"/>
                <w:sz w:val="19"/>
                <w:szCs w:val="19"/>
              </w:rPr>
              <w:t xml:space="preserve">exibido como valor fixo na interface, sem fórmula de cálculo, fonte de dado ou explicação metodológica visível no código-fonte — não foi possível verificar a origem deste número. Registrado aqui para transparência, não removido do produto (fora do escopo desta documentação alterar o produto em produção).</w:t>
            </w:r>
          </w:p>
        </w:tc>
      </w:tr>
    </w:tbl>
    <w:p>
      <w:pPr>
        <w:pStyle w:val="Heading1"/>
      </w:pPr>
      <w:r>
        <w:t xml:space="preserve">Base Legal / Controle de Acesso a Dado Pessoal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8DA9C4" w:sz="4"/>
              <w:left w:val="single" w:color="8DA9C4" w:sz="24"/>
              <w:bottom w:val="single" w:color="8DA9C4" w:sz="4"/>
              <w:right w:val="single" w:color="8DA9C4" w:sz="4"/>
            </w:tcBorders>
            <w:shd w:fill="E8EEF5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jc w:val="both"/>
            </w:pPr>
            <w:r>
              <w:rPr>
                <w:i/>
                <w:iCs/>
                <w:color w:val="2E4A66"/>
                <w:sz w:val="19"/>
                <w:szCs w:val="19"/>
              </w:rPr>
              <w:t xml:space="preserve">Não aplicável nesta versão do produto: o StepGraph, em step/index.html, não implementa nenhuma funcionalidade de Consulta Individual restrita nem qualquer forma de acesso a dado identificável de indivíduo — todos os fluxos são agregados por zona/persona, sem granularidade de assinante individual. Não há, portanto, capítulo de Base Legal a preencher para esta versão do produto, conforme previsto no padrão de documentação da Vísent para produtos sem esse tipo de funcionalidade.</w:t>
            </w:r>
          </w:p>
        </w:tc>
      </w:tr>
    </w:tbl>
    <w:p>
      <w:pPr>
        <w:pStyle w:val="Heading1"/>
      </w:pPr>
      <w:r>
        <w:t xml:space="preserve">Glossário e Siglas</w:t>
      </w:r>
    </w:p>
    <w:p>
      <w:pPr>
        <w:spacing w:after="200" w:before="0"/>
        <w:jc w:val="both"/>
      </w:pPr>
      <w:r>
        <w:rPr>
          <w:b w:val="false"/>
          <w:bCs w:val="false"/>
          <w:i w:val="false"/>
          <w:iCs w:val="false"/>
        </w:rPr>
        <w:t xml:space="preserve">Glossário propositalmente enxuto, proporcional ao escopo real do StepGraph nesta versão do repositório (step/index.html): um painel de fluxos de mobilidade com filtros de persona/horário, sem Assistente, RAG ou modelo estatístico — ver capítulo Ressalvas para a distinção frente ao StepGraph MNO Edition externo.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500"/>
        <w:gridCol w:w="5760"/>
      </w:tblGrid>
      <w:t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5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Definição</w:t>
            </w:r>
          </w:p>
        </w:tc>
      </w:tr>
      <w:t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Interpolação Quadrática de Bézier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4A6A8A"/>
                <w:sz w:val="19"/>
                <w:szCs w:val="19"/>
              </w:rPr>
              <w:t xml:space="preserve">Modelo/Técnica</w:t>
            </w:r>
          </w:p>
        </w:tc>
        <w:tc>
          <w:tcPr>
            <w:tcW w:type="dxa" w:w="5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Técnica usada para curvar as rotas (polylines) do mapa de fluxos entre zonas de origem e destino.</w:t>
            </w:r>
          </w:p>
        </w:tc>
      </w:tr>
      <w:t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IPED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4A6A8A"/>
                <w:sz w:val="19"/>
                <w:szCs w:val="19"/>
              </w:rPr>
              <w:t xml:space="preserve">Sigla</w:t>
            </w:r>
          </w:p>
        </w:tc>
        <w:tc>
          <w:tcPr>
            <w:tcW w:type="dxa" w:w="5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Índice de qualidade fim-a-fim por corredor — citado apenas no card da versão externa StepGraph MNO Edition (stepvis.netlify.app); não implementado em step/index.html, a versão documentada neste repositório.</w:t>
            </w:r>
          </w:p>
        </w:tc>
      </w:tr>
      <w:t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KPI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4A6A8A"/>
                <w:sz w:val="19"/>
                <w:szCs w:val="19"/>
              </w:rPr>
              <w:t xml:space="preserve">Sigla</w:t>
            </w:r>
          </w:p>
        </w:tc>
        <w:tc>
          <w:tcPr>
            <w:tcW w:type="dxa" w:w="5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Key Performance Indicator — os 4 indicadores de topo do painel (deslocamentos no filtro, zona mais concentrada, persona dominante, precisão média de localização).</w:t>
            </w:r>
          </w:p>
        </w:tc>
      </w:tr>
      <w:t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Leaflet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4A6A8A"/>
                <w:sz w:val="19"/>
                <w:szCs w:val="19"/>
              </w:rPr>
              <w:t xml:space="preserve">Tecnologia</w:t>
            </w:r>
          </w:p>
        </w:tc>
        <w:tc>
          <w:tcPr>
            <w:tcW w:type="dxa" w:w="5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Biblioteca JavaScript de mapa interativo (v1.9.4, via CDN); renderiza o mapa de fluxos com tiles CARTO Voyager, usada junto com D3.js.</w:t>
            </w:r>
          </w:p>
        </w:tc>
      </w:tr>
      <w:t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MVNO / MNO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4A6A8A"/>
                <w:sz w:val="19"/>
                <w:szCs w:val="19"/>
              </w:rPr>
              <w:t xml:space="preserve">Sigla</w:t>
            </w:r>
          </w:p>
        </w:tc>
        <w:tc>
          <w:tcPr>
            <w:tcW w:type="dxa" w:w="5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Mobile Virtual Network Operator / Mobile Network Operator — operadoras móveis regionais às quais o StepGraph se destina como MVP de visualização de mobilidade.</w:t>
            </w:r>
          </w:p>
        </w:tc>
      </w:tr>
      <w:t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MVP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4A6A8A"/>
                <w:sz w:val="19"/>
                <w:szCs w:val="19"/>
              </w:rPr>
              <w:t xml:space="preserve">Sigla</w:t>
            </w:r>
          </w:p>
        </w:tc>
        <w:tc>
          <w:tcPr>
            <w:tcW w:type="dxa" w:w="57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Minimum Viable Product — descreve o escopo desta versão do StepGraph presente no repositório, distinta da versão externa StepGraph MNO Edition.</w:t>
            </w:r>
          </w:p>
        </w:tc>
      </w:tr>
    </w:tbl>
    <w:sectPr>
      <w:headerReference w:type="default" r:id="rId9"/>
      <w:footerReference w:type="default" r:id="rId10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A0A0A0" w:sz="4" w:space="4"/>
      </w:pBdr>
    </w:pPr>
  </w:p>
  <w:p>
    <w:pPr>
      <w:tabs>
        <w:tab w:val="right" w:pos="9026"/>
      </w:tabs>
    </w:pPr>
    <w:r>
      <w:rPr>
        <w:i/>
        <w:iCs/>
        <w:color w:val="595959"/>
        <w:sz w:val="20"/>
        <w:szCs w:val="20"/>
      </w:rPr>
      <w:t xml:space="preserve">DOC INTERNO | </w:t>
    </w:r>
    <w:r>
      <w:rPr>
        <w:i/>
        <w:iCs/>
        <w:color w:val="595959"/>
        <w:sz w:val="20"/>
        <w:szCs w:val="20"/>
      </w:rPr>
      <w:t xml:space="preserve">CONFIDENCIAL</w:t>
    </w:r>
    <w:r>
      <w:rPr>
        <w:color w:val="808080"/>
        <w:sz w:val="16"/>
        <w:szCs w:val="16"/>
      </w:rPr>
      <w:t xml:space="preserve">	pag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A0A0A0" w:sz="4" w:space="4"/>
      </w:pBdr>
    </w:pPr>
  </w:p>
  <w:p>
    <w:pPr>
      <w:tabs>
        <w:tab w:val="right" w:pos="9026"/>
      </w:tabs>
    </w:pPr>
    <w:r>
      <w:rPr>
        <w:i/>
        <w:iCs/>
        <w:color w:val="595959"/>
        <w:sz w:val="20"/>
        <w:szCs w:val="20"/>
      </w:rPr>
      <w:t xml:space="preserve">CONFIDENCIAL</w:t>
    </w:r>
    <w:r>
      <w:rPr>
        <w:sz w:val="20"/>
        <w:szCs w:val="20"/>
      </w:rPr>
      <w:t xml:space="preserve">   </w:t>
    </w:r>
    <w:r>
      <w:rPr>
        <w:i/>
        <w:iCs/>
        <w:color w:val="1155CC"/>
        <w:sz w:val="20"/>
        <w:szCs w:val="20"/>
        <w:u w:val="single"/>
      </w:rPr>
      <w:t xml:space="preserve">www.visent.com.br</w:t>
    </w:r>
    <w:r>
      <w:rPr>
        <w:color w:val="808080"/>
        <w:sz w:val="16"/>
        <w:szCs w:val="16"/>
      </w:rPr>
      <w:t xml:space="preserve">	Página </w:t>
    </w:r>
    <w:r>
      <w:rPr>
        <w:b/>
        <w:bCs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de </w:t>
    </w:r>
    <w:r>
      <w:rPr>
        <w:b/>
        <w:bCs/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7200"/>
      <w:gridCol w:w="2160"/>
    </w:tblGrid>
    <w:tr>
      <w:tc>
        <w:tcPr>
          <w:tcW w:type="dxa" w:w="72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100"/>
            <w:left w:type="dxa" w:w="120"/>
            <w:bottom w:type="dxa" w:w="100"/>
            <w:right w:type="dxa" w:w="120"/>
          </w:tcMar>
          <w:vAlign w:val="center"/>
        </w:tcPr>
        <w:p>
          <w:pPr>
            <w:jc w:val="left"/>
          </w:pPr>
          <w:r>
            <w:rPr>
              <w:b w:val="false"/>
              <w:bCs w:val="false"/>
              <w:i/>
              <w:iCs/>
              <w:color w:val="595959"/>
              <w:sz w:val="19"/>
              <w:szCs w:val="19"/>
            </w:rPr>
            <w:t xml:space="preserve">Vísent · Inteligência de dados para Telecom e ISPs</w:t>
          </w:r>
        </w:p>
      </w:tc>
      <w:tc>
        <w:tcPr>
          <w:tcW w:type="dxa" w:w="216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jc w:val="right"/>
          </w:pPr>
          <w:r>
            <w:drawing>
              <wp:inline distT="0" distB="0" distL="0" distR="0">
                <wp:extent cx="952500" cy="4095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52500" cy="4095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7200"/>
      <w:gridCol w:w="2160"/>
    </w:tblGrid>
    <w:tr>
      <w:tc>
        <w:tcPr>
          <w:tcW w:type="dxa" w:w="72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100"/>
            <w:left w:type="dxa" w:w="120"/>
            <w:bottom w:type="dxa" w:w="100"/>
            <w:right w:type="dxa" w:w="120"/>
          </w:tcMar>
          <w:vAlign w:val="center"/>
        </w:tcPr>
        <w:p>
          <w:pPr>
            <w:jc w:val="left"/>
          </w:pPr>
          <w:r>
            <w:rPr>
              <w:b w:val="false"/>
              <w:bCs w:val="false"/>
              <w:i/>
              <w:iCs/>
              <w:color w:val="595959"/>
              <w:sz w:val="19"/>
              <w:szCs w:val="19"/>
            </w:rPr>
            <w:t xml:space="preserve">Vísent · StepGraph — Fluxos de Mobilidade (versão neste repositório)</w:t>
          </w:r>
        </w:p>
      </w:tc>
      <w:tc>
        <w:tcPr>
          <w:tcW w:type="dxa" w:w="216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jc w:val="right"/>
          </w:pPr>
          <w:r>
            <w:drawing>
              <wp:inline distT="0" distB="0" distL="0" distR="0">
                <wp:extent cx="952500" cy="4095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52500" cy="4095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4" w:space="4"/>
      </w:pBdr>
      <w:spacing w:after="200" w:before="360"/>
      <w:outlineLvl w:val="0"/>
    </w:pPr>
    <w:rPr>
      <w:rFonts w:ascii="Arial" w:cs="Arial" w:eastAsia="Arial" w:hAnsi="Arial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1F4E79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35608C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3be74fc48295a32170b5616ddd6fee806f291e2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23be74fc48295a32170b5616ddd6fee806f291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2026-08-02T11:19:06.881Z</dcterms:created>
  <dcterms:modified xsi:type="dcterms:W3CDTF">2026-08-02T11:19:06.881Z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