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Acordo de Interconexão de Voz — PPI-01 · Claro</w:t>
      </w:r>
    </w:p>
    <w:p>
      <w:pPr>
        <w:spacing w:after="120"/>
      </w:pPr>
      <w:r>
        <w:t>Parte: PPI-01 · Claro</w:t>
        <w:br/>
      </w:r>
      <w:r>
        <w:t>Vigência: vigente · desde 2023-04-01</w:t>
        <w:br/>
      </w:r>
    </w:p>
    <w:p>
      <w:pPr>
        <w:pStyle w:val="Heading2"/>
      </w:pPr>
      <w:r>
        <w:t>Condições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 contratado</w:t>
            </w:r>
          </w:p>
        </w:tc>
      </w:tr>
      <w:tr>
        <w:tc>
          <w:tcPr>
            <w:tcW w:type="dxa" w:w="4320"/>
          </w:tcPr>
          <w:p>
            <w:r>
              <w:t>Ocupação Erlang máxima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t>Disponibilidade mínima</w:t>
            </w:r>
          </w:p>
        </w:tc>
        <w:tc>
          <w:tcPr>
            <w:tcW w:type="dxa" w:w="4320"/>
          </w:tcPr>
          <w:p>
            <w:r>
              <w:t>99,5%</w:t>
            </w:r>
          </w:p>
        </w:tc>
      </w:tr>
    </w:tbl>
    <w:p>
      <w:pPr>
        <w:pStyle w:val="Heading2"/>
      </w:pPr>
      <w:r>
        <w:t>Objeto e cláusulas</w:t>
      </w:r>
    </w:p>
    <w:p>
      <w:pPr>
        <w:spacing w:after="200"/>
      </w:pPr>
      <w:r>
        <w:t>Acordo bilateral de interconexão de voz entre a rede do ISP e a rede da Claro via PPI-01, nos termos do Regulamento Geral de Interconexão. Estabelece capacidade contratada em Erlang por rota de DDD, com obrigação de expansão de capacidade quando a ocupação ultrapassar 85% da capacidade planejada por período superior a 2h consecutivas. Disponibilidade mínima contratada de 99,5% mensal. Roteamento alternativo entre PPIs é permitido em caso de sobrecarga, desde que reportado à outra parte em até 24h.</w:t>
      </w:r>
    </w:p>
    <w:p>
      <w:pPr>
        <w:jc w:val="left"/>
      </w:pPr>
      <w:r>
        <w:rPr>
          <w:i/>
          <w:sz w:val="17"/>
        </w:rPr>
        <w:t>Documento sintético gerado para fins de demonstração — ITXView ISP Edition (Vísent OSX Telecomunicações S/A). Não representa um contrato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