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Acordo de Interconexão de Voz — PPI-02 · Vivo</w:t>
      </w:r>
    </w:p>
    <w:p>
      <w:pPr>
        <w:spacing w:after="120"/>
      </w:pPr>
      <w:r>
        <w:t>Parte: PPI-02 · Vivo</w:t>
        <w:br/>
      </w:r>
      <w:r>
        <w:t>Vigência: vigente · desde 2022-11-15</w:t>
        <w:br/>
      </w:r>
    </w:p>
    <w:p>
      <w:pPr>
        <w:pStyle w:val="Heading2"/>
      </w:pPr>
      <w:r>
        <w:t>Condições de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 contratado</w:t>
            </w:r>
          </w:p>
        </w:tc>
      </w:tr>
      <w:tr>
        <w:tc>
          <w:tcPr>
            <w:tcW w:type="dxa" w:w="4320"/>
          </w:tcPr>
          <w:p>
            <w:r>
              <w:t>Ocupação Erlang máxima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t>Disponibilidade mínima</w:t>
            </w:r>
          </w:p>
        </w:tc>
        <w:tc>
          <w:tcPr>
            <w:tcW w:type="dxa" w:w="4320"/>
          </w:tcPr>
          <w:p>
            <w:r>
              <w:t>99,5%</w:t>
            </w:r>
          </w:p>
        </w:tc>
      </w:tr>
    </w:tbl>
    <w:p>
      <w:pPr>
        <w:pStyle w:val="Heading2"/>
      </w:pPr>
      <w:r>
        <w:t>Objeto e cláusulas</w:t>
      </w:r>
    </w:p>
    <w:p>
      <w:pPr>
        <w:spacing w:after="200"/>
      </w:pPr>
      <w:r>
        <w:t>Acordo de interconexão de voz via PPI-02 com a Vivo, com condições equivalentes às demais operadoras integradas: capacidade contratada por rota de DDD, limite operacional de 85% de ocupação Erlang, disponibilidade mínima de 99,5%. Cláusula de simetria de tráfego de entrada e saída conforme Regulamento Geral de Interconexão vigente.</w:t>
      </w:r>
    </w:p>
    <w:p>
      <w:pPr>
        <w:jc w:val="left"/>
      </w:pPr>
      <w:r>
        <w:rPr>
          <w:i/>
          <w:sz w:val="17"/>
        </w:rPr>
        <w:t>Documento sintético gerado para fins de demonstração — ITXView ISP Edition (Vísent OSX Telecomunicações S/A). Não representa um contrato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