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Interconexão de Voz — PPI-03 · Embratel</w:t>
      </w:r>
    </w:p>
    <w:p>
      <w:pPr>
        <w:spacing w:after="120"/>
      </w:pPr>
      <w:r>
        <w:t>Parte: PPI-03 · Embratel</w:t>
        <w:br/>
      </w:r>
      <w:r>
        <w:t>Vigência: vigente · desde 2021-06-01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Ocupação Erlang máxima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99,0%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interconexão de voz via PPI-03 com a Embratel, com limite operacional de 80% de ocupação Erlang (mais conservador que os demais acordos vigentes) e disponibilidade mínima de 99,0%. Inclui cláusula de qualidade de enriquecimento de CDR (mismatch de código nacional/CN) com prazo de correção de 48h após notificação formal.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