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Acordo de Interconexão de Voz — PPI-04 · TIM</w:t>
      </w:r>
    </w:p>
    <w:p>
      <w:pPr>
        <w:spacing w:after="120"/>
      </w:pPr>
      <w:r>
        <w:t>Parte: PPI-04 · TIM</w:t>
        <w:br/>
      </w:r>
      <w:r>
        <w:t>Vigência: vigente · desde 2024-01-10</w:t>
        <w:br/>
      </w:r>
    </w:p>
    <w:p>
      <w:pPr>
        <w:pStyle w:val="Heading2"/>
      </w:pPr>
      <w:r>
        <w:t>Condições de SLA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Parâmetro</w:t>
            </w:r>
          </w:p>
        </w:tc>
        <w:tc>
          <w:tcPr>
            <w:tcW w:type="dxa" w:w="4320"/>
          </w:tcPr>
          <w:p>
            <w:r>
              <w:t>Valor contratado</w:t>
            </w:r>
          </w:p>
        </w:tc>
      </w:tr>
      <w:tr>
        <w:tc>
          <w:tcPr>
            <w:tcW w:type="dxa" w:w="4320"/>
          </w:tcPr>
          <w:p>
            <w:r>
              <w:t>Ocupação Erlang máxima</w:t>
            </w:r>
          </w:p>
        </w:tc>
        <w:tc>
          <w:tcPr>
            <w:tcW w:type="dxa" w:w="4320"/>
          </w:tcPr>
          <w:p>
            <w:r>
              <w:t>90%</w:t>
            </w:r>
          </w:p>
        </w:tc>
      </w:tr>
      <w:tr>
        <w:tc>
          <w:tcPr>
            <w:tcW w:type="dxa" w:w="4320"/>
          </w:tcPr>
          <w:p>
            <w:r>
              <w:t>Disponibilidade mínima</w:t>
            </w:r>
          </w:p>
        </w:tc>
        <w:tc>
          <w:tcPr>
            <w:tcW w:type="dxa" w:w="4320"/>
          </w:tcPr>
          <w:p>
            <w:r>
              <w:t>99,5%</w:t>
            </w:r>
          </w:p>
        </w:tc>
      </w:tr>
    </w:tbl>
    <w:p>
      <w:pPr>
        <w:pStyle w:val="Heading2"/>
      </w:pPr>
      <w:r>
        <w:t>Objeto e cláusulas</w:t>
      </w:r>
    </w:p>
    <w:p>
      <w:pPr>
        <w:spacing w:after="200"/>
      </w:pPr>
      <w:r>
        <w:t>Acordo de interconexão de voz via PPI-04 com a TIM. Limite operacional de 90% de ocupação Erlang antes de caracterizar sobrecarga contratual — o mais permissivo entre os quatro PPIs vigentes. Disponibilidade mínima de 99,5%. Cláusula de contingência prevê rota alternativa obrigatória para DDDs com rota única quando a ocupação ultrapassar o limite por mais de 3h consecutivas.</w:t>
      </w:r>
    </w:p>
    <w:p>
      <w:pPr>
        <w:jc w:val="left"/>
      </w:pPr>
      <w:r>
        <w:rPr>
          <w:i/>
          <w:sz w:val="17"/>
        </w:rPr>
        <w:t>Documento sintético gerado para fins de demonstração — ITXView ISP Edition (Vísent OSX Telecomunicações S/A). Não representa um contrato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