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Acordo de Trânsito IP — Upstream Claro NET</w:t>
      </w:r>
    </w:p>
    <w:p>
      <w:pPr>
        <w:spacing w:after="120"/>
      </w:pPr>
      <w:r>
        <w:t>Parte: Upstream Claro NET</w:t>
        <w:br/>
      </w:r>
      <w:r>
        <w:t>Vigência: vigente · desde 2023-02-01</w:t>
        <w:br/>
      </w:r>
    </w:p>
    <w:p>
      <w:pPr>
        <w:pStyle w:val="Heading2"/>
      </w:pPr>
      <w:r>
        <w:t>Condições de SLA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Parâmetro</w:t>
            </w:r>
          </w:p>
        </w:tc>
        <w:tc>
          <w:tcPr>
            <w:tcW w:type="dxa" w:w="4320"/>
          </w:tcPr>
          <w:p>
            <w:r>
              <w:t>Valor contratado</w:t>
            </w:r>
          </w:p>
        </w:tc>
      </w:tr>
      <w:tr>
        <w:tc>
          <w:tcPr>
            <w:tcW w:type="dxa" w:w="4320"/>
          </w:tcPr>
          <w:p>
            <w:r>
              <w:t>Disponibilidade mínima</w:t>
            </w:r>
          </w:p>
        </w:tc>
        <w:tc>
          <w:tcPr>
            <w:tcW w:type="dxa" w:w="4320"/>
          </w:tcPr>
          <w:p>
            <w:r>
              <w:t>99,9%</w:t>
            </w:r>
          </w:p>
        </w:tc>
      </w:tr>
      <w:tr>
        <w:tc>
          <w:tcPr>
            <w:tcW w:type="dxa" w:w="4320"/>
          </w:tcPr>
          <w:p>
            <w:r>
              <w:t>Latência máxima</w:t>
            </w:r>
          </w:p>
        </w:tc>
        <w:tc>
          <w:tcPr>
            <w:tcW w:type="dxa" w:w="4320"/>
          </w:tcPr>
          <w:p>
            <w:r>
              <w:t>25ms</w:t>
            </w:r>
          </w:p>
        </w:tc>
      </w:tr>
      <w:tr>
        <w:tc>
          <w:tcPr>
            <w:tcW w:type="dxa" w:w="4320"/>
          </w:tcPr>
          <w:p>
            <w:r>
              <w:t>Capacidade contratada</w:t>
            </w:r>
          </w:p>
        </w:tc>
        <w:tc>
          <w:tcPr>
            <w:tcW w:type="dxa" w:w="4320"/>
          </w:tcPr>
          <w:p>
            <w:r>
              <w:t>10 Gbps</w:t>
            </w:r>
          </w:p>
        </w:tc>
      </w:tr>
    </w:tbl>
    <w:p>
      <w:pPr>
        <w:pStyle w:val="Heading2"/>
      </w:pPr>
      <w:r>
        <w:t>Objeto e cláusulas</w:t>
      </w:r>
    </w:p>
    <w:p>
      <w:pPr>
        <w:spacing w:after="200"/>
      </w:pPr>
      <w:r>
        <w:t>Contrato de trânsito IP full-route com a Claro NET, capacidade contratada de 10 Gbps, disponibilidade mínima de 99,9% e latência máxima de 25ms para destinos nacionais. Cláusula de saturação: acima de 85% de utilização média em janela de 1h, o ISP deve notificar a Claro NET com 30 dias de antecedência para negociar upgrade de capacidade; acima de 95%, a operadora não garante SLA de latência.</w:t>
      </w:r>
    </w:p>
    <w:p>
      <w:pPr>
        <w:jc w:val="left"/>
      </w:pPr>
      <w:r>
        <w:rPr>
          <w:i/>
          <w:sz w:val="17"/>
        </w:rPr>
        <w:t>Documento sintético gerado para fins de demonstração — ITXView ISP Edition (Vísent OSX Telecomunicações S/A). Não representa um contrato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