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Acordo de Trânsito IP — Upstream Algar</w:t>
      </w:r>
    </w:p>
    <w:p>
      <w:pPr>
        <w:spacing w:after="120"/>
      </w:pPr>
      <w:r>
        <w:t>Parte: Upstream Algar</w:t>
        <w:br/>
      </w:r>
      <w:r>
        <w:t>Vigência: vigente · desde 2022-08-15</w:t>
        <w:br/>
      </w:r>
    </w:p>
    <w:p>
      <w:pPr>
        <w:pStyle w:val="Heading2"/>
      </w:pPr>
      <w:r>
        <w:t>Condições de SLA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Parâmetro</w:t>
            </w:r>
          </w:p>
        </w:tc>
        <w:tc>
          <w:tcPr>
            <w:tcW w:type="dxa" w:w="4320"/>
          </w:tcPr>
          <w:p>
            <w:r>
              <w:t>Valor contratado</w:t>
            </w:r>
          </w:p>
        </w:tc>
      </w:tr>
      <w:tr>
        <w:tc>
          <w:tcPr>
            <w:tcW w:type="dxa" w:w="4320"/>
          </w:tcPr>
          <w:p>
            <w:r>
              <w:t>Disponibilidade mínima</w:t>
            </w:r>
          </w:p>
        </w:tc>
        <w:tc>
          <w:tcPr>
            <w:tcW w:type="dxa" w:w="4320"/>
          </w:tcPr>
          <w:p>
            <w:r>
              <w:t>99,5%</w:t>
            </w:r>
          </w:p>
        </w:tc>
      </w:tr>
      <w:tr>
        <w:tc>
          <w:tcPr>
            <w:tcW w:type="dxa" w:w="4320"/>
          </w:tcPr>
          <w:p>
            <w:r>
              <w:t>Latência máxima</w:t>
            </w:r>
          </w:p>
        </w:tc>
        <w:tc>
          <w:tcPr>
            <w:tcW w:type="dxa" w:w="4320"/>
          </w:tcPr>
          <w:p>
            <w:r>
              <w:t>30ms</w:t>
            </w:r>
          </w:p>
        </w:tc>
      </w:tr>
      <w:tr>
        <w:tc>
          <w:tcPr>
            <w:tcW w:type="dxa" w:w="4320"/>
          </w:tcPr>
          <w:p>
            <w:r>
              <w:t>Capacidade contratada</w:t>
            </w:r>
          </w:p>
        </w:tc>
        <w:tc>
          <w:tcPr>
            <w:tcW w:type="dxa" w:w="4320"/>
          </w:tcPr>
          <w:p>
            <w:r>
              <w:t>5 Gbps</w:t>
            </w:r>
          </w:p>
        </w:tc>
      </w:tr>
    </w:tbl>
    <w:p>
      <w:pPr>
        <w:pStyle w:val="Heading2"/>
      </w:pPr>
      <w:r>
        <w:t>Objeto e cláusulas</w:t>
      </w:r>
    </w:p>
    <w:p>
      <w:pPr>
        <w:spacing w:after="200"/>
      </w:pPr>
      <w:r>
        <w:t>Contrato de trânsito IP com a Algar, capacidade contratada de 5 Gbps, disponibilidade mínima de 99,5%. Cláusula de estabilidade de sessão BGP: mais de 2 flaps de sessão em janela de 24h caracteriza não conformidade e dá direito a crédito proporcional na fatura do mês. Cláusula de congestionamento de porta IX prevê expansão obrigatória em até 15 dias úteis após notificação de saturação sustentada.</w:t>
      </w:r>
    </w:p>
    <w:p>
      <w:pPr>
        <w:jc w:val="left"/>
      </w:pPr>
      <w:r>
        <w:rPr>
          <w:i/>
          <w:sz w:val="17"/>
        </w:rPr>
        <w:t>Documento sintético gerado para fins de demonstração — ITXView ISP Edition (Vísent OSX Telecomunicações S/A). Não representa um contrato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