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Peering — AS65000 × Peer Google</w:t>
      </w:r>
    </w:p>
    <w:p>
      <w:pPr>
        <w:spacing w:after="120"/>
      </w:pPr>
      <w:r>
        <w:t>Parte: Peer Google</w:t>
        <w:br/>
      </w:r>
      <w:r>
        <w:t>Vigência: vigente · desde 2020-05-01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99,9%</w:t>
            </w:r>
          </w:p>
        </w:tc>
      </w:tr>
      <w:tr>
        <w:tc>
          <w:tcPr>
            <w:tcW w:type="dxa" w:w="4320"/>
          </w:tcPr>
          <w:p>
            <w:r>
              <w:t>Latência-alvo</w:t>
            </w:r>
          </w:p>
        </w:tc>
        <w:tc>
          <w:tcPr>
            <w:tcW w:type="dxa" w:w="4320"/>
          </w:tcPr>
          <w:p>
            <w:r>
              <w:t>15ms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peering settlement-free bilateral entre AS65000 e a rede do Google, sem custo de tráfego entre as partes, sujeito a critério de proporcionalidade de tráfego (ratio máximo 3:1 entre as direções). Latência-alvo de 15ms para tráfego de cache/CDN. Não cobre tráfego de trânsito de terceiros — apenas tráfego originado ou destinado às redes diretamente conectadas ao acordo.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