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Peering — AS65000 × Peer Cloudflare</w:t>
      </w:r>
    </w:p>
    <w:p>
      <w:pPr>
        <w:spacing w:after="120"/>
      </w:pPr>
      <w:r>
        <w:t>Parte: Peer Cloudflare</w:t>
        <w:br/>
      </w:r>
      <w:r>
        <w:t>Vigência: vigente · desde 2021-09-20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99,9%</w:t>
            </w:r>
          </w:p>
        </w:tc>
      </w:tr>
      <w:tr>
        <w:tc>
          <w:tcPr>
            <w:tcW w:type="dxa" w:w="4320"/>
          </w:tcPr>
          <w:p>
            <w:r>
              <w:t>Latência-alvo</w:t>
            </w:r>
          </w:p>
        </w:tc>
        <w:tc>
          <w:tcPr>
            <w:tcW w:type="dxa" w:w="4320"/>
          </w:tcPr>
          <w:p>
            <w:r>
              <w:t>10ms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peering settlement-free com a Cloudflare, com cláusula de segurança de roteamento: ambas as partes se comprometem a manter RPKI (Resource Public Key Infrastructure) válido para os prefixos anunciados via esta sessão. Anúncio de prefixo com RPKI inválido ou mudança abrupta de AS-path sem aviso prévio caracteriza violação do acordo e autoriza suspensão temporária da sessão pela parte afetada até resolução.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