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Acordo de Peering — AS65000 × Peer Netflix OCA</w:t>
      </w:r>
    </w:p>
    <w:p>
      <w:pPr>
        <w:spacing w:after="120"/>
      </w:pPr>
      <w:r>
        <w:t>Parte: Peer Netflix OCA</w:t>
        <w:br/>
      </w:r>
      <w:r>
        <w:t>Vigência: vigente · desde 2022-03-01</w:t>
        <w:br/>
      </w:r>
    </w:p>
    <w:p>
      <w:pPr>
        <w:pStyle w:val="Heading2"/>
      </w:pPr>
      <w:r>
        <w:t>Condições de SLA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Parâmetro</w:t>
            </w:r>
          </w:p>
        </w:tc>
        <w:tc>
          <w:tcPr>
            <w:tcW w:type="dxa" w:w="4320"/>
          </w:tcPr>
          <w:p>
            <w:r>
              <w:t>Valor contratado</w:t>
            </w:r>
          </w:p>
        </w:tc>
      </w:tr>
      <w:tr>
        <w:tc>
          <w:tcPr>
            <w:tcW w:type="dxa" w:w="4320"/>
          </w:tcPr>
          <w:p>
            <w:r>
              <w:t>Disponibilidade mínima</w:t>
            </w:r>
          </w:p>
        </w:tc>
        <w:tc>
          <w:tcPr>
            <w:tcW w:type="dxa" w:w="4320"/>
          </w:tcPr>
          <w:p>
            <w:r>
              <w:t>99,9%</w:t>
            </w:r>
          </w:p>
        </w:tc>
      </w:tr>
      <w:tr>
        <w:tc>
          <w:tcPr>
            <w:tcW w:type="dxa" w:w="4320"/>
          </w:tcPr>
          <w:p>
            <w:r>
              <w:t>Latência-alvo</w:t>
            </w:r>
          </w:p>
        </w:tc>
        <w:tc>
          <w:tcPr>
            <w:tcW w:type="dxa" w:w="4320"/>
          </w:tcPr>
          <w:p>
            <w:r>
              <w:t>10ms</w:t>
            </w:r>
          </w:p>
        </w:tc>
      </w:tr>
    </w:tbl>
    <w:p>
      <w:pPr>
        <w:pStyle w:val="Heading2"/>
      </w:pPr>
      <w:r>
        <w:t>Objeto e cláusulas</w:t>
      </w:r>
    </w:p>
    <w:p>
      <w:pPr>
        <w:spacing w:after="200"/>
      </w:pPr>
      <w:r>
        <w:t>Acordo de peering com cache local Netflix OCA hospedado na rede do ISP. Sem custo de tráfego entre as partes; o ISP arca com energia e rack do equipamento OCA. Cláusula de dimensionamento: a Netflix pode solicitar upgrade do OCA quando o tráfego médio ultrapassar 80% da capacidade da interface por 7 dias consecutivos.</w:t>
      </w:r>
    </w:p>
    <w:p>
      <w:pPr>
        <w:jc w:val="left"/>
      </w:pPr>
      <w:r>
        <w:rPr>
          <w:i/>
          <w:sz w:val="17"/>
        </w:rPr>
        <w:t>Documento sintético gerado para fins de demonstração — ITXView ISP Edition (Vísent OSX Telecomunicações S/A). Não representa um contrato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