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Peering — AS65000 × Peer ISP Regional A</w:t>
      </w:r>
    </w:p>
    <w:p>
      <w:pPr>
        <w:spacing w:after="120"/>
      </w:pPr>
      <w:r>
        <w:t>Parte: Peer ISP Regional A</w:t>
        <w:br/>
      </w:r>
      <w:r>
        <w:t>Vigência: vigente · desde 2025-06-01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99,0%</w:t>
            </w:r>
          </w:p>
        </w:tc>
      </w:tr>
      <w:tr>
        <w:tc>
          <w:tcPr>
            <w:tcW w:type="dxa" w:w="4320"/>
          </w:tcPr>
          <w:p>
            <w:r>
              <w:t>Latência-alvo</w:t>
            </w:r>
          </w:p>
        </w:tc>
        <w:tc>
          <w:tcPr>
            <w:tcW w:type="dxa" w:w="4320"/>
          </w:tcPr>
          <w:p>
            <w:r>
              <w:t>20ms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Acordo de peering settlement-free regional, viabilizando troca direta de tráfego para prefixos concentrados na região Sudeste sem passar por trânsito pago. Latência-alvo de 20ms. Cláusula de reciprocidade: ambas as partes podem anunciar rotas mais específicas para prefixos próprios sem necessidade de novo acordo, desde que dentro do escopo geográfico já definido em anexo técnico.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