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0DB567">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“Ўзмиллийбанк” АЖда </w:t>
      </w:r>
      <w:r>
        <w:rPr>
          <w:rFonts w:hint="default" w:ascii="Times New Roman" w:hAnsi="Times New Roman" w:eastAsia="SimSun" w:cs="Times New Roman"/>
          <w:sz w:val="24"/>
          <w:szCs w:val="24"/>
        </w:rPr>
        <w:t>{period}</w:t>
      </w:r>
      <w:r>
        <w:rPr>
          <w:rFonts w:ascii="Times New Roman" w:hAnsi="Times New Roman" w:cs="Times New Roman"/>
          <w:b/>
          <w:bCs/>
          <w:sz w:val="24"/>
          <w:szCs w:val="24"/>
        </w:rPr>
        <w:t xml:space="preserve"> якунлари бўйича </w:t>
      </w:r>
    </w:p>
    <w:p w14:paraId="0B3F1536">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манфаатлар тўқнашувини бошқариш ҳолати ҳамда ушбу йўналишда </w:t>
      </w:r>
    </w:p>
    <w:p w14:paraId="7B59C736">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амалга оширилган ишлар натижалари тўғрисида </w:t>
      </w:r>
    </w:p>
    <w:p w14:paraId="2CDEAD17">
      <w:pPr>
        <w:spacing w:after="0" w:line="240" w:lineRule="auto"/>
        <w:jc w:val="center"/>
        <w:rPr>
          <w:rFonts w:ascii="Times New Roman" w:hAnsi="Times New Roman" w:cs="Times New Roman"/>
          <w:b/>
          <w:bCs/>
          <w:sz w:val="8"/>
          <w:szCs w:val="8"/>
        </w:rPr>
      </w:pPr>
    </w:p>
    <w:p w14:paraId="304F5D4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ҲИСОБОТ</w:t>
      </w:r>
    </w:p>
    <w:p w14:paraId="1A7ADE60">
      <w:pPr>
        <w:spacing w:after="0" w:line="240" w:lineRule="auto"/>
        <w:jc w:val="center"/>
        <w:rPr>
          <w:rFonts w:ascii="Times New Roman" w:hAnsi="Times New Roman" w:cs="Times New Roman"/>
          <w:b/>
          <w:bCs/>
          <w:sz w:val="12"/>
          <w:szCs w:val="12"/>
          <w:lang w:eastAsia="ru-RU"/>
        </w:rPr>
      </w:pPr>
    </w:p>
    <w:p w14:paraId="082B5DB1">
      <w:pPr>
        <w:pStyle w:val="4"/>
        <w:spacing w:before="0" w:line="240" w:lineRule="auto"/>
        <w:jc w:val="center"/>
        <w:rPr>
          <w:rFonts w:ascii="Times New Roman" w:hAnsi="Times New Roman" w:cs="Times New Roman"/>
          <w:b/>
          <w:bCs/>
          <w:sz w:val="26"/>
          <w:szCs w:val="26"/>
        </w:rPr>
      </w:pPr>
      <w:r>
        <w:rPr>
          <w:rFonts w:ascii="Times New Roman" w:hAnsi="Times New Roman" w:cs="Times New Roman"/>
          <w:b/>
          <w:bCs/>
          <w:color w:val="0070C0"/>
          <w:sz w:val="26"/>
          <w:szCs w:val="26"/>
          <w:lang w:val="uz-Latn-UZ"/>
        </w:rPr>
        <w:t>I</w:t>
      </w:r>
      <w:r>
        <w:rPr>
          <w:rFonts w:ascii="Times New Roman" w:hAnsi="Times New Roman" w:cs="Times New Roman"/>
          <w:b/>
          <w:bCs/>
          <w:color w:val="0070C0"/>
          <w:sz w:val="26"/>
          <w:szCs w:val="26"/>
        </w:rPr>
        <w:t>. Умумий маълумот</w:t>
      </w:r>
    </w:p>
    <w:p w14:paraId="59BA67AF">
      <w:pPr>
        <w:pStyle w:val="42"/>
        <w:spacing w:before="0" w:beforeAutospacing="0" w:after="0" w:afterAutospacing="0"/>
        <w:ind w:firstLine="567"/>
        <w:jc w:val="both"/>
        <w:rPr>
          <w:sz w:val="8"/>
          <w:szCs w:val="8"/>
        </w:rPr>
      </w:pPr>
    </w:p>
    <w:p w14:paraId="49638148">
      <w:pPr>
        <w:pStyle w:val="42"/>
        <w:spacing w:before="0" w:beforeAutospacing="0" w:after="0" w:afterAutospacing="0" w:line="276" w:lineRule="auto"/>
        <w:ind w:firstLine="567"/>
        <w:jc w:val="both"/>
        <w:rPr>
          <w:sz w:val="26"/>
          <w:szCs w:val="26"/>
        </w:rPr>
      </w:pPr>
      <w:r>
        <w:rPr>
          <w:sz w:val="26"/>
          <w:szCs w:val="26"/>
        </w:rPr>
        <w:t xml:space="preserve">Ҳисобот даврида “Ўзмиллийбанк” АЖда манфаатлар тўқнашувини аниқлаш, олдини олиш ва тартибга солиш соҳасидаги ишлар Ўзбекистон Республикасининг </w:t>
      </w:r>
      <w:r>
        <w:rPr>
          <w:b/>
          <w:bCs/>
          <w:sz w:val="26"/>
          <w:szCs w:val="26"/>
        </w:rPr>
        <w:t>“Манфаатлар тўқнашуви тўғрисида”</w:t>
      </w:r>
      <w:r>
        <w:rPr>
          <w:sz w:val="26"/>
          <w:szCs w:val="26"/>
        </w:rPr>
        <w:t xml:space="preserve">ги Қонуни, коррупцияга қарши курашиш соҳасидаги бошқа норматив-ҳуқуқий ҳужжатлар ҳамда Банкнинг ички </w:t>
      </w:r>
      <w:r>
        <w:rPr>
          <w:sz w:val="26"/>
          <w:szCs w:val="26"/>
          <w:lang w:val="uz-Cyrl-UZ"/>
        </w:rPr>
        <w:t>қоида</w:t>
      </w:r>
      <w:r>
        <w:rPr>
          <w:sz w:val="26"/>
          <w:szCs w:val="26"/>
        </w:rPr>
        <w:t>лари талабларига мувофиқ тизимли равишда амалга оширилди.</w:t>
      </w:r>
    </w:p>
    <w:p w14:paraId="2E784656">
      <w:pPr>
        <w:pStyle w:val="42"/>
        <w:spacing w:before="0" w:beforeAutospacing="0" w:after="0" w:afterAutospacing="0" w:line="276" w:lineRule="auto"/>
        <w:ind w:firstLine="567"/>
        <w:jc w:val="both"/>
        <w:rPr>
          <w:sz w:val="26"/>
          <w:szCs w:val="26"/>
        </w:rPr>
      </w:pPr>
      <w:r>
        <w:rPr>
          <w:sz w:val="26"/>
          <w:szCs w:val="26"/>
          <w:lang w:val="uz-Cyrl-UZ"/>
        </w:rPr>
        <w:t>А</w:t>
      </w:r>
      <w:r>
        <w:rPr>
          <w:sz w:val="26"/>
          <w:szCs w:val="26"/>
        </w:rPr>
        <w:t>сосий эътибор манфаатлар тўқнашувини келтириб чиқариши мумкин бўлган хавф ва омилларни барвақт аниқлаш, уларнинг олдини олиш ва бартараф этиш, манфаатлар тўқнашувини декларациялаш тизимини такомиллаштириш, ходимлар томонидан қонунчилик ҳамда ички норматив ҳужжатлар талабларига риоя этиш маданиятини юксалтириш, шунингдек мазкур йўналишдаги ички назорат механизмларининг самарадорлигини оширишга қаратилди.</w:t>
      </w:r>
    </w:p>
    <w:p w14:paraId="2AA171A2">
      <w:pPr>
        <w:pStyle w:val="42"/>
        <w:spacing w:before="0" w:beforeAutospacing="0" w:after="0" w:afterAutospacing="0"/>
        <w:ind w:firstLine="708"/>
        <w:jc w:val="both"/>
      </w:pPr>
    </w:p>
    <w:p w14:paraId="614CCAC1">
      <w:pPr>
        <w:pStyle w:val="3"/>
        <w:spacing w:before="0" w:line="240" w:lineRule="auto"/>
        <w:jc w:val="center"/>
        <w:rPr>
          <w:rFonts w:ascii="Times New Roman" w:hAnsi="Times New Roman" w:cs="Times New Roman"/>
          <w:b/>
          <w:bCs/>
          <w:color w:val="0070C0"/>
        </w:rPr>
      </w:pPr>
      <w:r>
        <w:rPr>
          <w:rFonts w:ascii="Times New Roman" w:hAnsi="Times New Roman" w:cs="Times New Roman"/>
          <w:b/>
          <w:bCs/>
          <w:color w:val="0070C0"/>
          <w:lang w:val="uz-Latn-UZ"/>
        </w:rPr>
        <w:t>II</w:t>
      </w:r>
      <w:r>
        <w:rPr>
          <w:rFonts w:ascii="Times New Roman" w:hAnsi="Times New Roman" w:cs="Times New Roman"/>
          <w:b/>
          <w:bCs/>
          <w:color w:val="0070C0"/>
        </w:rPr>
        <w:t>. Норматив-ҳуқуқий базани такомиллаштириш</w:t>
      </w:r>
    </w:p>
    <w:p w14:paraId="47DF7025">
      <w:pPr>
        <w:pStyle w:val="42"/>
        <w:spacing w:before="0" w:beforeAutospacing="0" w:after="0" w:afterAutospacing="0"/>
        <w:ind w:firstLine="708"/>
        <w:jc w:val="both"/>
        <w:rPr>
          <w:sz w:val="8"/>
          <w:szCs w:val="8"/>
        </w:rPr>
      </w:pPr>
    </w:p>
    <w:p w14:paraId="51B72D14">
      <w:pPr>
        <w:pStyle w:val="42"/>
        <w:spacing w:before="0" w:beforeAutospacing="0" w:after="0" w:afterAutospacing="0" w:line="276" w:lineRule="auto"/>
        <w:ind w:firstLine="709"/>
        <w:jc w:val="both"/>
        <w:rPr>
          <w:sz w:val="26"/>
          <w:szCs w:val="26"/>
        </w:rPr>
      </w:pPr>
      <w:r>
        <w:rPr>
          <w:sz w:val="26"/>
          <w:szCs w:val="26"/>
        </w:rPr>
        <w:t>“Манфаатлар тўқнашуви тўғрисида”ги Қонун талабларини Банк фаолиятига тўлиқ имплементация қилиш мақсадида Банкнинг манфаатлар тўқнашувини бошқариш ва коррупцияга қарши курашиш соҳасидаги ички норматив ҳужжатлари комплекс равишда қайта кўриб чиқилди ҳамда қонунчилик талабларига мувофиқлаштирилди.</w:t>
      </w:r>
    </w:p>
    <w:p w14:paraId="7B493792">
      <w:pPr>
        <w:pStyle w:val="42"/>
        <w:spacing w:before="0" w:beforeAutospacing="0" w:after="0" w:afterAutospacing="0" w:line="276" w:lineRule="auto"/>
        <w:ind w:firstLine="709"/>
        <w:jc w:val="both"/>
        <w:rPr>
          <w:sz w:val="26"/>
          <w:szCs w:val="26"/>
        </w:rPr>
      </w:pPr>
      <w:r>
        <w:rPr>
          <w:sz w:val="26"/>
          <w:szCs w:val="26"/>
        </w:rPr>
        <w:t>Жумладан:</w:t>
      </w:r>
    </w:p>
    <w:p w14:paraId="42E5DE0A">
      <w:pPr>
        <w:pStyle w:val="42"/>
        <w:spacing w:before="0" w:beforeAutospacing="0" w:after="0" w:afterAutospacing="0" w:line="276" w:lineRule="auto"/>
        <w:ind w:firstLine="709"/>
        <w:jc w:val="both"/>
        <w:rPr>
          <w:sz w:val="26"/>
          <w:szCs w:val="26"/>
        </w:rPr>
      </w:pPr>
      <w:r>
        <w:rPr>
          <w:sz w:val="26"/>
          <w:szCs w:val="26"/>
        </w:rPr>
        <w:t>“Манфаатлар тўқнашуви билан боғлиқ муносабатларни тартибга солиш сиёсати” (2026 йил 30 июнь, 163в/35-сон);</w:t>
      </w:r>
    </w:p>
    <w:p w14:paraId="0784052C">
      <w:pPr>
        <w:pStyle w:val="42"/>
        <w:spacing w:before="0" w:beforeAutospacing="0" w:after="0" w:afterAutospacing="0" w:line="276" w:lineRule="auto"/>
        <w:ind w:firstLine="709"/>
        <w:jc w:val="both"/>
        <w:rPr>
          <w:sz w:val="26"/>
          <w:szCs w:val="26"/>
        </w:rPr>
      </w:pPr>
      <w:r>
        <w:rPr>
          <w:sz w:val="26"/>
          <w:szCs w:val="26"/>
        </w:rPr>
        <w:t>“Коррупцияга қарши курашиш сиёсати” (2026 йил 30 июнь, 162в/35-сон) янги таҳрирда тасдиқланди.</w:t>
      </w:r>
    </w:p>
    <w:p w14:paraId="6EC70CCC">
      <w:pPr>
        <w:pStyle w:val="42"/>
        <w:spacing w:before="0" w:beforeAutospacing="0" w:after="0" w:afterAutospacing="0" w:line="276" w:lineRule="auto"/>
        <w:ind w:firstLine="709"/>
        <w:jc w:val="both"/>
        <w:rPr>
          <w:sz w:val="26"/>
          <w:szCs w:val="26"/>
        </w:rPr>
      </w:pPr>
      <w:r>
        <w:rPr>
          <w:sz w:val="26"/>
          <w:szCs w:val="26"/>
        </w:rPr>
        <w:t>Мазкур чора-тадбирлар натижасида Банкда манфаатлар тўқнашувини аниқлаш, олдини олиш, ошкор этиш ва тартибга солишга қаратилган ягона ҳуқуқий ва ташкилий механизм шакллантирилиб, унинг амалиётда самарали қўлланилиши таъминланди.</w:t>
      </w:r>
    </w:p>
    <w:p w14:paraId="269FF9D7">
      <w:pPr>
        <w:pStyle w:val="42"/>
        <w:spacing w:before="0" w:beforeAutospacing="0" w:after="0" w:afterAutospacing="0"/>
        <w:ind w:firstLine="708"/>
        <w:jc w:val="both"/>
      </w:pPr>
    </w:p>
    <w:p w14:paraId="4C362525">
      <w:pPr>
        <w:pStyle w:val="3"/>
        <w:spacing w:before="0" w:line="240" w:lineRule="auto"/>
        <w:jc w:val="center"/>
        <w:rPr>
          <w:rFonts w:ascii="Times New Roman" w:hAnsi="Times New Roman" w:cs="Times New Roman"/>
          <w:b/>
          <w:bCs/>
          <w:color w:val="0070C0"/>
        </w:rPr>
      </w:pPr>
      <w:bookmarkStart w:id="0" w:name="_Hlk234397429"/>
      <w:r>
        <w:rPr>
          <w:rFonts w:ascii="Times New Roman" w:hAnsi="Times New Roman" w:cs="Times New Roman"/>
          <w:b/>
          <w:bCs/>
          <w:color w:val="0070C0"/>
          <w:lang w:val="uz-Latn-UZ"/>
        </w:rPr>
        <w:t>III</w:t>
      </w:r>
      <w:r>
        <w:rPr>
          <w:rFonts w:ascii="Times New Roman" w:hAnsi="Times New Roman" w:cs="Times New Roman"/>
          <w:b/>
          <w:bCs/>
          <w:color w:val="0070C0"/>
        </w:rPr>
        <w:t>. Декларациялаш натижалари ва хавфлар таҳлили</w:t>
      </w:r>
    </w:p>
    <w:p w14:paraId="133A7BED">
      <w:pPr>
        <w:pStyle w:val="42"/>
        <w:spacing w:before="0" w:beforeAutospacing="0" w:after="0" w:afterAutospacing="0"/>
        <w:ind w:firstLine="708"/>
        <w:jc w:val="both"/>
        <w:rPr>
          <w:sz w:val="8"/>
          <w:szCs w:val="8"/>
        </w:rPr>
      </w:pPr>
    </w:p>
    <w:p w14:paraId="543BD2AF">
      <w:pPr>
        <w:pStyle w:val="42"/>
        <w:spacing w:before="0" w:beforeAutospacing="0" w:after="0" w:afterAutospacing="0"/>
        <w:ind w:firstLine="708"/>
        <w:jc w:val="both"/>
        <w:rPr>
          <w:sz w:val="26"/>
          <w:szCs w:val="26"/>
          <w:lang w:val="uz-Cyrl-UZ"/>
        </w:rPr>
      </w:pPr>
      <w:r>
        <w:rPr>
          <w:sz w:val="26"/>
          <w:szCs w:val="26"/>
        </w:rPr>
        <w:t>Ҳисобот даврида манфаатлар тўқнашуви тўғрисидаги йиллик декларацияларни тўлдириш бўйича кенг кўламли ишлар амалга оширилди</w:t>
      </w:r>
      <w:r>
        <w:rPr>
          <w:sz w:val="26"/>
          <w:szCs w:val="26"/>
          <w:lang w:val="uz-Cyrl-UZ"/>
        </w:rPr>
        <w:t>, жумладан:</w:t>
      </w:r>
    </w:p>
    <w:p w14:paraId="313C480A">
      <w:pPr>
        <w:pStyle w:val="42"/>
        <w:spacing w:before="0" w:beforeAutospacing="0" w:after="0" w:afterAutospacing="0"/>
        <w:ind w:firstLine="708"/>
        <w:jc w:val="both"/>
        <w:rPr>
          <w:sz w:val="8"/>
          <w:szCs w:val="8"/>
        </w:rPr>
      </w:pPr>
    </w:p>
    <w:tbl>
      <w:tblPr>
        <w:tblStyle w:val="39"/>
        <w:tblW w:w="95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1"/>
        <w:gridCol w:w="2602"/>
      </w:tblGrid>
      <w:tr w14:paraId="19C9A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941" w:type="dxa"/>
            <w:vAlign w:val="center"/>
          </w:tcPr>
          <w:p w14:paraId="160E600A">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Кўрсаткич</w:t>
            </w:r>
          </w:p>
        </w:tc>
        <w:tc>
          <w:tcPr>
            <w:tcW w:w="2602" w:type="dxa"/>
            <w:vAlign w:val="center"/>
          </w:tcPr>
          <w:p w14:paraId="408718A7">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Сони</w:t>
            </w:r>
          </w:p>
        </w:tc>
      </w:tr>
      <w:tr w14:paraId="2349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6941" w:type="dxa"/>
            <w:vAlign w:val="center"/>
          </w:tcPr>
          <w:p w14:paraId="673CD5C4">
            <w:pPr>
              <w:spacing w:after="0" w:line="240" w:lineRule="auto"/>
              <w:jc w:val="both"/>
              <w:rPr>
                <w:rFonts w:ascii="Times New Roman" w:hAnsi="Times New Roman" w:cs="Times New Roman"/>
                <w:sz w:val="26"/>
                <w:szCs w:val="26"/>
              </w:rPr>
            </w:pPr>
            <w:r>
              <w:rPr>
                <w:rFonts w:ascii="Times New Roman" w:hAnsi="Times New Roman" w:cs="Times New Roman"/>
                <w:sz w:val="26"/>
                <w:szCs w:val="26"/>
              </w:rPr>
              <w:t>Жами штат бирликлари</w:t>
            </w:r>
          </w:p>
        </w:tc>
        <w:tc>
          <w:tcPr>
            <w:tcW w:w="2602" w:type="dxa"/>
            <w:vAlign w:val="center"/>
          </w:tcPr>
          <w:p w14:paraId="23E1AA27">
            <w:pPr>
              <w:spacing w:after="0" w:line="240" w:lineRule="auto"/>
              <w:jc w:val="center"/>
              <w:rPr>
                <w:rFonts w:ascii="Times New Roman" w:hAnsi="Times New Roman" w:cs="Times New Roman"/>
                <w:sz w:val="26"/>
                <w:szCs w:val="26"/>
              </w:rPr>
            </w:pPr>
            <w:r>
              <w:rPr>
                <w:rFonts w:hint="default" w:ascii="Times New Roman" w:hAnsi="Times New Roman" w:eastAsia="SimSun" w:cs="Times New Roman"/>
                <w:sz w:val="24"/>
                <w:szCs w:val="24"/>
              </w:rPr>
              <w:t>{total}</w:t>
            </w:r>
          </w:p>
        </w:tc>
      </w:tr>
      <w:tr w14:paraId="10725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6941" w:type="dxa"/>
            <w:vAlign w:val="center"/>
          </w:tcPr>
          <w:p w14:paraId="53088D01">
            <w:pPr>
              <w:spacing w:after="0" w:line="240" w:lineRule="auto"/>
              <w:jc w:val="both"/>
              <w:rPr>
                <w:rFonts w:ascii="Times New Roman" w:hAnsi="Times New Roman" w:cs="Times New Roman"/>
                <w:sz w:val="26"/>
                <w:szCs w:val="26"/>
              </w:rPr>
            </w:pPr>
            <w:r>
              <w:rPr>
                <w:rFonts w:ascii="Times New Roman" w:hAnsi="Times New Roman" w:cs="Times New Roman"/>
                <w:sz w:val="26"/>
                <w:szCs w:val="26"/>
              </w:rPr>
              <w:t>Декларация топширган ходимлар</w:t>
            </w:r>
          </w:p>
        </w:tc>
        <w:tc>
          <w:tcPr>
            <w:tcW w:w="2602" w:type="dxa"/>
            <w:vAlign w:val="center"/>
          </w:tcPr>
          <w:p w14:paraId="0A16316A">
            <w:pPr>
              <w:spacing w:after="0" w:line="240" w:lineRule="auto"/>
              <w:jc w:val="center"/>
              <w:rPr>
                <w:rFonts w:ascii="Times New Roman" w:hAnsi="Times New Roman" w:cs="Times New Roman"/>
                <w:sz w:val="26"/>
                <w:szCs w:val="26"/>
              </w:rPr>
            </w:pPr>
            <w:r>
              <w:rPr>
                <w:rFonts w:hint="default" w:ascii="Times New Roman" w:hAnsi="Times New Roman" w:eastAsia="SimSun" w:cs="Times New Roman"/>
                <w:sz w:val="24"/>
                <w:szCs w:val="24"/>
              </w:rPr>
              <w:t>{submitted}</w:t>
            </w:r>
          </w:p>
        </w:tc>
      </w:tr>
      <w:tr w14:paraId="3CA5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7" w:hRule="atLeast"/>
        </w:trPr>
        <w:tc>
          <w:tcPr>
            <w:tcW w:w="6941" w:type="dxa"/>
            <w:vAlign w:val="center"/>
          </w:tcPr>
          <w:p w14:paraId="7A0BA5B1">
            <w:pPr>
              <w:spacing w:after="0" w:line="240" w:lineRule="auto"/>
              <w:jc w:val="both"/>
              <w:rPr>
                <w:rFonts w:ascii="Times New Roman" w:hAnsi="Times New Roman" w:cs="Times New Roman"/>
                <w:sz w:val="26"/>
                <w:szCs w:val="26"/>
              </w:rPr>
            </w:pPr>
            <w:r>
              <w:rPr>
                <w:rFonts w:ascii="Times New Roman" w:hAnsi="Times New Roman" w:cs="Times New Roman"/>
                <w:sz w:val="26"/>
                <w:szCs w:val="26"/>
              </w:rPr>
              <w:t>Бола парвариши таътили, ўқиш ва бошқа узрли сабаблар кўра топширмаганлар</w:t>
            </w:r>
          </w:p>
          <w:p w14:paraId="0EB3D614">
            <w:pPr>
              <w:spacing w:after="0" w:line="240" w:lineRule="auto"/>
              <w:jc w:val="both"/>
              <w:rPr>
                <w:rFonts w:ascii="Times New Roman" w:hAnsi="Times New Roman" w:cs="Times New Roman"/>
                <w:sz w:val="4"/>
                <w:szCs w:val="4"/>
                <w:lang w:val="uz-Cyrl-UZ"/>
              </w:rPr>
            </w:pPr>
          </w:p>
        </w:tc>
        <w:tc>
          <w:tcPr>
            <w:tcW w:w="2602" w:type="dxa"/>
            <w:vAlign w:val="center"/>
          </w:tcPr>
          <w:p w14:paraId="24286488">
            <w:pPr>
              <w:spacing w:after="0" w:line="240" w:lineRule="auto"/>
              <w:jc w:val="center"/>
              <w:rPr>
                <w:rFonts w:ascii="Times New Roman" w:hAnsi="Times New Roman" w:cs="Times New Roman"/>
                <w:sz w:val="26"/>
                <w:szCs w:val="26"/>
              </w:rPr>
            </w:pPr>
            <w:r>
              <w:rPr>
                <w:rFonts w:hint="default" w:ascii="Times New Roman" w:hAnsi="Times New Roman" w:eastAsia="SimSun" w:cs="Times New Roman"/>
                <w:sz w:val="24"/>
                <w:szCs w:val="24"/>
              </w:rPr>
              <w:t>{excused}</w:t>
            </w:r>
          </w:p>
        </w:tc>
      </w:tr>
    </w:tbl>
    <w:p w14:paraId="6F68CAEA">
      <w:pPr>
        <w:pStyle w:val="42"/>
        <w:spacing w:before="0" w:beforeAutospacing="0" w:after="0" w:afterAutospacing="0"/>
        <w:ind w:firstLine="4008" w:firstLineChars="1670"/>
        <w:jc w:val="both"/>
        <w:rPr>
          <w:rFonts w:hint="default" w:ascii="Times New Roman" w:hAnsi="Times New Roman" w:eastAsia="SimSun" w:cs="Times New Roman"/>
          <w:sz w:val="24"/>
          <w:szCs w:val="24"/>
        </w:rPr>
      </w:pPr>
    </w:p>
    <w:p w14:paraId="65700252">
      <w:pPr>
        <w:pStyle w:val="42"/>
        <w:spacing w:before="0" w:beforeAutospacing="0" w:after="0" w:afterAutospacing="0"/>
        <w:ind w:firstLine="4008" w:firstLineChars="167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{%pieChart}</w:t>
      </w:r>
    </w:p>
    <w:p w14:paraId="19B2492E">
      <w:pPr>
        <w:pStyle w:val="42"/>
        <w:spacing w:before="0" w:beforeAutospacing="0" w:after="0" w:afterAutospacing="0"/>
        <w:ind w:firstLine="4008" w:firstLineChars="1670"/>
        <w:jc w:val="both"/>
        <w:rPr>
          <w:rFonts w:ascii="SimSun" w:hAnsi="SimSun" w:eastAsia="SimSun" w:cs="SimSun"/>
          <w:sz w:val="24"/>
          <w:szCs w:val="24"/>
        </w:rPr>
      </w:pPr>
    </w:p>
    <w:p w14:paraId="5BCF9CFF">
      <w:pPr>
        <w:spacing w:after="0"/>
        <w:ind w:firstLine="567"/>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Манфаатлар тўқнашуви тўғрисидаги декларациялар таҳлили натижаларига кўра қуйидаги ҳолатлар аниқланди:</w:t>
      </w:r>
    </w:p>
    <w:p w14:paraId="14DAF8A0">
      <w:pPr>
        <w:spacing w:after="0"/>
        <w:ind w:firstLine="567"/>
        <w:jc w:val="both"/>
        <w:rPr>
          <w:rFonts w:ascii="Times New Roman" w:hAnsi="Times New Roman" w:eastAsia="Times New Roman" w:cs="Times New Roman"/>
          <w:sz w:val="26"/>
          <w:szCs w:val="26"/>
          <w:lang w:eastAsia="ru-RU"/>
        </w:rPr>
      </w:pPr>
    </w:p>
    <w:p w14:paraId="35D553DB">
      <w:pPr>
        <w:spacing w:after="0"/>
        <w:ind w:firstLine="3924" w:firstLineChars="1635"/>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{%barChart}</w:t>
      </w:r>
    </w:p>
    <w:p w14:paraId="2268F8E9">
      <w:pPr>
        <w:spacing w:after="0"/>
        <w:ind w:firstLine="3377" w:firstLineChars="0"/>
        <w:jc w:val="both"/>
        <w:rPr>
          <w:rFonts w:ascii="SimSun" w:hAnsi="SimSun" w:eastAsia="SimSun" w:cs="SimSun"/>
          <w:sz w:val="24"/>
          <w:szCs w:val="24"/>
          <w:lang w:eastAsia="ru-RU"/>
        </w:rPr>
      </w:pPr>
    </w:p>
    <w:p w14:paraId="46C6CA7D">
      <w:pPr>
        <w:pStyle w:val="22"/>
        <w:numPr>
          <w:ilvl w:val="0"/>
          <w:numId w:val="1"/>
        </w:numPr>
        <w:tabs>
          <w:tab w:val="left" w:pos="851"/>
        </w:tabs>
        <w:spacing w:after="0"/>
        <w:ind w:left="0" w:firstLine="567"/>
        <w:jc w:val="both"/>
        <w:rPr>
          <w:rFonts w:ascii="Times New Roman" w:hAnsi="Times New Roman" w:eastAsia="Times New Roman" w:cs="Times New Roman"/>
          <w:sz w:val="26"/>
          <w:szCs w:val="26"/>
          <w:lang w:eastAsia="ru-RU"/>
        </w:rPr>
      </w:pPr>
      <w:r>
        <w:rPr>
          <w:rFonts w:hint="default" w:ascii="Times New Roman" w:hAnsi="Times New Roman" w:eastAsia="SimSun" w:cs="Times New Roman"/>
          <w:sz w:val="24"/>
          <w:szCs w:val="24"/>
        </w:rPr>
        <w:t>{relatives}</w:t>
      </w:r>
      <w:r>
        <w:rPr>
          <w:rFonts w:ascii="Times New Roman" w:hAnsi="Times New Roman" w:eastAsia="Times New Roman" w:cs="Times New Roman"/>
          <w:sz w:val="26"/>
          <w:szCs w:val="26"/>
          <w:lang w:eastAsia="ru-RU"/>
        </w:rPr>
        <w:t xml:space="preserve"> нафар ходимнинг Банк тизимида меҳнат фаолиятини амалга ошираётган яқин қариндошлари мавжудлиги;</w:t>
      </w:r>
    </w:p>
    <w:p w14:paraId="5352EDCF">
      <w:pPr>
        <w:pStyle w:val="22"/>
        <w:numPr>
          <w:ilvl w:val="0"/>
          <w:numId w:val="1"/>
        </w:numPr>
        <w:tabs>
          <w:tab w:val="left" w:pos="851"/>
        </w:tabs>
        <w:spacing w:after="0"/>
        <w:ind w:left="0" w:firstLine="567"/>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мазкур ҳолатларни ўрганиш натижасида </w:t>
      </w:r>
      <w:r>
        <w:rPr>
          <w:rFonts w:ascii="SimSun" w:hAnsi="SimSun" w:eastAsia="SimSun" w:cs="SimSun"/>
          <w:sz w:val="24"/>
          <w:szCs w:val="24"/>
        </w:rPr>
        <w:t>{subordination}</w:t>
      </w:r>
      <w:r>
        <w:rPr>
          <w:rFonts w:ascii="Times New Roman" w:hAnsi="Times New Roman" w:eastAsia="Times New Roman" w:cs="Times New Roman"/>
          <w:sz w:val="26"/>
          <w:szCs w:val="26"/>
          <w:lang w:eastAsia="ru-RU"/>
        </w:rPr>
        <w:t xml:space="preserve"> та ҳолатда ходимлар ўртасида бевосита бўйсунув муносабатлари мавжудлиги аниқланиб, улар мавжуд манфаатлар тўқнашуви сифатида баҳоланди ҳамда Одоб-ахлоқ комиссиясининг қарори асосида белгиланган тартибда бартараф этилди;</w:t>
      </w:r>
    </w:p>
    <w:p w14:paraId="2F79F438">
      <w:pPr>
        <w:pStyle w:val="22"/>
        <w:numPr>
          <w:ilvl w:val="0"/>
          <w:numId w:val="1"/>
        </w:numPr>
        <w:tabs>
          <w:tab w:val="left" w:pos="851"/>
        </w:tabs>
        <w:spacing w:after="0"/>
        <w:ind w:left="0" w:firstLine="567"/>
        <w:jc w:val="both"/>
        <w:rPr>
          <w:rFonts w:ascii="Times New Roman" w:hAnsi="Times New Roman" w:eastAsia="Times New Roman" w:cs="Times New Roman"/>
          <w:sz w:val="26"/>
          <w:szCs w:val="26"/>
          <w:lang w:eastAsia="ru-RU"/>
        </w:rPr>
      </w:pPr>
      <w:r>
        <w:rPr>
          <w:rFonts w:hint="default" w:ascii="Times New Roman" w:hAnsi="Times New Roman" w:eastAsia="SimSun" w:cs="Times New Roman"/>
          <w:sz w:val="24"/>
          <w:szCs w:val="24"/>
        </w:rPr>
        <w:t>{shares}</w:t>
      </w:r>
      <w:r>
        <w:rPr>
          <w:rFonts w:ascii="Times New Roman" w:hAnsi="Times New Roman" w:eastAsia="Times New Roman" w:cs="Times New Roman"/>
          <w:sz w:val="26"/>
          <w:szCs w:val="26"/>
          <w:lang w:eastAsia="ru-RU"/>
        </w:rPr>
        <w:t xml:space="preserve"> нафар ходимнинг юридик шахслар устав фондида улуш ёки акцияларга эгалиги ёхуд уларнинг бошқарув органлари таркибида иштирок этиши мавжудлиги;</w:t>
      </w:r>
    </w:p>
    <w:p w14:paraId="749ACFE6">
      <w:pPr>
        <w:pStyle w:val="22"/>
        <w:numPr>
          <w:ilvl w:val="0"/>
          <w:numId w:val="1"/>
        </w:numPr>
        <w:tabs>
          <w:tab w:val="left" w:pos="851"/>
        </w:tabs>
        <w:spacing w:after="0"/>
        <w:ind w:left="0" w:firstLine="567"/>
        <w:jc w:val="both"/>
        <w:rPr>
          <w:rFonts w:ascii="Times New Roman" w:hAnsi="Times New Roman" w:eastAsia="Times New Roman" w:cs="Times New Roman"/>
          <w:sz w:val="26"/>
          <w:szCs w:val="26"/>
          <w:lang w:eastAsia="ru-RU"/>
        </w:rPr>
      </w:pPr>
      <w:r>
        <w:rPr>
          <w:rFonts w:hint="default" w:ascii="Times New Roman" w:hAnsi="Times New Roman" w:eastAsia="SimSun" w:cs="Times New Roman"/>
          <w:sz w:val="24"/>
          <w:szCs w:val="24"/>
        </w:rPr>
        <w:t>{relativeShares}</w:t>
      </w:r>
      <w:r>
        <w:rPr>
          <w:rFonts w:ascii="Times New Roman" w:hAnsi="Times New Roman" w:eastAsia="Times New Roman" w:cs="Times New Roman"/>
          <w:sz w:val="26"/>
          <w:szCs w:val="26"/>
          <w:lang w:eastAsia="ru-RU"/>
        </w:rPr>
        <w:t xml:space="preserve"> нафар ходимнинг яқин қариндошлари тадбиркорлик субъектларининг устав капиталида иштирок этиши ёки уларнинг бошқарув органлари таркибига кириши аниқланди.</w:t>
      </w:r>
    </w:p>
    <w:p w14:paraId="305A1700">
      <w:pPr>
        <w:spacing w:after="0" w:line="240" w:lineRule="auto"/>
        <w:jc w:val="both"/>
        <w:rPr>
          <w:rFonts w:ascii="Times New Roman" w:hAnsi="Times New Roman" w:cs="Times New Roman"/>
          <w:sz w:val="24"/>
          <w:szCs w:val="24"/>
        </w:rPr>
      </w:pPr>
    </w:p>
    <w:bookmarkEnd w:id="0"/>
    <w:p w14:paraId="7D5427EC">
      <w:pPr>
        <w:spacing w:after="0" w:line="240" w:lineRule="auto"/>
        <w:jc w:val="center"/>
        <w:rPr>
          <w:rFonts w:ascii="Times New Roman" w:hAnsi="Times New Roman" w:cs="Times New Roman"/>
          <w:b/>
          <w:bCs/>
          <w:color w:val="0070C0"/>
          <w:sz w:val="26"/>
          <w:szCs w:val="26"/>
          <w:lang w:val="uz-Cyrl-UZ"/>
        </w:rPr>
      </w:pPr>
      <w:r>
        <w:rPr>
          <w:rFonts w:ascii="Times New Roman" w:hAnsi="Times New Roman" w:cs="Times New Roman"/>
          <w:b/>
          <w:bCs/>
          <w:color w:val="0070C0"/>
          <w:sz w:val="26"/>
          <w:szCs w:val="26"/>
          <w:lang w:val="uz-Latn-UZ"/>
        </w:rPr>
        <w:t>IV</w:t>
      </w:r>
      <w:r>
        <w:rPr>
          <w:rFonts w:ascii="Times New Roman" w:hAnsi="Times New Roman" w:cs="Times New Roman"/>
          <w:b/>
          <w:bCs/>
          <w:color w:val="0070C0"/>
          <w:sz w:val="26"/>
          <w:szCs w:val="26"/>
        </w:rPr>
        <w:t>. Профилактик</w:t>
      </w:r>
      <w:r>
        <w:rPr>
          <w:rFonts w:ascii="Times New Roman" w:hAnsi="Times New Roman" w:cs="Times New Roman"/>
          <w:b/>
          <w:bCs/>
          <w:color w:val="0070C0"/>
          <w:sz w:val="26"/>
          <w:szCs w:val="26"/>
          <w:lang w:val="uz-Cyrl-UZ"/>
        </w:rPr>
        <w:t xml:space="preserve"> чора-тадбирлар</w:t>
      </w:r>
    </w:p>
    <w:p w14:paraId="3F5B2085">
      <w:pPr>
        <w:spacing w:after="0" w:line="240" w:lineRule="auto"/>
        <w:jc w:val="center"/>
        <w:rPr>
          <w:rFonts w:ascii="Times New Roman" w:hAnsi="Times New Roman" w:cs="Times New Roman"/>
          <w:b/>
          <w:bCs/>
          <w:color w:val="0070C0"/>
          <w:sz w:val="8"/>
          <w:szCs w:val="8"/>
          <w:lang w:val="uz-Cyrl-UZ"/>
        </w:rPr>
      </w:pPr>
    </w:p>
    <w:p w14:paraId="0DE91603">
      <w:pPr>
        <w:spacing w:after="0"/>
        <w:ind w:firstLine="567"/>
        <w:jc w:val="both"/>
        <w:rPr>
          <w:rFonts w:ascii="Times New Roman" w:hAnsi="Times New Roman" w:cs="Times New Roman" w:eastAsiaTheme="majorEastAsia"/>
          <w:color w:val="376092" w:themeColor="accent1" w:themeShade="BF"/>
          <w:sz w:val="26"/>
          <w:szCs w:val="26"/>
          <w:lang w:val="uz-Cyrl-UZ"/>
        </w:rPr>
      </w:pPr>
      <w:r>
        <w:rPr>
          <w:rFonts w:ascii="Times New Roman" w:hAnsi="Times New Roman" w:cs="Times New Roman"/>
          <w:sz w:val="26"/>
          <w:szCs w:val="26"/>
          <w:lang w:val="uz-Cyrl-UZ"/>
        </w:rPr>
        <w:t>Ҳисобот даврида манфаатлар тўқнашувининг олдини олиш ва унинг юзага келиш эҳтимолини камайтиришга қаратилган қуйидаги профилактик чора-тадбирлар амалга оширилди:</w:t>
      </w:r>
    </w:p>
    <w:p w14:paraId="41FE2F6E">
      <w:pPr>
        <w:pStyle w:val="22"/>
        <w:numPr>
          <w:ilvl w:val="0"/>
          <w:numId w:val="2"/>
        </w:numPr>
        <w:tabs>
          <w:tab w:val="left" w:pos="851"/>
        </w:tabs>
        <w:spacing w:after="0"/>
        <w:ind w:left="0" w:firstLine="567"/>
        <w:jc w:val="both"/>
        <w:rPr>
          <w:rFonts w:ascii="Times New Roman" w:hAnsi="Times New Roman" w:cs="Times New Roman"/>
          <w:sz w:val="26"/>
          <w:szCs w:val="26"/>
          <w:lang w:val="uz-Cyrl-UZ"/>
        </w:rPr>
      </w:pPr>
      <w:r>
        <w:rPr>
          <w:rFonts w:ascii="Times New Roman" w:hAnsi="Times New Roman" w:cs="Times New Roman"/>
          <w:sz w:val="26"/>
          <w:szCs w:val="26"/>
          <w:lang w:val="uz-Cyrl-UZ"/>
        </w:rPr>
        <w:t>ишга қабул қилинаётган номзодлар томонидан манфаатлар тўқнашуви тўғрисидаги декларацияларни тўлдириш ва уларда келтирилган маълумотларни белгиланган тартибда кўриб чиқиш;</w:t>
      </w:r>
    </w:p>
    <w:p w14:paraId="4F6E6D98">
      <w:pPr>
        <w:pStyle w:val="22"/>
        <w:numPr>
          <w:ilvl w:val="0"/>
          <w:numId w:val="2"/>
        </w:numPr>
        <w:tabs>
          <w:tab w:val="left" w:pos="851"/>
        </w:tabs>
        <w:spacing w:after="0"/>
        <w:ind w:left="0" w:firstLine="567"/>
        <w:jc w:val="both"/>
        <w:rPr>
          <w:rFonts w:ascii="Times New Roman" w:hAnsi="Times New Roman" w:cs="Times New Roman"/>
          <w:sz w:val="26"/>
          <w:szCs w:val="26"/>
          <w:lang w:val="uz-Cyrl-UZ"/>
        </w:rPr>
      </w:pPr>
      <w:r>
        <w:rPr>
          <w:rFonts w:ascii="Times New Roman" w:hAnsi="Times New Roman" w:cs="Times New Roman"/>
          <w:sz w:val="26"/>
          <w:szCs w:val="26"/>
          <w:lang w:val="uz-Cyrl-UZ"/>
        </w:rPr>
        <w:t>ходимларни лавозимга тайинлаш, бошқа лавозимга ўтказиш ҳамда ротация қилиш жараёнларида манфаатлар тўқнашуви мавжудлиги ёки юзага келиши эҳтимолини баҳолаш;</w:t>
      </w:r>
    </w:p>
    <w:p w14:paraId="5A6F49DE">
      <w:pPr>
        <w:pStyle w:val="22"/>
        <w:numPr>
          <w:ilvl w:val="0"/>
          <w:numId w:val="2"/>
        </w:numPr>
        <w:tabs>
          <w:tab w:val="left" w:pos="851"/>
        </w:tabs>
        <w:spacing w:after="0"/>
        <w:ind w:left="0" w:firstLine="567"/>
        <w:jc w:val="both"/>
        <w:rPr>
          <w:rFonts w:ascii="Times New Roman" w:hAnsi="Times New Roman" w:cs="Times New Roman"/>
          <w:sz w:val="26"/>
          <w:szCs w:val="26"/>
          <w:lang w:val="uz-Cyrl-UZ"/>
        </w:rPr>
      </w:pPr>
      <w:r>
        <w:rPr>
          <w:rFonts w:ascii="Times New Roman" w:hAnsi="Times New Roman" w:cs="Times New Roman"/>
          <w:sz w:val="26"/>
          <w:szCs w:val="26"/>
          <w:lang w:val="uz-Cyrl-UZ"/>
        </w:rPr>
        <w:t>Банкнинг барча ходимларини коррупцияга қарши курашиш ва манфаатлар тўқнашувини бошқариш соҳасидаги ички норматив ҳужжатлар мазмун-моҳияти билан таништириш ҳамда улар томонидан мазкур талабларга риоя этилишини таъминлаш.</w:t>
      </w:r>
    </w:p>
    <w:p w14:paraId="7A71A7D4">
      <w:pPr>
        <w:spacing w:after="0"/>
        <w:ind w:firstLine="567"/>
        <w:jc w:val="both"/>
        <w:rPr>
          <w:rFonts w:ascii="Times New Roman" w:hAnsi="Times New Roman" w:cs="Times New Roman"/>
          <w:sz w:val="26"/>
          <w:szCs w:val="26"/>
          <w:lang w:val="uz-Cyrl-UZ"/>
        </w:rPr>
      </w:pPr>
      <w:r>
        <w:rPr>
          <w:rFonts w:ascii="Times New Roman" w:hAnsi="Times New Roman" w:cs="Times New Roman"/>
          <w:sz w:val="26"/>
          <w:szCs w:val="26"/>
          <w:lang w:val="uz-Cyrl-UZ"/>
        </w:rPr>
        <w:t>Амалга оширилган профилактик чора-тадбирлар манфаатлар тўқнашувини барвақт аниқлаш, баҳолаш, олдини олиш ва самарали тартибга солиш механизмларининг самарадорлигини оширишга хизмат қилди.</w:t>
      </w:r>
    </w:p>
    <w:p w14:paraId="2CFCC4F5">
      <w:pPr>
        <w:spacing w:after="0"/>
        <w:ind w:firstLine="567"/>
        <w:jc w:val="both"/>
        <w:rPr>
          <w:rFonts w:ascii="Times New Roman" w:hAnsi="Times New Roman" w:cs="Times New Roman"/>
          <w:sz w:val="26"/>
          <w:szCs w:val="26"/>
          <w:lang w:val="uz-Cyrl-UZ"/>
        </w:rPr>
      </w:pPr>
    </w:p>
    <w:p w14:paraId="77B9F778">
      <w:pPr>
        <w:spacing w:after="0" w:line="240" w:lineRule="auto"/>
        <w:jc w:val="center"/>
        <w:rPr>
          <w:rFonts w:ascii="Times New Roman" w:hAnsi="Times New Roman" w:cs="Times New Roman"/>
          <w:b/>
          <w:bCs/>
          <w:color w:val="0070C0"/>
          <w:sz w:val="26"/>
          <w:szCs w:val="26"/>
          <w:lang w:val="uz-Cyrl-UZ"/>
        </w:rPr>
      </w:pPr>
      <w:r>
        <w:rPr>
          <w:rFonts w:ascii="Times New Roman" w:hAnsi="Times New Roman" w:cs="Times New Roman"/>
          <w:b/>
          <w:bCs/>
          <w:color w:val="0070C0"/>
          <w:sz w:val="26"/>
          <w:szCs w:val="26"/>
          <w:lang w:val="uz-Latn-UZ"/>
        </w:rPr>
        <w:t>V</w:t>
      </w:r>
      <w:r>
        <w:rPr>
          <w:rFonts w:ascii="Times New Roman" w:hAnsi="Times New Roman" w:cs="Times New Roman"/>
          <w:b/>
          <w:bCs/>
          <w:color w:val="0070C0"/>
          <w:sz w:val="26"/>
          <w:szCs w:val="26"/>
          <w:lang w:val="uz-Cyrl-UZ"/>
        </w:rPr>
        <w:t>. Ўқув ва мониторинг ишлари</w:t>
      </w:r>
    </w:p>
    <w:p w14:paraId="0672FBFF">
      <w:pPr>
        <w:spacing w:after="0" w:line="240" w:lineRule="auto"/>
        <w:jc w:val="center"/>
        <w:rPr>
          <w:rFonts w:ascii="Times New Roman" w:hAnsi="Times New Roman" w:cs="Times New Roman"/>
          <w:b/>
          <w:bCs/>
          <w:color w:val="0070C0"/>
          <w:sz w:val="8"/>
          <w:szCs w:val="8"/>
          <w:lang w:val="uz-Cyrl-UZ"/>
        </w:rPr>
      </w:pPr>
    </w:p>
    <w:p w14:paraId="71D8EE00">
      <w:pPr>
        <w:spacing w:after="0" w:line="240" w:lineRule="auto"/>
        <w:ind w:firstLine="567"/>
        <w:jc w:val="both"/>
        <w:rPr>
          <w:rFonts w:ascii="Times New Roman" w:hAnsi="Times New Roman" w:cs="Times New Roman"/>
          <w:sz w:val="26"/>
          <w:szCs w:val="26"/>
          <w:lang w:val="uz-Cyrl-UZ"/>
        </w:rPr>
      </w:pPr>
      <w:r>
        <w:rPr>
          <w:rFonts w:ascii="Times New Roman" w:hAnsi="Times New Roman" w:cs="Times New Roman"/>
          <w:sz w:val="26"/>
          <w:szCs w:val="26"/>
          <w:lang w:val="uz-Cyrl-UZ"/>
        </w:rPr>
        <w:t>Ҳисобот даврида Коррупцияни олдини олиш бошқармаси томонидан манфаатлар тўқнашувининг олдини олиш ҳамда коррупцияга қарши курашиш соҳасида ходимларнинг ҳуқуқий онги ва ҳуқуқий маданиятини юксалтиришга қаратилган кенг қамровли тушунтириш ва профилактик тадбирлар амалга оширилди.</w:t>
      </w:r>
    </w:p>
    <w:p w14:paraId="2A2F6DBD">
      <w:pPr>
        <w:spacing w:after="0" w:line="240" w:lineRule="auto"/>
        <w:ind w:firstLine="567"/>
        <w:jc w:val="both"/>
        <w:rPr>
          <w:rFonts w:ascii="Times New Roman" w:hAnsi="Times New Roman" w:cs="Times New Roman"/>
          <w:sz w:val="26"/>
          <w:szCs w:val="26"/>
        </w:rPr>
      </w:pPr>
      <w:r>
        <w:rPr>
          <w:rFonts w:ascii="Times New Roman" w:hAnsi="Times New Roman" w:cs="Times New Roman"/>
          <w:sz w:val="26"/>
          <w:szCs w:val="26"/>
        </w:rPr>
        <w:t>Хусусан, САП таълим платформаси орқали:</w:t>
      </w:r>
    </w:p>
    <w:p w14:paraId="7891A953">
      <w:pPr>
        <w:pStyle w:val="22"/>
        <w:numPr>
          <w:ilvl w:val="0"/>
          <w:numId w:val="2"/>
        </w:numPr>
        <w:tabs>
          <w:tab w:val="left" w:pos="851"/>
        </w:tabs>
        <w:spacing w:after="0" w:line="240" w:lineRule="auto"/>
        <w:ind w:left="0" w:firstLine="567"/>
        <w:jc w:val="both"/>
        <w:rPr>
          <w:rFonts w:ascii="Times New Roman" w:hAnsi="Times New Roman" w:cs="Times New Roman"/>
          <w:sz w:val="26"/>
          <w:szCs w:val="26"/>
        </w:rPr>
      </w:pPr>
      <w:r>
        <w:rPr>
          <w:rFonts w:ascii="Times New Roman" w:hAnsi="Times New Roman" w:cs="Times New Roman"/>
          <w:sz w:val="26"/>
          <w:szCs w:val="26"/>
        </w:rPr>
        <w:t>“Коррупцияга қарши курашиш давлат сиёсати”;</w:t>
      </w:r>
    </w:p>
    <w:p w14:paraId="0719C1CD">
      <w:pPr>
        <w:pStyle w:val="22"/>
        <w:numPr>
          <w:ilvl w:val="0"/>
          <w:numId w:val="2"/>
        </w:numPr>
        <w:tabs>
          <w:tab w:val="left" w:pos="851"/>
        </w:tabs>
        <w:spacing w:after="0" w:line="240" w:lineRule="auto"/>
        <w:ind w:left="0" w:firstLine="567"/>
        <w:jc w:val="both"/>
        <w:rPr>
          <w:rFonts w:ascii="Times New Roman" w:hAnsi="Times New Roman" w:cs="Times New Roman"/>
          <w:sz w:val="26"/>
          <w:szCs w:val="26"/>
        </w:rPr>
      </w:pPr>
      <w:r>
        <w:rPr>
          <w:rFonts w:ascii="Times New Roman" w:hAnsi="Times New Roman" w:cs="Times New Roman"/>
          <w:sz w:val="26"/>
          <w:szCs w:val="26"/>
        </w:rPr>
        <w:t>“Манфаатлар тўқнашуви тўғрисида”ги Қонун;</w:t>
      </w:r>
    </w:p>
    <w:p w14:paraId="022C97A3">
      <w:pPr>
        <w:pStyle w:val="22"/>
        <w:numPr>
          <w:ilvl w:val="0"/>
          <w:numId w:val="2"/>
        </w:numPr>
        <w:tabs>
          <w:tab w:val="left" w:pos="851"/>
        </w:tabs>
        <w:spacing w:after="0" w:line="240" w:lineRule="auto"/>
        <w:ind w:left="0" w:firstLine="567"/>
        <w:jc w:val="both"/>
        <w:rPr>
          <w:rFonts w:ascii="Times New Roman" w:hAnsi="Times New Roman" w:cs="Times New Roman"/>
          <w:sz w:val="26"/>
          <w:szCs w:val="26"/>
        </w:rPr>
      </w:pPr>
      <w:r>
        <w:rPr>
          <w:rFonts w:ascii="Times New Roman" w:hAnsi="Times New Roman" w:cs="Times New Roman"/>
          <w:sz w:val="26"/>
          <w:szCs w:val="26"/>
        </w:rPr>
        <w:t xml:space="preserve">“Коррупция учун жавобгарлик” мавзулари бўйича масофавий ўқув машғулотлари ташкил этилди ҳамда уларга жами </w:t>
      </w:r>
      <w:r>
        <w:rPr>
          <w:rFonts w:hint="default" w:ascii="Times New Roman" w:hAnsi="Times New Roman" w:eastAsia="SimSun" w:cs="Times New Roman"/>
          <w:b/>
          <w:bCs/>
          <w:color w:val="17375E" w:themeColor="text2" w:themeShade="BF"/>
          <w:sz w:val="24"/>
          <w:szCs w:val="24"/>
        </w:rPr>
        <w:t>{total}</w:t>
      </w:r>
      <w:r>
        <w:rPr>
          <w:rFonts w:ascii="Times New Roman" w:hAnsi="Times New Roman" w:cs="Times New Roman"/>
          <w:color w:val="1F497D" w:themeColor="text2"/>
          <w:sz w:val="26"/>
          <w:szCs w:val="26"/>
          <w14:textFill>
            <w14:solidFill>
              <w14:schemeClr w14:val="tx2"/>
            </w14:solidFill>
          </w14:textFill>
        </w:rPr>
        <w:t xml:space="preserve"> </w:t>
      </w:r>
      <w:r>
        <w:rPr>
          <w:rFonts w:ascii="Times New Roman" w:hAnsi="Times New Roman" w:cs="Times New Roman"/>
          <w:b/>
          <w:bCs/>
          <w:color w:val="1F497D" w:themeColor="text2"/>
          <w:sz w:val="26"/>
          <w:szCs w:val="26"/>
          <w14:textFill>
            <w14:solidFill>
              <w14:schemeClr w14:val="tx2"/>
            </w14:solidFill>
          </w14:textFill>
        </w:rPr>
        <w:t>нафар</w:t>
      </w:r>
      <w:r>
        <w:rPr>
          <w:rFonts w:ascii="Times New Roman" w:hAnsi="Times New Roman" w:cs="Times New Roman"/>
          <w:color w:val="1F497D" w:themeColor="text2"/>
          <w:sz w:val="26"/>
          <w:szCs w:val="26"/>
          <w14:textFill>
            <w14:solidFill>
              <w14:schemeClr w14:val="tx2"/>
            </w14:solidFill>
          </w14:textFill>
        </w:rPr>
        <w:t xml:space="preserve"> </w:t>
      </w:r>
      <w:r>
        <w:rPr>
          <w:rFonts w:ascii="Times New Roman" w:hAnsi="Times New Roman" w:cs="Times New Roman"/>
          <w:sz w:val="26"/>
          <w:szCs w:val="26"/>
        </w:rPr>
        <w:t>ходим жалб қилинди.</w:t>
      </w:r>
      <w:bookmarkStart w:id="1" w:name="_GoBack"/>
      <w:bookmarkEnd w:id="1"/>
    </w:p>
    <w:p w14:paraId="03C20A9B">
      <w:pPr>
        <w:spacing w:after="0" w:line="240" w:lineRule="auto"/>
        <w:ind w:firstLine="567"/>
        <w:jc w:val="both"/>
        <w:rPr>
          <w:rFonts w:ascii="Times New Roman" w:hAnsi="Times New Roman" w:cs="Times New Roman"/>
          <w:sz w:val="26"/>
          <w:szCs w:val="26"/>
        </w:rPr>
      </w:pPr>
      <w:r>
        <w:rPr>
          <w:rFonts w:ascii="Times New Roman" w:hAnsi="Times New Roman" w:cs="Times New Roman"/>
          <w:sz w:val="26"/>
          <w:szCs w:val="26"/>
        </w:rPr>
        <w:t>Шунингдек, ҳисобот даврида:</w:t>
      </w:r>
    </w:p>
    <w:p w14:paraId="461D8D3D">
      <w:pPr>
        <w:pStyle w:val="22"/>
        <w:numPr>
          <w:ilvl w:val="0"/>
          <w:numId w:val="2"/>
        </w:numPr>
        <w:tabs>
          <w:tab w:val="left" w:pos="851"/>
        </w:tabs>
        <w:spacing w:after="0" w:line="240" w:lineRule="auto"/>
        <w:ind w:left="0" w:firstLine="567"/>
        <w:jc w:val="both"/>
        <w:rPr>
          <w:rFonts w:ascii="Times New Roman" w:hAnsi="Times New Roman" w:cs="Times New Roman"/>
          <w:sz w:val="26"/>
          <w:szCs w:val="26"/>
        </w:rPr>
      </w:pPr>
      <w:r>
        <w:rPr>
          <w:rFonts w:ascii="Times New Roman" w:hAnsi="Times New Roman" w:cs="Times New Roman"/>
          <w:sz w:val="26"/>
          <w:szCs w:val="26"/>
        </w:rPr>
        <w:t>Банкнинг ҳудудий ва таркибий бўлинмаларида манфаатлар тўқнашувини олдини олиш ҳамда коррупцияга қарши курашиш масалалари бўйича семинарлар, давра суҳбатлари ва билимларни баҳолашга қаратилган тест синовлари ўтказилди;</w:t>
      </w:r>
    </w:p>
    <w:p w14:paraId="76C03F14">
      <w:pPr>
        <w:pStyle w:val="22"/>
        <w:numPr>
          <w:ilvl w:val="0"/>
          <w:numId w:val="2"/>
        </w:numPr>
        <w:tabs>
          <w:tab w:val="left" w:pos="851"/>
        </w:tabs>
        <w:spacing w:after="0" w:line="240" w:lineRule="auto"/>
        <w:ind w:left="0" w:firstLine="567"/>
        <w:jc w:val="both"/>
        <w:rPr>
          <w:rFonts w:ascii="Times New Roman" w:hAnsi="Times New Roman" w:cs="Times New Roman"/>
          <w:sz w:val="26"/>
          <w:szCs w:val="26"/>
        </w:rPr>
      </w:pPr>
      <w:r>
        <w:rPr>
          <w:rFonts w:ascii="Times New Roman" w:hAnsi="Times New Roman" w:cs="Times New Roman"/>
          <w:sz w:val="26"/>
          <w:szCs w:val="26"/>
        </w:rPr>
        <w:t>коррупциявий хавф-хатарларни барвақт аниқлаш ва уларнинг олдини олишга қаратилган мониторинг чора-тадбирлари режаси тасдиқланиб, унинг ижроси юзасидан тизимли ишлар ташкил этилди;</w:t>
      </w:r>
    </w:p>
    <w:p w14:paraId="4840E2B1">
      <w:pPr>
        <w:pStyle w:val="22"/>
        <w:numPr>
          <w:ilvl w:val="0"/>
          <w:numId w:val="2"/>
        </w:numPr>
        <w:tabs>
          <w:tab w:val="left" w:pos="851"/>
        </w:tabs>
        <w:spacing w:after="0" w:line="240" w:lineRule="auto"/>
        <w:ind w:left="0" w:firstLine="567"/>
        <w:jc w:val="both"/>
        <w:rPr>
          <w:rFonts w:ascii="Times New Roman" w:hAnsi="Times New Roman" w:cs="Times New Roman"/>
          <w:sz w:val="26"/>
          <w:szCs w:val="26"/>
        </w:rPr>
      </w:pPr>
      <w:r>
        <w:rPr>
          <w:rFonts w:ascii="Times New Roman" w:hAnsi="Times New Roman" w:cs="Times New Roman"/>
          <w:sz w:val="26"/>
          <w:szCs w:val="26"/>
        </w:rPr>
        <w:t>аноним сўровномалар ўтказиш орқали ходимлар фаолиятида манфаатлар тўқнашувини келтириб чиқариши мумкин бўлган омиллар ўрганилди ҳамда уларни бартараф этиш бўйича тегишли таклиф ва тавсиялар ишлаб чиқилди.</w:t>
      </w:r>
    </w:p>
    <w:p w14:paraId="7C458706">
      <w:pPr>
        <w:spacing w:after="0" w:line="240" w:lineRule="auto"/>
        <w:ind w:firstLine="567"/>
        <w:jc w:val="both"/>
        <w:rPr>
          <w:rFonts w:ascii="Times New Roman" w:hAnsi="Times New Roman" w:cs="Times New Roman"/>
          <w:sz w:val="26"/>
          <w:szCs w:val="26"/>
        </w:rPr>
      </w:pPr>
      <w:r>
        <w:rPr>
          <w:rFonts w:ascii="Times New Roman" w:hAnsi="Times New Roman" w:cs="Times New Roman"/>
          <w:sz w:val="26"/>
          <w:szCs w:val="26"/>
        </w:rPr>
        <w:t>Амалга оширилган мазкур чора-тадбирлар ходимларнинг коррупцияга қарши муросасиз муносабатини шакллантириш, манфаатлар тўқнашувининг олдини олишга қаратилган профилактик механизмларни такомиллаштириш ҳамда Банкда комплаенс маданиятини янада юксалтиришга хизмат қилди.</w:t>
      </w:r>
    </w:p>
    <w:p w14:paraId="5C63D29F">
      <w:pPr>
        <w:spacing w:after="0" w:line="240" w:lineRule="auto"/>
        <w:ind w:firstLine="567"/>
        <w:jc w:val="both"/>
        <w:rPr>
          <w:rFonts w:ascii="Times New Roman" w:hAnsi="Times New Roman" w:cs="Times New Roman"/>
          <w:sz w:val="24"/>
          <w:szCs w:val="24"/>
        </w:rPr>
      </w:pPr>
    </w:p>
    <w:p w14:paraId="7D23E513">
      <w:pPr>
        <w:pStyle w:val="3"/>
        <w:spacing w:before="0" w:line="240" w:lineRule="auto"/>
        <w:jc w:val="center"/>
        <w:rPr>
          <w:rFonts w:ascii="Times New Roman" w:hAnsi="Times New Roman" w:cs="Times New Roman"/>
          <w:b/>
          <w:bCs/>
          <w:color w:val="0070C0"/>
          <w:lang w:val="uz-Cyrl-UZ"/>
        </w:rPr>
      </w:pPr>
      <w:r>
        <w:rPr>
          <w:rFonts w:ascii="Times New Roman" w:hAnsi="Times New Roman" w:cs="Times New Roman"/>
          <w:b/>
          <w:bCs/>
          <w:color w:val="0070C0"/>
          <w:lang w:val="uz-Latn-UZ"/>
        </w:rPr>
        <w:t>VI</w:t>
      </w:r>
      <w:r>
        <w:rPr>
          <w:rFonts w:ascii="Times New Roman" w:hAnsi="Times New Roman" w:cs="Times New Roman"/>
          <w:b/>
          <w:bCs/>
          <w:color w:val="0070C0"/>
        </w:rPr>
        <w:t>. Аниқланган қоидабузарликлар ва</w:t>
      </w:r>
      <w:r>
        <w:rPr>
          <w:rFonts w:ascii="Times New Roman" w:hAnsi="Times New Roman" w:cs="Times New Roman"/>
          <w:b/>
          <w:bCs/>
          <w:color w:val="0070C0"/>
          <w:lang w:val="uz-Cyrl-UZ"/>
        </w:rPr>
        <w:t xml:space="preserve"> уларга нисбатан </w:t>
      </w:r>
    </w:p>
    <w:p w14:paraId="30E0D351">
      <w:pPr>
        <w:pStyle w:val="3"/>
        <w:spacing w:before="0" w:line="240" w:lineRule="auto"/>
        <w:jc w:val="center"/>
        <w:rPr>
          <w:rFonts w:ascii="Times New Roman" w:hAnsi="Times New Roman" w:cs="Times New Roman"/>
          <w:b/>
          <w:bCs/>
          <w:color w:val="0070C0"/>
          <w:lang w:val="uz-Cyrl-UZ"/>
        </w:rPr>
      </w:pPr>
      <w:r>
        <w:rPr>
          <w:rFonts w:ascii="Times New Roman" w:hAnsi="Times New Roman" w:cs="Times New Roman"/>
          <w:b/>
          <w:bCs/>
          <w:color w:val="0070C0"/>
          <w:lang w:val="uz-Cyrl-UZ"/>
        </w:rPr>
        <w:t>қўлланилган чоралар</w:t>
      </w:r>
    </w:p>
    <w:p w14:paraId="1D3B1D79">
      <w:pPr>
        <w:pStyle w:val="42"/>
        <w:spacing w:before="0" w:beforeAutospacing="0" w:after="0" w:afterAutospacing="0"/>
        <w:ind w:firstLine="708"/>
        <w:jc w:val="both"/>
        <w:rPr>
          <w:sz w:val="8"/>
          <w:szCs w:val="8"/>
          <w:lang w:val="uz-Cyrl-UZ"/>
        </w:rPr>
      </w:pPr>
    </w:p>
    <w:p w14:paraId="7FABA24C">
      <w:pPr>
        <w:pStyle w:val="42"/>
        <w:spacing w:before="0" w:beforeAutospacing="0" w:after="0" w:afterAutospacing="0" w:line="276" w:lineRule="auto"/>
        <w:ind w:firstLine="567"/>
        <w:jc w:val="both"/>
        <w:rPr>
          <w:sz w:val="26"/>
          <w:szCs w:val="26"/>
          <w:lang w:val="uz-Cyrl-UZ"/>
        </w:rPr>
      </w:pPr>
      <w:r>
        <w:rPr>
          <w:sz w:val="26"/>
          <w:szCs w:val="26"/>
          <w:lang w:val="uz-Cyrl-UZ"/>
        </w:rPr>
        <w:t xml:space="preserve">Ҳисобот даврида манфаатлар тўқнашуви билан боғлиқ </w:t>
      </w:r>
      <w:r>
        <w:rPr>
          <w:b/>
          <w:bCs/>
          <w:sz w:val="26"/>
          <w:szCs w:val="26"/>
          <w:lang w:val="uz-Cyrl-UZ"/>
        </w:rPr>
        <w:t>3</w:t>
      </w:r>
      <w:r>
        <w:rPr>
          <w:sz w:val="26"/>
          <w:szCs w:val="26"/>
          <w:lang w:val="uz-Cyrl-UZ"/>
        </w:rPr>
        <w:t xml:space="preserve"> та ҳолат аниқланиб, уларнинг ҳар бири юзасидан белгиланган тартибда хизмат текширувлари ўтказилди.</w:t>
      </w:r>
    </w:p>
    <w:p w14:paraId="767E320C">
      <w:pPr>
        <w:pStyle w:val="42"/>
        <w:spacing w:before="0" w:beforeAutospacing="0" w:after="0" w:afterAutospacing="0" w:line="276" w:lineRule="auto"/>
        <w:ind w:firstLine="567"/>
        <w:jc w:val="both"/>
        <w:rPr>
          <w:sz w:val="26"/>
          <w:szCs w:val="26"/>
          <w:lang w:val="uz-Cyrl-UZ"/>
        </w:rPr>
      </w:pPr>
      <w:r>
        <w:rPr>
          <w:sz w:val="26"/>
          <w:szCs w:val="26"/>
          <w:lang w:val="uz-Cyrl-UZ"/>
        </w:rPr>
        <w:t>Ўтказилган текширувлар натижасида айрим ҳолатларда шахсий манфаатлар билан хизмат манфаатлари ўртасида манфаатлар тўқнашуви келиб чиқишига сабаб бўлиши мумкин бўлган ҳолатларга йўл қўйилганлиги, қарор қабул қилиш жараёнида холислик ва шаффофлик тамойилларига тўлиқ риоя этилмаганлиги, шунингдек Банкнинг ички қоидалари ва комплаенс талаблари бузилганлиги аниқланди.</w:t>
      </w:r>
    </w:p>
    <w:p w14:paraId="1BBF520B">
      <w:pPr>
        <w:spacing w:after="0"/>
        <w:ind w:firstLine="567"/>
        <w:jc w:val="both"/>
        <w:rPr>
          <w:rFonts w:ascii="Times New Roman" w:hAnsi="Times New Roman" w:eastAsia="Times New Roman" w:cs="Times New Roman"/>
          <w:sz w:val="26"/>
          <w:szCs w:val="26"/>
          <w:lang w:val="uz-Cyrl-UZ" w:eastAsia="ru-RU"/>
        </w:rPr>
      </w:pPr>
      <w:r>
        <w:rPr>
          <w:rFonts w:ascii="Times New Roman" w:hAnsi="Times New Roman" w:eastAsia="Times New Roman" w:cs="Times New Roman"/>
          <w:sz w:val="26"/>
          <w:szCs w:val="26"/>
          <w:lang w:val="uz-Cyrl-UZ" w:eastAsia="ru-RU"/>
        </w:rPr>
        <w:t>Аниқланган қоидабузарликлар юзасидан ўтказилган хизмат текширувлари натижалари ҳамда Одоб-ахлоқ комиссиясининг қарорларига асосан қуйидаги таъсир чоралари қўлланилди:</w:t>
      </w:r>
    </w:p>
    <w:p w14:paraId="15BB22E0">
      <w:pPr>
        <w:numPr>
          <w:ilvl w:val="0"/>
          <w:numId w:val="3"/>
        </w:numPr>
        <w:tabs>
          <w:tab w:val="left" w:pos="851"/>
          <w:tab w:val="clear" w:pos="720"/>
        </w:tabs>
        <w:spacing w:after="0"/>
        <w:ind w:left="0" w:firstLine="567"/>
        <w:jc w:val="both"/>
        <w:rPr>
          <w:rFonts w:ascii="Times New Roman" w:hAnsi="Times New Roman" w:eastAsia="Times New Roman" w:cs="Times New Roman"/>
          <w:sz w:val="26"/>
          <w:szCs w:val="26"/>
          <w:lang w:val="uz-Cyrl-UZ" w:eastAsia="ru-RU"/>
        </w:rPr>
      </w:pPr>
      <w:r>
        <w:rPr>
          <w:rFonts w:ascii="Times New Roman" w:hAnsi="Times New Roman" w:eastAsia="Times New Roman" w:cs="Times New Roman"/>
          <w:b/>
          <w:bCs/>
          <w:sz w:val="26"/>
          <w:szCs w:val="26"/>
          <w:lang w:val="uz-Cyrl-UZ" w:eastAsia="ru-RU"/>
        </w:rPr>
        <w:t>1</w:t>
      </w:r>
      <w:r>
        <w:rPr>
          <w:rFonts w:ascii="Times New Roman" w:hAnsi="Times New Roman" w:eastAsia="Times New Roman" w:cs="Times New Roman"/>
          <w:sz w:val="26"/>
          <w:szCs w:val="26"/>
          <w:lang w:val="uz-Cyrl-UZ" w:eastAsia="ru-RU"/>
        </w:rPr>
        <w:t xml:space="preserve"> нафар ходимга нисбатан меҳнат қонунчилиги ва Банкнинг ички норматив ҳужжатларига мувофиқ интизомий жазо чораси қўлланилди;</w:t>
      </w:r>
    </w:p>
    <w:p w14:paraId="4735ABAA">
      <w:pPr>
        <w:numPr>
          <w:ilvl w:val="0"/>
          <w:numId w:val="3"/>
        </w:numPr>
        <w:tabs>
          <w:tab w:val="left" w:pos="851"/>
          <w:tab w:val="clear" w:pos="720"/>
        </w:tabs>
        <w:spacing w:after="0"/>
        <w:ind w:left="0" w:firstLine="567"/>
        <w:jc w:val="both"/>
        <w:rPr>
          <w:rFonts w:ascii="Times New Roman" w:hAnsi="Times New Roman" w:eastAsia="Times New Roman" w:cs="Times New Roman"/>
          <w:sz w:val="26"/>
          <w:szCs w:val="26"/>
          <w:lang w:eastAsia="ru-RU"/>
        </w:rPr>
      </w:pPr>
      <w:r>
        <w:rPr>
          <w:rFonts w:ascii="Times New Roman" w:hAnsi="Times New Roman" w:eastAsia="Times New Roman" w:cs="Times New Roman"/>
          <w:b/>
          <w:bCs/>
          <w:sz w:val="26"/>
          <w:szCs w:val="26"/>
          <w:lang w:eastAsia="ru-RU"/>
        </w:rPr>
        <w:t>1</w:t>
      </w:r>
      <w:r>
        <w:rPr>
          <w:rFonts w:ascii="Times New Roman" w:hAnsi="Times New Roman" w:eastAsia="Times New Roman" w:cs="Times New Roman"/>
          <w:sz w:val="26"/>
          <w:szCs w:val="26"/>
          <w:lang w:eastAsia="ru-RU"/>
        </w:rPr>
        <w:t xml:space="preserve"> нафар ходим билан меҳнат шартномаси белгиланган тартибда бекор қилинди;</w:t>
      </w:r>
    </w:p>
    <w:p w14:paraId="71076CC0">
      <w:pPr>
        <w:numPr>
          <w:ilvl w:val="0"/>
          <w:numId w:val="3"/>
        </w:numPr>
        <w:tabs>
          <w:tab w:val="left" w:pos="851"/>
          <w:tab w:val="clear" w:pos="720"/>
        </w:tabs>
        <w:spacing w:after="0"/>
        <w:ind w:left="0" w:firstLine="567"/>
        <w:jc w:val="both"/>
        <w:rPr>
          <w:rFonts w:ascii="Times New Roman" w:hAnsi="Times New Roman" w:eastAsia="Times New Roman" w:cs="Times New Roman"/>
          <w:sz w:val="26"/>
          <w:szCs w:val="26"/>
          <w:lang w:eastAsia="ru-RU"/>
        </w:rPr>
      </w:pPr>
      <w:r>
        <w:rPr>
          <w:rFonts w:ascii="Times New Roman" w:hAnsi="Times New Roman" w:eastAsia="Times New Roman" w:cs="Times New Roman"/>
          <w:b/>
          <w:bCs/>
          <w:sz w:val="26"/>
          <w:szCs w:val="26"/>
          <w:lang w:eastAsia="ru-RU"/>
        </w:rPr>
        <w:t>1</w:t>
      </w:r>
      <w:r>
        <w:rPr>
          <w:rFonts w:ascii="Times New Roman" w:hAnsi="Times New Roman" w:eastAsia="Times New Roman" w:cs="Times New Roman"/>
          <w:sz w:val="26"/>
          <w:szCs w:val="26"/>
          <w:lang w:eastAsia="ru-RU"/>
        </w:rPr>
        <w:t xml:space="preserve"> нафар раҳбар ходимнинг интеграциялашган рағбатлантирувчи устамаси икки ой муддатга камайтирилди.</w:t>
      </w:r>
    </w:p>
    <w:p w14:paraId="44E3F357">
      <w:pPr>
        <w:spacing w:after="0"/>
        <w:ind w:firstLine="567"/>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Ҳар бир ҳолат Одоб-ахлоқ комиссияси йиғилишида атрофлича муҳокама қилиниб, қоидабузарликларнинг келиб чиқиш сабаб ва шарт-шароитлари таҳлил этилди ҳамда келгусида шунга ўхшаш ҳолатларнинг такрорланишининг олдини олиш, ички назорат механизмларини кучайтириш ва манфаатлар тўқнашувини самарали бошқаришга қаратилган тегишли чора-тадбирлар ҳамда масъул таркибий бўлинмаларга аниқ топшириқлар белгиланди.</w:t>
      </w:r>
    </w:p>
    <w:p w14:paraId="00F51873">
      <w:pPr>
        <w:spacing w:after="0"/>
        <w:ind w:firstLine="567"/>
        <w:jc w:val="both"/>
        <w:rPr>
          <w:rFonts w:ascii="Times New Roman" w:hAnsi="Times New Roman" w:eastAsia="Times New Roman" w:cs="Times New Roman"/>
          <w:sz w:val="26"/>
          <w:szCs w:val="26"/>
          <w:lang w:eastAsia="ru-RU"/>
        </w:rPr>
      </w:pPr>
    </w:p>
    <w:p w14:paraId="2A4DA636">
      <w:pPr>
        <w:spacing w:after="0" w:line="240" w:lineRule="auto"/>
        <w:jc w:val="center"/>
        <w:rPr>
          <w:rFonts w:ascii="Times New Roman" w:hAnsi="Times New Roman" w:cs="Times New Roman"/>
          <w:b/>
          <w:bCs/>
          <w:color w:val="0070C0"/>
          <w:sz w:val="26"/>
          <w:szCs w:val="26"/>
          <w:lang w:val="uz-Latn-UZ"/>
        </w:rPr>
      </w:pPr>
      <w:r>
        <w:rPr>
          <w:rFonts w:ascii="Times New Roman" w:hAnsi="Times New Roman" w:cs="Times New Roman"/>
          <w:b/>
          <w:bCs/>
          <w:color w:val="0070C0"/>
          <w:sz w:val="26"/>
          <w:szCs w:val="26"/>
          <w:lang w:val="uz-Latn-UZ"/>
        </w:rPr>
        <w:t>VII. Таҳлилий хулоса</w:t>
      </w:r>
    </w:p>
    <w:p w14:paraId="5B1F714A">
      <w:pPr>
        <w:spacing w:after="0" w:line="240" w:lineRule="auto"/>
        <w:jc w:val="center"/>
        <w:rPr>
          <w:rFonts w:ascii="Times New Roman" w:hAnsi="Times New Roman" w:cs="Times New Roman"/>
          <w:b/>
          <w:bCs/>
          <w:color w:val="0070C0"/>
          <w:sz w:val="8"/>
          <w:szCs w:val="8"/>
          <w:lang w:val="uz-Latn-UZ"/>
        </w:rPr>
      </w:pPr>
    </w:p>
    <w:p w14:paraId="29406A3D">
      <w:pPr>
        <w:pStyle w:val="42"/>
        <w:spacing w:before="0" w:beforeAutospacing="0" w:after="0" w:afterAutospacing="0" w:line="276" w:lineRule="auto"/>
        <w:ind w:firstLine="567"/>
        <w:jc w:val="both"/>
        <w:rPr>
          <w:sz w:val="26"/>
          <w:szCs w:val="26"/>
          <w:lang w:val="uz-Latn-UZ"/>
        </w:rPr>
      </w:pPr>
      <w:r>
        <w:rPr>
          <w:sz w:val="26"/>
          <w:szCs w:val="26"/>
          <w:lang w:val="uz-Latn-UZ"/>
        </w:rPr>
        <w:t>Ҳисобот даврида амалга оширилган ишлар натижалари Банкда манфаатлар тўқнашувини бошқариш тизими изчил такомиллаштирилаётганини кўрсатди. Декларациялаш тизимининг жорий этилиши манфаатлар тўқнашувини барвақт аниқлаш, баҳолаш ва олдини олиш имкониятларини кенгайтирди.</w:t>
      </w:r>
    </w:p>
    <w:p w14:paraId="27386A46">
      <w:pPr>
        <w:pStyle w:val="42"/>
        <w:spacing w:before="0" w:beforeAutospacing="0" w:after="0" w:afterAutospacing="0" w:line="276" w:lineRule="auto"/>
        <w:ind w:firstLine="567"/>
        <w:jc w:val="both"/>
        <w:rPr>
          <w:sz w:val="26"/>
          <w:szCs w:val="26"/>
          <w:lang w:val="uz-Latn-UZ"/>
        </w:rPr>
      </w:pPr>
      <w:r>
        <w:rPr>
          <w:sz w:val="26"/>
          <w:szCs w:val="26"/>
          <w:lang w:val="uz-Latn-UZ"/>
        </w:rPr>
        <w:t>Шу билан бирга, ўтказилган таҳлиллар айрим жараёнларда ички назорат ва комплаенс механизмларини янада кучайтириш зарурлигини кўрсатди. Келгусида декларациялаш жараёнларини рақамлаштириш, автоматлаштирилган мониторинг ва назорат тизимларини жорий этиш ҳамда коррупциявий хавфларни эрта аниқлаш механизмларини такомиллаштириш устувор вазифалардан бири ҳисобланади.</w:t>
      </w:r>
    </w:p>
    <w:p w14:paraId="3A51B72D">
      <w:pPr>
        <w:pStyle w:val="19"/>
        <w:spacing w:before="0" w:beforeAutospacing="0" w:after="0" w:afterAutospacing="0" w:line="276" w:lineRule="auto"/>
        <w:ind w:firstLine="567"/>
        <w:jc w:val="both"/>
        <w:rPr>
          <w:sz w:val="26"/>
          <w:szCs w:val="26"/>
          <w:lang w:val="uz-Latn-UZ"/>
        </w:rPr>
      </w:pPr>
      <w:r>
        <w:rPr>
          <w:sz w:val="26"/>
          <w:szCs w:val="26"/>
          <w:lang w:val="uz-Latn-UZ"/>
        </w:rPr>
        <w:t>Мазкур чора-тадбирларнинг изчил амалга оширилиши Банкда очиқлик ва шаффофликни таъминлаш, манфаатлар тўқнашувининг олдини олиш ҳамда коррупцияга қарши комплаенс тизими самарадорлигини янада оширишга хизмат қилади.</w:t>
      </w:r>
    </w:p>
    <w:p w14:paraId="50CD013E">
      <w:pPr>
        <w:pStyle w:val="3"/>
        <w:spacing w:before="0" w:line="240" w:lineRule="auto"/>
        <w:ind w:firstLine="360"/>
        <w:jc w:val="center"/>
        <w:rPr>
          <w:rFonts w:ascii="Times New Roman" w:hAnsi="Times New Roman" w:cs="Times New Roman"/>
          <w:b/>
          <w:bCs/>
          <w:color w:val="0070C0"/>
          <w:lang w:val="uz-Latn-UZ"/>
        </w:rPr>
      </w:pPr>
      <w:r>
        <w:rPr>
          <w:rFonts w:ascii="Times New Roman" w:hAnsi="Times New Roman" w:cs="Times New Roman"/>
          <w:b/>
          <w:bCs/>
          <w:color w:val="0070C0"/>
          <w:lang w:val="uz-Latn-UZ"/>
        </w:rPr>
        <w:t>VIII. Якуний хулоса</w:t>
      </w:r>
    </w:p>
    <w:p w14:paraId="7208B8B0">
      <w:pPr>
        <w:pStyle w:val="42"/>
        <w:spacing w:before="0" w:beforeAutospacing="0" w:after="0" w:afterAutospacing="0"/>
        <w:ind w:firstLine="360"/>
        <w:jc w:val="both"/>
        <w:rPr>
          <w:sz w:val="8"/>
          <w:szCs w:val="8"/>
          <w:lang w:val="uz-Latn-UZ"/>
        </w:rPr>
      </w:pPr>
    </w:p>
    <w:p w14:paraId="7D37415E">
      <w:pPr>
        <w:pStyle w:val="42"/>
        <w:spacing w:before="0" w:beforeAutospacing="0" w:after="0" w:afterAutospacing="0" w:line="276" w:lineRule="auto"/>
        <w:ind w:firstLine="567"/>
        <w:jc w:val="both"/>
        <w:rPr>
          <w:sz w:val="26"/>
          <w:szCs w:val="26"/>
          <w:lang w:val="uz-Latn-UZ"/>
        </w:rPr>
      </w:pPr>
      <w:r>
        <w:rPr>
          <w:sz w:val="26"/>
          <w:szCs w:val="26"/>
          <w:lang w:val="uz-Latn-UZ"/>
        </w:rPr>
        <w:t>Ҳисобот даврида “Ўзмиллийбанк” АЖда манфаатлар тўқнашувини бошқариш соҳасида Ўзбекистон Республикаси қонунчилиги ҳамда Банкнинг ички норматив ҳужжатлари талабларига мувофиқ тизимли ва изчил ишлар амалга оширилди. Манфаатлар тўқнашувини барвақт аниқлаш, баҳолаш, олдини олиш ва тартибга солишга қаратилган ташкилий, ҳуқуқий ҳамда профилактик чора-тадбирларнинг амалга оширилиши мазкур йўналишдаги ички назорат механизмлари самарадорлигини оширишга хизмат қилди.</w:t>
      </w:r>
    </w:p>
    <w:p w14:paraId="4BD3B3A6">
      <w:pPr>
        <w:pStyle w:val="42"/>
        <w:spacing w:before="0" w:beforeAutospacing="0" w:after="0" w:afterAutospacing="0" w:line="276" w:lineRule="auto"/>
        <w:ind w:firstLine="567"/>
        <w:jc w:val="both"/>
        <w:rPr>
          <w:sz w:val="26"/>
          <w:szCs w:val="26"/>
          <w:lang w:val="uz-Latn-UZ"/>
        </w:rPr>
      </w:pPr>
      <w:r>
        <w:rPr>
          <w:sz w:val="26"/>
          <w:szCs w:val="26"/>
          <w:lang w:val="uz-Latn-UZ"/>
        </w:rPr>
        <w:t>Ҳисобот даврида манфаатлар тўқнашувини декларациялаш тизимининг амалиётга жорий этилгани, мавжуд ҳолатларни тизимли таҳлил қилиш ва уларни бартараф этиш бўйича таъсирчан чораларнинг қўлланилиши Банкда манфаатлар тўқнашувини бошқариш тизимини янада такомиллаштириш учун мустаҳкам асос яратди.</w:t>
      </w:r>
    </w:p>
    <w:p w14:paraId="139FD4EE">
      <w:pPr>
        <w:pStyle w:val="42"/>
        <w:spacing w:before="0" w:beforeAutospacing="0" w:after="0" w:afterAutospacing="0" w:line="276" w:lineRule="auto"/>
        <w:ind w:firstLine="567"/>
        <w:jc w:val="both"/>
        <w:rPr>
          <w:sz w:val="26"/>
          <w:szCs w:val="26"/>
          <w:lang w:val="uz-Latn-UZ"/>
        </w:rPr>
      </w:pPr>
      <w:r>
        <w:rPr>
          <w:sz w:val="26"/>
          <w:szCs w:val="26"/>
          <w:lang w:val="uz-Latn-UZ"/>
        </w:rPr>
        <w:t>Шу билан бирга, манфаатлар тўқнашувини бошқариш тизимини рақамлаштириш, автоматлаштирилган мониторинг ва назорат механизмларини кенг жорий этиш, комплаенс назоратини янада кучайтириш, профилактик чора-тадбирларни изчил давом эттириш ҳамда раҳбарлар ва ходимларнинг шахсий масъулиятини ошириш мазкур йўналишдаги устувор вазифалар бўлиб қолмоқда.</w:t>
      </w:r>
    </w:p>
    <w:p w14:paraId="75B857F8">
      <w:pPr>
        <w:pStyle w:val="19"/>
        <w:spacing w:before="0" w:beforeAutospacing="0" w:after="0" w:afterAutospacing="0" w:line="276" w:lineRule="auto"/>
        <w:ind w:firstLine="567"/>
        <w:jc w:val="both"/>
        <w:rPr>
          <w:sz w:val="26"/>
          <w:szCs w:val="26"/>
          <w:lang w:val="uz-Latn-UZ"/>
        </w:rPr>
      </w:pPr>
      <w:r>
        <w:rPr>
          <w:sz w:val="26"/>
          <w:szCs w:val="26"/>
          <w:lang w:val="uz-Latn-UZ"/>
        </w:rPr>
        <w:t>Мазкур вазифаларнинг изчил амалга оширилиши Банкда очиқлик ва шаффофлик тамойилларини мустаҳкамлаш, манфаатлар тўқнашувининг олдини олиш самарадорлигини янада ошириш ҳамда коррупцияга қарши комплаенс тизимини халқаро илғор амалиётлар ва миллий қонунчилик талаблари асосида янада ривожлантиришга хизмат қилади.</w:t>
      </w:r>
    </w:p>
    <w:p w14:paraId="32140683">
      <w:pPr>
        <w:rPr>
          <w:sz w:val="26"/>
          <w:szCs w:val="26"/>
          <w:lang w:val="uz-Latn-UZ"/>
        </w:rPr>
      </w:pPr>
    </w:p>
    <w:p w14:paraId="2208FD8C">
      <w:pPr>
        <w:spacing w:after="0" w:line="240" w:lineRule="auto"/>
        <w:ind w:firstLine="567"/>
        <w:rPr>
          <w:rFonts w:ascii="Times New Roman" w:hAnsi="Times New Roman" w:cs="Times New Roman"/>
          <w:sz w:val="26"/>
          <w:szCs w:val="26"/>
        </w:rPr>
      </w:pPr>
      <w:r>
        <w:rPr>
          <w:rFonts w:ascii="Times New Roman" w:hAnsi="Times New Roman" w:cs="Times New Roman"/>
          <w:sz w:val="26"/>
          <w:szCs w:val="26"/>
        </w:rPr>
        <w:t>Корруп</w:t>
      </w:r>
      <w:r>
        <w:rPr>
          <w:rFonts w:ascii="Times New Roman" w:hAnsi="Times New Roman" w:cs="Times New Roman"/>
          <w:sz w:val="26"/>
          <w:szCs w:val="26"/>
          <w:lang w:val="uz-Cyrl-UZ"/>
        </w:rPr>
        <w:t>ц</w:t>
      </w:r>
      <w:r>
        <w:rPr>
          <w:rFonts w:ascii="Times New Roman" w:hAnsi="Times New Roman" w:cs="Times New Roman"/>
          <w:sz w:val="26"/>
          <w:szCs w:val="26"/>
        </w:rPr>
        <w:t>ияни олдини олиш бошқармаси</w:t>
      </w:r>
    </w:p>
    <w:p w14:paraId="6FCA2F94">
      <w:pPr>
        <w:spacing w:after="0" w:line="240" w:lineRule="auto"/>
        <w:ind w:firstLine="567"/>
        <w:rPr>
          <w:rFonts w:ascii="Times New Roman" w:hAnsi="Times New Roman" w:cs="Times New Roman"/>
          <w:sz w:val="26"/>
          <w:szCs w:val="26"/>
          <w:lang w:val="uz-Cyrl-UZ"/>
        </w:rPr>
      </w:pPr>
      <w:r>
        <w:rPr>
          <w:rFonts w:ascii="Times New Roman" w:hAnsi="Times New Roman" w:cs="Times New Roman"/>
          <w:sz w:val="26"/>
          <w:szCs w:val="26"/>
        </w:rPr>
        <w:t>Бошқарма бошлиғи в.б</w:t>
      </w:r>
      <w:r>
        <w:rPr>
          <w:rFonts w:ascii="Times New Roman" w:hAnsi="Times New Roman" w:cs="Times New Roman"/>
          <w:sz w:val="26"/>
          <w:szCs w:val="26"/>
          <w:lang w:val="uz-Cyrl-UZ"/>
        </w:rPr>
        <w:t xml:space="preserve">                                                               Х.Усманов</w:t>
      </w:r>
    </w:p>
    <w:p w14:paraId="6BFA23D3">
      <w:pPr>
        <w:spacing w:after="0" w:line="240" w:lineRule="auto"/>
        <w:rPr>
          <w:rFonts w:ascii="Times New Roman" w:hAnsi="Times New Roman" w:cs="Times New Roman"/>
          <w:sz w:val="26"/>
          <w:szCs w:val="26"/>
          <w:lang w:val="uz-Cyrl-UZ"/>
        </w:rPr>
      </w:pPr>
    </w:p>
    <w:p w14:paraId="264DAFC3">
      <w:pPr>
        <w:spacing w:after="0" w:line="240" w:lineRule="auto"/>
        <w:rPr>
          <w:rFonts w:ascii="Times New Roman" w:hAnsi="Times New Roman" w:cs="Times New Roman"/>
          <w:sz w:val="26"/>
          <w:szCs w:val="26"/>
          <w:lang w:val="uz-Cyrl-UZ"/>
        </w:rPr>
      </w:pPr>
    </w:p>
    <w:p w14:paraId="7C8268F2">
      <w:pPr>
        <w:spacing w:after="0" w:line="240" w:lineRule="auto"/>
        <w:ind w:firstLine="567"/>
        <w:rPr>
          <w:rFonts w:ascii="Times New Roman" w:hAnsi="Times New Roman" w:cs="Times New Roman"/>
          <w:sz w:val="26"/>
          <w:szCs w:val="26"/>
          <w:lang w:val="uz-Cyrl-UZ"/>
        </w:rPr>
      </w:pPr>
      <w:r>
        <w:rPr>
          <w:rFonts w:ascii="Times New Roman" w:hAnsi="Times New Roman" w:cs="Times New Roman"/>
          <w:sz w:val="26"/>
          <w:szCs w:val="26"/>
          <w:lang w:val="uz-Cyrl-UZ"/>
        </w:rPr>
        <w:t>Коррупцияни олдини олиш бошқармаси</w:t>
      </w:r>
    </w:p>
    <w:p w14:paraId="4B391135">
      <w:pPr>
        <w:spacing w:after="0" w:line="240" w:lineRule="auto"/>
        <w:ind w:firstLine="567"/>
        <w:rPr>
          <w:rFonts w:ascii="Times New Roman" w:hAnsi="Times New Roman" w:cs="Times New Roman"/>
          <w:sz w:val="26"/>
          <w:szCs w:val="26"/>
          <w:lang w:val="uz-Cyrl-UZ"/>
        </w:rPr>
      </w:pPr>
      <w:r>
        <w:rPr>
          <w:rFonts w:ascii="Times New Roman" w:hAnsi="Times New Roman" w:cs="Times New Roman"/>
          <w:sz w:val="26"/>
          <w:szCs w:val="26"/>
          <w:lang w:val="uz-Cyrl-UZ"/>
        </w:rPr>
        <w:t>Манфаатлар тўқнашувини тартибга солиш</w:t>
      </w:r>
    </w:p>
    <w:p w14:paraId="686D642F">
      <w:pPr>
        <w:spacing w:after="0" w:line="240" w:lineRule="auto"/>
        <w:ind w:firstLine="567"/>
        <w:rPr>
          <w:rFonts w:ascii="Times New Roman" w:hAnsi="Times New Roman" w:cs="Times New Roman"/>
          <w:sz w:val="26"/>
          <w:szCs w:val="26"/>
          <w:lang w:val="uz-Cyrl-UZ"/>
        </w:rPr>
      </w:pPr>
      <w:r>
        <w:rPr>
          <w:rFonts w:ascii="Times New Roman" w:hAnsi="Times New Roman" w:cs="Times New Roman"/>
          <w:sz w:val="26"/>
          <w:szCs w:val="26"/>
          <w:lang w:val="uz-Cyrl-UZ"/>
        </w:rPr>
        <w:t>бўйича менежер                                                                            Ш.Худойназаров</w:t>
      </w:r>
    </w:p>
    <w:sectPr>
      <w:footerReference r:id="rId5" w:type="default"/>
      <w:pgSz w:w="11906" w:h="16840"/>
      <w:pgMar w:top="709" w:right="851" w:bottom="567" w:left="1701" w:header="992" w:footer="845" w:gutter="0"/>
      <w:cols w:space="708"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PANDA Times UZ">
    <w:altName w:val="Times New Roman"/>
    <w:panose1 w:val="00000000000000000000"/>
    <w:charset w:val="00"/>
    <w:family w:val="swiss"/>
    <w:pitch w:val="default"/>
    <w:sig w:usb0="00000000" w:usb1="00000000" w:usb2="00000000" w:usb3="00000000" w:csb0="00000001"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Times New Roman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85138437"/>
      <w:docPartObj>
        <w:docPartGallery w:val="autotext"/>
      </w:docPartObj>
    </w:sdtPr>
    <w:sdtContent>
      <w:p w14:paraId="651B2932">
        <w:pPr>
          <w:pStyle w:val="14"/>
          <w:jc w:val="right"/>
        </w:pPr>
        <w:r>
          <w:fldChar w:fldCharType="begin"/>
        </w:r>
        <w:r>
          <w:instrText xml:space="preserve">PAGE   \* MERGEFORMAT</w:instrText>
        </w:r>
        <w:r>
          <w:fldChar w:fldCharType="separate"/>
        </w:r>
        <w:r>
          <w:t>10</w:t>
        </w:r>
        <w:r>
          <w:fldChar w:fldCharType="end"/>
        </w:r>
      </w:p>
    </w:sdtContent>
  </w:sdt>
  <w:p w14:paraId="5E0852F5">
    <w:pPr>
      <w:pStyle w:val="14"/>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551CB4"/>
    <w:multiLevelType w:val="multilevel"/>
    <w:tmpl w:val="1C551C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CDB32E4"/>
    <w:multiLevelType w:val="multilevel"/>
    <w:tmpl w:val="1CDB32E4"/>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
    <w:nsid w:val="372E0EE7"/>
    <w:multiLevelType w:val="multilevel"/>
    <w:tmpl w:val="372E0EE7"/>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drawingGridHorizontalSpacing w:val="110"/>
  <w:drawingGridVerticalSpacing w:val="299"/>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5EC"/>
    <w:rsid w:val="000004BB"/>
    <w:rsid w:val="000045EC"/>
    <w:rsid w:val="00012FA0"/>
    <w:rsid w:val="00013AA5"/>
    <w:rsid w:val="00013B6D"/>
    <w:rsid w:val="0003506E"/>
    <w:rsid w:val="00035AD8"/>
    <w:rsid w:val="0004252E"/>
    <w:rsid w:val="00047CF2"/>
    <w:rsid w:val="00050B16"/>
    <w:rsid w:val="0005263F"/>
    <w:rsid w:val="0005302D"/>
    <w:rsid w:val="00057922"/>
    <w:rsid w:val="000802E7"/>
    <w:rsid w:val="00087E5B"/>
    <w:rsid w:val="00093C6C"/>
    <w:rsid w:val="000A0961"/>
    <w:rsid w:val="000A3210"/>
    <w:rsid w:val="000A6CF0"/>
    <w:rsid w:val="000A77A9"/>
    <w:rsid w:val="000B4F18"/>
    <w:rsid w:val="000C1D6F"/>
    <w:rsid w:val="000C641C"/>
    <w:rsid w:val="000D0130"/>
    <w:rsid w:val="000D6B3C"/>
    <w:rsid w:val="000E007F"/>
    <w:rsid w:val="000E2848"/>
    <w:rsid w:val="000E658C"/>
    <w:rsid w:val="000E7544"/>
    <w:rsid w:val="000E7807"/>
    <w:rsid w:val="000F0FB3"/>
    <w:rsid w:val="000F5BF9"/>
    <w:rsid w:val="000F6CAA"/>
    <w:rsid w:val="00104EB0"/>
    <w:rsid w:val="0010589C"/>
    <w:rsid w:val="001061AF"/>
    <w:rsid w:val="00113027"/>
    <w:rsid w:val="00113AD0"/>
    <w:rsid w:val="00113E9F"/>
    <w:rsid w:val="00120F18"/>
    <w:rsid w:val="00124979"/>
    <w:rsid w:val="0013041F"/>
    <w:rsid w:val="00132423"/>
    <w:rsid w:val="00146631"/>
    <w:rsid w:val="00150A76"/>
    <w:rsid w:val="0015487E"/>
    <w:rsid w:val="00160281"/>
    <w:rsid w:val="001605FD"/>
    <w:rsid w:val="00162735"/>
    <w:rsid w:val="00162EBB"/>
    <w:rsid w:val="001645FB"/>
    <w:rsid w:val="00175B76"/>
    <w:rsid w:val="00181E75"/>
    <w:rsid w:val="001822F1"/>
    <w:rsid w:val="00191C61"/>
    <w:rsid w:val="0019694D"/>
    <w:rsid w:val="001A1998"/>
    <w:rsid w:val="001B295C"/>
    <w:rsid w:val="001C5704"/>
    <w:rsid w:val="001C6A8F"/>
    <w:rsid w:val="001C7768"/>
    <w:rsid w:val="001D6924"/>
    <w:rsid w:val="001E212F"/>
    <w:rsid w:val="001E735E"/>
    <w:rsid w:val="001F5C6F"/>
    <w:rsid w:val="001F6C76"/>
    <w:rsid w:val="00201C28"/>
    <w:rsid w:val="00203FFC"/>
    <w:rsid w:val="00213728"/>
    <w:rsid w:val="002166A5"/>
    <w:rsid w:val="00217A66"/>
    <w:rsid w:val="002215AB"/>
    <w:rsid w:val="002223B5"/>
    <w:rsid w:val="0023498B"/>
    <w:rsid w:val="00234DB0"/>
    <w:rsid w:val="0023653F"/>
    <w:rsid w:val="00253713"/>
    <w:rsid w:val="00254347"/>
    <w:rsid w:val="00255B78"/>
    <w:rsid w:val="0026391D"/>
    <w:rsid w:val="00270517"/>
    <w:rsid w:val="00271615"/>
    <w:rsid w:val="002719FF"/>
    <w:rsid w:val="00275B9A"/>
    <w:rsid w:val="00284764"/>
    <w:rsid w:val="0028497A"/>
    <w:rsid w:val="002927D3"/>
    <w:rsid w:val="00293217"/>
    <w:rsid w:val="002965C6"/>
    <w:rsid w:val="002966D4"/>
    <w:rsid w:val="002B72C9"/>
    <w:rsid w:val="002C20BE"/>
    <w:rsid w:val="002C362E"/>
    <w:rsid w:val="002C77F4"/>
    <w:rsid w:val="002D0AFB"/>
    <w:rsid w:val="002E4406"/>
    <w:rsid w:val="002F160D"/>
    <w:rsid w:val="002F2A67"/>
    <w:rsid w:val="002F302D"/>
    <w:rsid w:val="002F4D8E"/>
    <w:rsid w:val="0031363F"/>
    <w:rsid w:val="003218BE"/>
    <w:rsid w:val="00335054"/>
    <w:rsid w:val="00344331"/>
    <w:rsid w:val="00347F67"/>
    <w:rsid w:val="003523BA"/>
    <w:rsid w:val="00357AC2"/>
    <w:rsid w:val="00384596"/>
    <w:rsid w:val="00385B4E"/>
    <w:rsid w:val="0039356F"/>
    <w:rsid w:val="00394BF6"/>
    <w:rsid w:val="00395BE9"/>
    <w:rsid w:val="003A1F92"/>
    <w:rsid w:val="003A3643"/>
    <w:rsid w:val="003A679E"/>
    <w:rsid w:val="003B2426"/>
    <w:rsid w:val="003B50D1"/>
    <w:rsid w:val="003C394E"/>
    <w:rsid w:val="003D4C98"/>
    <w:rsid w:val="003D68B8"/>
    <w:rsid w:val="003E1F06"/>
    <w:rsid w:val="003E32FC"/>
    <w:rsid w:val="003E3FAA"/>
    <w:rsid w:val="003E6332"/>
    <w:rsid w:val="003F1DDF"/>
    <w:rsid w:val="00404594"/>
    <w:rsid w:val="00410A94"/>
    <w:rsid w:val="00411B50"/>
    <w:rsid w:val="00421527"/>
    <w:rsid w:val="004228CF"/>
    <w:rsid w:val="0042593B"/>
    <w:rsid w:val="00431D68"/>
    <w:rsid w:val="004451CC"/>
    <w:rsid w:val="004479C6"/>
    <w:rsid w:val="00454643"/>
    <w:rsid w:val="00456280"/>
    <w:rsid w:val="00457C81"/>
    <w:rsid w:val="0046628C"/>
    <w:rsid w:val="0047122B"/>
    <w:rsid w:val="00471E29"/>
    <w:rsid w:val="00475AD1"/>
    <w:rsid w:val="004815F4"/>
    <w:rsid w:val="004861D3"/>
    <w:rsid w:val="004963EE"/>
    <w:rsid w:val="004A2A00"/>
    <w:rsid w:val="004C3FDD"/>
    <w:rsid w:val="004D1C7E"/>
    <w:rsid w:val="004D35B6"/>
    <w:rsid w:val="004D3D7E"/>
    <w:rsid w:val="004E205D"/>
    <w:rsid w:val="004E5573"/>
    <w:rsid w:val="004F3358"/>
    <w:rsid w:val="004F3941"/>
    <w:rsid w:val="0050431C"/>
    <w:rsid w:val="00504669"/>
    <w:rsid w:val="00504F15"/>
    <w:rsid w:val="00511A05"/>
    <w:rsid w:val="005124CF"/>
    <w:rsid w:val="00520134"/>
    <w:rsid w:val="00520924"/>
    <w:rsid w:val="00524F7F"/>
    <w:rsid w:val="00526397"/>
    <w:rsid w:val="00531018"/>
    <w:rsid w:val="00536581"/>
    <w:rsid w:val="00542EB0"/>
    <w:rsid w:val="0054751D"/>
    <w:rsid w:val="005525EA"/>
    <w:rsid w:val="0056695D"/>
    <w:rsid w:val="00567B3B"/>
    <w:rsid w:val="005751CB"/>
    <w:rsid w:val="005777AD"/>
    <w:rsid w:val="0057787A"/>
    <w:rsid w:val="0058028C"/>
    <w:rsid w:val="00583389"/>
    <w:rsid w:val="005B33B0"/>
    <w:rsid w:val="005B7F28"/>
    <w:rsid w:val="005C18DF"/>
    <w:rsid w:val="005C4258"/>
    <w:rsid w:val="005C76FC"/>
    <w:rsid w:val="005D00B5"/>
    <w:rsid w:val="005D1BB6"/>
    <w:rsid w:val="005D271D"/>
    <w:rsid w:val="005F075B"/>
    <w:rsid w:val="005F5057"/>
    <w:rsid w:val="006015FE"/>
    <w:rsid w:val="00610DB0"/>
    <w:rsid w:val="00612B33"/>
    <w:rsid w:val="00620521"/>
    <w:rsid w:val="006308C2"/>
    <w:rsid w:val="00635E96"/>
    <w:rsid w:val="006372B7"/>
    <w:rsid w:val="00640BFB"/>
    <w:rsid w:val="00641877"/>
    <w:rsid w:val="0064447C"/>
    <w:rsid w:val="00645193"/>
    <w:rsid w:val="00651E09"/>
    <w:rsid w:val="006523B9"/>
    <w:rsid w:val="006578AD"/>
    <w:rsid w:val="006607B5"/>
    <w:rsid w:val="00661F76"/>
    <w:rsid w:val="00666B2E"/>
    <w:rsid w:val="00666B81"/>
    <w:rsid w:val="006719A0"/>
    <w:rsid w:val="00682263"/>
    <w:rsid w:val="006870F1"/>
    <w:rsid w:val="006C191D"/>
    <w:rsid w:val="006C2BB5"/>
    <w:rsid w:val="006C5608"/>
    <w:rsid w:val="006E36F9"/>
    <w:rsid w:val="006E3ED8"/>
    <w:rsid w:val="006F6D9E"/>
    <w:rsid w:val="00701B3F"/>
    <w:rsid w:val="00704C60"/>
    <w:rsid w:val="00710400"/>
    <w:rsid w:val="00712688"/>
    <w:rsid w:val="007129B5"/>
    <w:rsid w:val="00714EDD"/>
    <w:rsid w:val="007152A9"/>
    <w:rsid w:val="0071546D"/>
    <w:rsid w:val="00715832"/>
    <w:rsid w:val="00717AF6"/>
    <w:rsid w:val="0072097C"/>
    <w:rsid w:val="0072405A"/>
    <w:rsid w:val="007307EF"/>
    <w:rsid w:val="007366BF"/>
    <w:rsid w:val="007429A9"/>
    <w:rsid w:val="00745670"/>
    <w:rsid w:val="00750E8E"/>
    <w:rsid w:val="007617B1"/>
    <w:rsid w:val="00771869"/>
    <w:rsid w:val="00773296"/>
    <w:rsid w:val="007755E0"/>
    <w:rsid w:val="00775D39"/>
    <w:rsid w:val="00780967"/>
    <w:rsid w:val="00785A24"/>
    <w:rsid w:val="00794A4D"/>
    <w:rsid w:val="007965AA"/>
    <w:rsid w:val="007A0CDD"/>
    <w:rsid w:val="007A337A"/>
    <w:rsid w:val="007B7853"/>
    <w:rsid w:val="007C6CA0"/>
    <w:rsid w:val="007C6F4B"/>
    <w:rsid w:val="007D0FFE"/>
    <w:rsid w:val="007E4887"/>
    <w:rsid w:val="007E7C0A"/>
    <w:rsid w:val="008012BD"/>
    <w:rsid w:val="0081155F"/>
    <w:rsid w:val="00811B17"/>
    <w:rsid w:val="00813B28"/>
    <w:rsid w:val="00825488"/>
    <w:rsid w:val="00834CE2"/>
    <w:rsid w:val="00836093"/>
    <w:rsid w:val="008433CE"/>
    <w:rsid w:val="00844835"/>
    <w:rsid w:val="00845498"/>
    <w:rsid w:val="00852916"/>
    <w:rsid w:val="0086403E"/>
    <w:rsid w:val="00874B8C"/>
    <w:rsid w:val="00882A3A"/>
    <w:rsid w:val="00884A49"/>
    <w:rsid w:val="00890AB0"/>
    <w:rsid w:val="00892231"/>
    <w:rsid w:val="0089791B"/>
    <w:rsid w:val="008B33B9"/>
    <w:rsid w:val="008B3F1A"/>
    <w:rsid w:val="008B4467"/>
    <w:rsid w:val="008C3015"/>
    <w:rsid w:val="008C3D8C"/>
    <w:rsid w:val="008C6A7C"/>
    <w:rsid w:val="008D54B4"/>
    <w:rsid w:val="008E14AE"/>
    <w:rsid w:val="008F2AF1"/>
    <w:rsid w:val="008F5C5F"/>
    <w:rsid w:val="008F71B8"/>
    <w:rsid w:val="008F7B2C"/>
    <w:rsid w:val="00904719"/>
    <w:rsid w:val="009170E5"/>
    <w:rsid w:val="009224D0"/>
    <w:rsid w:val="00924590"/>
    <w:rsid w:val="00926187"/>
    <w:rsid w:val="009307ED"/>
    <w:rsid w:val="00930B37"/>
    <w:rsid w:val="009337E3"/>
    <w:rsid w:val="00934921"/>
    <w:rsid w:val="00946ABF"/>
    <w:rsid w:val="00951A5E"/>
    <w:rsid w:val="00973C86"/>
    <w:rsid w:val="009746E9"/>
    <w:rsid w:val="00981187"/>
    <w:rsid w:val="009911A0"/>
    <w:rsid w:val="009A288F"/>
    <w:rsid w:val="009A4F0E"/>
    <w:rsid w:val="009A7A99"/>
    <w:rsid w:val="009B0992"/>
    <w:rsid w:val="009B2014"/>
    <w:rsid w:val="009C40A9"/>
    <w:rsid w:val="009C73D3"/>
    <w:rsid w:val="009D4BA7"/>
    <w:rsid w:val="009E267D"/>
    <w:rsid w:val="009E4661"/>
    <w:rsid w:val="009E563C"/>
    <w:rsid w:val="009F09BD"/>
    <w:rsid w:val="00A02FB7"/>
    <w:rsid w:val="00A116B1"/>
    <w:rsid w:val="00A138D9"/>
    <w:rsid w:val="00A170D6"/>
    <w:rsid w:val="00A17B94"/>
    <w:rsid w:val="00A2248D"/>
    <w:rsid w:val="00A229E1"/>
    <w:rsid w:val="00A26C8D"/>
    <w:rsid w:val="00A313E8"/>
    <w:rsid w:val="00A4104C"/>
    <w:rsid w:val="00A4125E"/>
    <w:rsid w:val="00A431F1"/>
    <w:rsid w:val="00A5055F"/>
    <w:rsid w:val="00A511F5"/>
    <w:rsid w:val="00A52D4E"/>
    <w:rsid w:val="00A53F35"/>
    <w:rsid w:val="00A569E0"/>
    <w:rsid w:val="00A56FE2"/>
    <w:rsid w:val="00A61443"/>
    <w:rsid w:val="00A6610B"/>
    <w:rsid w:val="00A67452"/>
    <w:rsid w:val="00A81983"/>
    <w:rsid w:val="00A82392"/>
    <w:rsid w:val="00A83C44"/>
    <w:rsid w:val="00A87361"/>
    <w:rsid w:val="00A9471B"/>
    <w:rsid w:val="00A94DF9"/>
    <w:rsid w:val="00AA182F"/>
    <w:rsid w:val="00AA5A8B"/>
    <w:rsid w:val="00AB7A82"/>
    <w:rsid w:val="00AC78EB"/>
    <w:rsid w:val="00AE1C47"/>
    <w:rsid w:val="00B00E0F"/>
    <w:rsid w:val="00B05377"/>
    <w:rsid w:val="00B06E34"/>
    <w:rsid w:val="00B072D8"/>
    <w:rsid w:val="00B0778F"/>
    <w:rsid w:val="00B12E8C"/>
    <w:rsid w:val="00B213E9"/>
    <w:rsid w:val="00B32A93"/>
    <w:rsid w:val="00B403A6"/>
    <w:rsid w:val="00B41130"/>
    <w:rsid w:val="00B47208"/>
    <w:rsid w:val="00B637EB"/>
    <w:rsid w:val="00B67E30"/>
    <w:rsid w:val="00B76E2E"/>
    <w:rsid w:val="00B94BCD"/>
    <w:rsid w:val="00BA2DE2"/>
    <w:rsid w:val="00BA2F8E"/>
    <w:rsid w:val="00BA3328"/>
    <w:rsid w:val="00BA3A0D"/>
    <w:rsid w:val="00BB5FF5"/>
    <w:rsid w:val="00BB68EC"/>
    <w:rsid w:val="00BC7386"/>
    <w:rsid w:val="00BD262F"/>
    <w:rsid w:val="00BD322F"/>
    <w:rsid w:val="00BE633C"/>
    <w:rsid w:val="00BF7DFB"/>
    <w:rsid w:val="00C16D95"/>
    <w:rsid w:val="00C2212D"/>
    <w:rsid w:val="00C2350D"/>
    <w:rsid w:val="00C324DF"/>
    <w:rsid w:val="00C36804"/>
    <w:rsid w:val="00C40CE1"/>
    <w:rsid w:val="00C454E1"/>
    <w:rsid w:val="00C55327"/>
    <w:rsid w:val="00C57AA2"/>
    <w:rsid w:val="00C64710"/>
    <w:rsid w:val="00C649B9"/>
    <w:rsid w:val="00C67980"/>
    <w:rsid w:val="00C8776A"/>
    <w:rsid w:val="00C95DDA"/>
    <w:rsid w:val="00CA493F"/>
    <w:rsid w:val="00CB2AE4"/>
    <w:rsid w:val="00CB3170"/>
    <w:rsid w:val="00CB3E73"/>
    <w:rsid w:val="00CB484F"/>
    <w:rsid w:val="00CC44C8"/>
    <w:rsid w:val="00CC6AFF"/>
    <w:rsid w:val="00CD0F73"/>
    <w:rsid w:val="00CF07BA"/>
    <w:rsid w:val="00CF176F"/>
    <w:rsid w:val="00D014E8"/>
    <w:rsid w:val="00D01AD0"/>
    <w:rsid w:val="00D10D2B"/>
    <w:rsid w:val="00D24C45"/>
    <w:rsid w:val="00D3747F"/>
    <w:rsid w:val="00D44320"/>
    <w:rsid w:val="00D46896"/>
    <w:rsid w:val="00D55A3C"/>
    <w:rsid w:val="00D55D1B"/>
    <w:rsid w:val="00D612CD"/>
    <w:rsid w:val="00D63493"/>
    <w:rsid w:val="00D70219"/>
    <w:rsid w:val="00D75B91"/>
    <w:rsid w:val="00D77AA6"/>
    <w:rsid w:val="00D80550"/>
    <w:rsid w:val="00D82488"/>
    <w:rsid w:val="00D83A88"/>
    <w:rsid w:val="00D848B1"/>
    <w:rsid w:val="00D867DE"/>
    <w:rsid w:val="00DA5161"/>
    <w:rsid w:val="00DA56D6"/>
    <w:rsid w:val="00DA61EB"/>
    <w:rsid w:val="00DA6BFD"/>
    <w:rsid w:val="00DB18F3"/>
    <w:rsid w:val="00DB28D7"/>
    <w:rsid w:val="00DB6522"/>
    <w:rsid w:val="00DB6C5D"/>
    <w:rsid w:val="00DD7776"/>
    <w:rsid w:val="00DD7778"/>
    <w:rsid w:val="00DE555A"/>
    <w:rsid w:val="00E00C32"/>
    <w:rsid w:val="00E020D6"/>
    <w:rsid w:val="00E136D8"/>
    <w:rsid w:val="00E40210"/>
    <w:rsid w:val="00E40C52"/>
    <w:rsid w:val="00E415EE"/>
    <w:rsid w:val="00E53B0E"/>
    <w:rsid w:val="00E547BC"/>
    <w:rsid w:val="00E6065F"/>
    <w:rsid w:val="00E61E31"/>
    <w:rsid w:val="00E73920"/>
    <w:rsid w:val="00E810E7"/>
    <w:rsid w:val="00E83A04"/>
    <w:rsid w:val="00E8584B"/>
    <w:rsid w:val="00E8584F"/>
    <w:rsid w:val="00E87761"/>
    <w:rsid w:val="00E94C11"/>
    <w:rsid w:val="00E95A02"/>
    <w:rsid w:val="00EC35E8"/>
    <w:rsid w:val="00ED2BDF"/>
    <w:rsid w:val="00EE4AF0"/>
    <w:rsid w:val="00EF02D5"/>
    <w:rsid w:val="00EF172C"/>
    <w:rsid w:val="00F06012"/>
    <w:rsid w:val="00F07B35"/>
    <w:rsid w:val="00F12953"/>
    <w:rsid w:val="00F23AE8"/>
    <w:rsid w:val="00F25A0F"/>
    <w:rsid w:val="00F31527"/>
    <w:rsid w:val="00F46907"/>
    <w:rsid w:val="00F57BD7"/>
    <w:rsid w:val="00F62DFA"/>
    <w:rsid w:val="00F71AF7"/>
    <w:rsid w:val="00F9572A"/>
    <w:rsid w:val="00F97FAF"/>
    <w:rsid w:val="00FA3BFC"/>
    <w:rsid w:val="00FB0994"/>
    <w:rsid w:val="00FC356D"/>
    <w:rsid w:val="00FC4BBE"/>
    <w:rsid w:val="00FD4418"/>
    <w:rsid w:val="00FD530B"/>
    <w:rsid w:val="00FD6A50"/>
    <w:rsid w:val="08FB6B96"/>
    <w:rsid w:val="169E684B"/>
    <w:rsid w:val="3C103F9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34"/>
    <w:qFormat/>
    <w:uiPriority w:val="0"/>
    <w:pPr>
      <w:keepNext/>
      <w:spacing w:after="0" w:line="240" w:lineRule="auto"/>
      <w:outlineLvl w:val="0"/>
    </w:pPr>
    <w:rPr>
      <w:rFonts w:ascii="PANDA Times UZ" w:hAnsi="PANDA Times UZ" w:eastAsia="Times New Roman" w:cs="Times New Roman"/>
      <w:sz w:val="28"/>
      <w:szCs w:val="20"/>
      <w:lang w:eastAsia="ru-RU"/>
    </w:rPr>
  </w:style>
  <w:style w:type="paragraph" w:styleId="3">
    <w:name w:val="heading 2"/>
    <w:basedOn w:val="1"/>
    <w:next w:val="1"/>
    <w:link w:val="36"/>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37"/>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38"/>
    <w:semiHidden/>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2"/>
    <w:semiHidden/>
    <w:unhideWhenUsed/>
    <w:qFormat/>
    <w:uiPriority w:val="99"/>
    <w:pPr>
      <w:spacing w:after="0" w:line="240" w:lineRule="auto"/>
    </w:pPr>
    <w:rPr>
      <w:rFonts w:ascii="Tahoma" w:hAnsi="Tahoma" w:cs="Tahoma"/>
      <w:sz w:val="16"/>
      <w:szCs w:val="16"/>
    </w:rPr>
  </w:style>
  <w:style w:type="paragraph" w:styleId="9">
    <w:name w:val="Body Text"/>
    <w:basedOn w:val="1"/>
    <w:link w:val="25"/>
    <w:qFormat/>
    <w:uiPriority w:val="1"/>
    <w:pPr>
      <w:widowControl w:val="0"/>
      <w:spacing w:after="0" w:line="240" w:lineRule="auto"/>
      <w:ind w:left="101" w:firstLine="709"/>
    </w:pPr>
    <w:rPr>
      <w:rFonts w:ascii="Cambria" w:hAnsi="Cambria" w:eastAsia="Cambria"/>
      <w:sz w:val="28"/>
      <w:szCs w:val="28"/>
      <w:lang w:val="en-US"/>
    </w:rPr>
  </w:style>
  <w:style w:type="character" w:styleId="10">
    <w:name w:val="annotation reference"/>
    <w:basedOn w:val="6"/>
    <w:semiHidden/>
    <w:unhideWhenUsed/>
    <w:qFormat/>
    <w:uiPriority w:val="99"/>
    <w:rPr>
      <w:sz w:val="16"/>
      <w:szCs w:val="16"/>
    </w:rPr>
  </w:style>
  <w:style w:type="paragraph" w:styleId="11">
    <w:name w:val="annotation text"/>
    <w:basedOn w:val="1"/>
    <w:link w:val="40"/>
    <w:semiHidden/>
    <w:unhideWhenUsed/>
    <w:qFormat/>
    <w:uiPriority w:val="99"/>
    <w:pPr>
      <w:spacing w:line="240" w:lineRule="auto"/>
    </w:pPr>
    <w:rPr>
      <w:sz w:val="20"/>
      <w:szCs w:val="20"/>
    </w:rPr>
  </w:style>
  <w:style w:type="paragraph" w:styleId="12">
    <w:name w:val="annotation subject"/>
    <w:basedOn w:val="11"/>
    <w:next w:val="11"/>
    <w:link w:val="41"/>
    <w:semiHidden/>
    <w:unhideWhenUsed/>
    <w:uiPriority w:val="99"/>
    <w:rPr>
      <w:b/>
      <w:bCs/>
    </w:rPr>
  </w:style>
  <w:style w:type="character" w:styleId="13">
    <w:name w:val="Emphasis"/>
    <w:basedOn w:val="6"/>
    <w:qFormat/>
    <w:uiPriority w:val="20"/>
    <w:rPr>
      <w:i/>
      <w:iCs/>
    </w:rPr>
  </w:style>
  <w:style w:type="paragraph" w:styleId="14">
    <w:name w:val="footer"/>
    <w:basedOn w:val="1"/>
    <w:link w:val="29"/>
    <w:unhideWhenUsed/>
    <w:qFormat/>
    <w:uiPriority w:val="99"/>
    <w:pPr>
      <w:tabs>
        <w:tab w:val="center" w:pos="4677"/>
        <w:tab w:val="right" w:pos="9355"/>
      </w:tabs>
      <w:spacing w:after="0" w:line="240" w:lineRule="auto"/>
    </w:pPr>
  </w:style>
  <w:style w:type="character" w:styleId="15">
    <w:name w:val="footnote reference"/>
    <w:semiHidden/>
    <w:unhideWhenUsed/>
    <w:qFormat/>
    <w:uiPriority w:val="99"/>
    <w:rPr>
      <w:vertAlign w:val="superscript"/>
    </w:rPr>
  </w:style>
  <w:style w:type="paragraph" w:styleId="16">
    <w:name w:val="footnote text"/>
    <w:basedOn w:val="1"/>
    <w:link w:val="27"/>
    <w:semiHidden/>
    <w:unhideWhenUsed/>
    <w:qFormat/>
    <w:uiPriority w:val="99"/>
    <w:pPr>
      <w:spacing w:after="0" w:line="240" w:lineRule="auto"/>
    </w:pPr>
    <w:rPr>
      <w:rFonts w:ascii="Calibri" w:hAnsi="Calibri" w:eastAsia="Times New Roman" w:cs="Times New Roman"/>
      <w:sz w:val="20"/>
      <w:szCs w:val="20"/>
      <w:lang w:val="en-GB" w:eastAsia="zh-CN"/>
    </w:rPr>
  </w:style>
  <w:style w:type="paragraph" w:styleId="17">
    <w:name w:val="header"/>
    <w:basedOn w:val="1"/>
    <w:link w:val="28"/>
    <w:unhideWhenUsed/>
    <w:qFormat/>
    <w:uiPriority w:val="99"/>
    <w:pPr>
      <w:tabs>
        <w:tab w:val="center" w:pos="4677"/>
        <w:tab w:val="right" w:pos="9355"/>
      </w:tabs>
      <w:spacing w:after="0" w:line="240" w:lineRule="auto"/>
    </w:pPr>
  </w:style>
  <w:style w:type="character" w:styleId="18">
    <w:name w:val="Hyperlink"/>
    <w:basedOn w:val="6"/>
    <w:unhideWhenUsed/>
    <w:qFormat/>
    <w:uiPriority w:val="99"/>
    <w:rPr>
      <w:color w:val="0000FF" w:themeColor="hyperlink"/>
      <w:u w:val="single"/>
      <w14:textFill>
        <w14:solidFill>
          <w14:schemeClr w14:val="hlink"/>
        </w14:solidFill>
      </w14:textFill>
    </w:rPr>
  </w:style>
  <w:style w:type="paragraph" w:styleId="1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20">
    <w:name w:val="Strong"/>
    <w:basedOn w:val="6"/>
    <w:qFormat/>
    <w:uiPriority w:val="22"/>
    <w:rPr>
      <w:b/>
      <w:bCs/>
    </w:rPr>
  </w:style>
  <w:style w:type="table" w:styleId="21">
    <w:name w:val="Table Grid"/>
    <w:basedOn w:val="7"/>
    <w:unhideWhenUsed/>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List Paragraph"/>
    <w:basedOn w:val="1"/>
    <w:link w:val="26"/>
    <w:qFormat/>
    <w:uiPriority w:val="34"/>
    <w:pPr>
      <w:ind w:left="720"/>
      <w:contextualSpacing/>
    </w:pPr>
  </w:style>
  <w:style w:type="character" w:customStyle="1" w:styleId="23">
    <w:name w:val="Основной текст_"/>
    <w:basedOn w:val="6"/>
    <w:link w:val="24"/>
    <w:qFormat/>
    <w:uiPriority w:val="0"/>
    <w:rPr>
      <w:rFonts w:ascii="Times New Roman" w:hAnsi="Times New Roman" w:eastAsia="Times New Roman" w:cs="Times New Roman"/>
      <w:sz w:val="28"/>
      <w:szCs w:val="28"/>
    </w:rPr>
  </w:style>
  <w:style w:type="paragraph" w:customStyle="1" w:styleId="24">
    <w:name w:val="Основной текст1"/>
    <w:basedOn w:val="1"/>
    <w:link w:val="23"/>
    <w:qFormat/>
    <w:uiPriority w:val="0"/>
    <w:pPr>
      <w:widowControl w:val="0"/>
      <w:spacing w:after="100" w:line="240" w:lineRule="auto"/>
      <w:ind w:firstLine="400"/>
    </w:pPr>
    <w:rPr>
      <w:rFonts w:ascii="Times New Roman" w:hAnsi="Times New Roman" w:eastAsia="Times New Roman" w:cs="Times New Roman"/>
      <w:sz w:val="28"/>
      <w:szCs w:val="28"/>
    </w:rPr>
  </w:style>
  <w:style w:type="character" w:customStyle="1" w:styleId="25">
    <w:name w:val="Основной текст Знак"/>
    <w:basedOn w:val="6"/>
    <w:link w:val="9"/>
    <w:qFormat/>
    <w:uiPriority w:val="1"/>
    <w:rPr>
      <w:rFonts w:ascii="Cambria" w:hAnsi="Cambria" w:eastAsia="Cambria"/>
      <w:sz w:val="28"/>
      <w:szCs w:val="28"/>
      <w:lang w:val="en-US"/>
    </w:rPr>
  </w:style>
  <w:style w:type="character" w:customStyle="1" w:styleId="26">
    <w:name w:val="Абзац списка Знак"/>
    <w:link w:val="22"/>
    <w:qFormat/>
    <w:locked/>
    <w:uiPriority w:val="34"/>
  </w:style>
  <w:style w:type="character" w:customStyle="1" w:styleId="27">
    <w:name w:val="Текст сноски Знак"/>
    <w:basedOn w:val="6"/>
    <w:link w:val="16"/>
    <w:semiHidden/>
    <w:qFormat/>
    <w:uiPriority w:val="99"/>
    <w:rPr>
      <w:rFonts w:ascii="Calibri" w:hAnsi="Calibri" w:eastAsia="Times New Roman" w:cs="Times New Roman"/>
      <w:sz w:val="20"/>
      <w:szCs w:val="20"/>
      <w:lang w:val="en-GB" w:eastAsia="zh-CN"/>
    </w:rPr>
  </w:style>
  <w:style w:type="character" w:customStyle="1" w:styleId="28">
    <w:name w:val="Верхний колонтитул Знак"/>
    <w:basedOn w:val="6"/>
    <w:link w:val="17"/>
    <w:qFormat/>
    <w:uiPriority w:val="99"/>
  </w:style>
  <w:style w:type="character" w:customStyle="1" w:styleId="29">
    <w:name w:val="Нижний колонтитул Знак"/>
    <w:basedOn w:val="6"/>
    <w:link w:val="14"/>
    <w:qFormat/>
    <w:uiPriority w:val="99"/>
  </w:style>
  <w:style w:type="character" w:customStyle="1" w:styleId="30">
    <w:name w:val="Основной текст (2)_"/>
    <w:basedOn w:val="6"/>
    <w:link w:val="31"/>
    <w:qFormat/>
    <w:uiPriority w:val="0"/>
    <w:rPr>
      <w:rFonts w:ascii="Times New Roman" w:hAnsi="Times New Roman" w:eastAsia="Times New Roman" w:cs="Times New Roman"/>
      <w:sz w:val="28"/>
      <w:szCs w:val="28"/>
      <w:shd w:val="clear" w:color="auto" w:fill="FFFFFF"/>
    </w:rPr>
  </w:style>
  <w:style w:type="paragraph" w:customStyle="1" w:styleId="31">
    <w:name w:val="Основной текст (2)"/>
    <w:basedOn w:val="1"/>
    <w:link w:val="30"/>
    <w:qFormat/>
    <w:uiPriority w:val="0"/>
    <w:pPr>
      <w:widowControl w:val="0"/>
      <w:shd w:val="clear" w:color="auto" w:fill="FFFFFF"/>
      <w:spacing w:before="420" w:after="0" w:line="364" w:lineRule="exact"/>
      <w:ind w:hanging="480"/>
      <w:jc w:val="both"/>
    </w:pPr>
    <w:rPr>
      <w:rFonts w:ascii="Times New Roman" w:hAnsi="Times New Roman" w:eastAsia="Times New Roman" w:cs="Times New Roman"/>
      <w:sz w:val="28"/>
      <w:szCs w:val="28"/>
    </w:rPr>
  </w:style>
  <w:style w:type="character" w:customStyle="1" w:styleId="32">
    <w:name w:val="Текст выноски Знак"/>
    <w:basedOn w:val="6"/>
    <w:link w:val="8"/>
    <w:semiHidden/>
    <w:qFormat/>
    <w:uiPriority w:val="99"/>
    <w:rPr>
      <w:rFonts w:ascii="Tahoma" w:hAnsi="Tahoma" w:cs="Tahoma"/>
      <w:sz w:val="16"/>
      <w:szCs w:val="16"/>
    </w:rPr>
  </w:style>
  <w:style w:type="character" w:customStyle="1" w:styleId="33">
    <w:name w:val="Unresolved Mention"/>
    <w:basedOn w:val="6"/>
    <w:semiHidden/>
    <w:unhideWhenUsed/>
    <w:qFormat/>
    <w:uiPriority w:val="99"/>
    <w:rPr>
      <w:color w:val="605E5C"/>
      <w:shd w:val="clear" w:color="auto" w:fill="E1DFDD"/>
    </w:rPr>
  </w:style>
  <w:style w:type="character" w:customStyle="1" w:styleId="34">
    <w:name w:val="Заголовок 1 Знак"/>
    <w:basedOn w:val="6"/>
    <w:link w:val="2"/>
    <w:qFormat/>
    <w:uiPriority w:val="0"/>
    <w:rPr>
      <w:rFonts w:ascii="PANDA Times UZ" w:hAnsi="PANDA Times UZ" w:eastAsia="Times New Roman" w:cs="Times New Roman"/>
      <w:sz w:val="28"/>
      <w:szCs w:val="20"/>
      <w:lang w:eastAsia="ru-RU"/>
    </w:rPr>
  </w:style>
  <w:style w:type="character" w:customStyle="1" w:styleId="35">
    <w:name w:val="clauseprfx"/>
    <w:basedOn w:val="6"/>
    <w:qFormat/>
    <w:uiPriority w:val="0"/>
  </w:style>
  <w:style w:type="character" w:customStyle="1" w:styleId="36">
    <w:name w:val="Заголовок 2 Знак"/>
    <w:basedOn w:val="6"/>
    <w:link w:val="3"/>
    <w:qFormat/>
    <w:uiPriority w:val="9"/>
    <w:rPr>
      <w:rFonts w:asciiTheme="majorHAnsi" w:hAnsiTheme="majorHAnsi" w:eastAsiaTheme="majorEastAsia" w:cstheme="majorBidi"/>
      <w:color w:val="376092" w:themeColor="accent1" w:themeShade="BF"/>
      <w:sz w:val="26"/>
      <w:szCs w:val="26"/>
    </w:rPr>
  </w:style>
  <w:style w:type="character" w:customStyle="1" w:styleId="37">
    <w:name w:val="Заголовок 3 Знак"/>
    <w:basedOn w:val="6"/>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38">
    <w:name w:val="Заголовок 4 Знак"/>
    <w:basedOn w:val="6"/>
    <w:link w:val="5"/>
    <w:semiHidden/>
    <w:qFormat/>
    <w:uiPriority w:val="9"/>
    <w:rPr>
      <w:rFonts w:asciiTheme="majorHAnsi" w:hAnsiTheme="majorHAnsi" w:eastAsiaTheme="majorEastAsia" w:cstheme="majorBidi"/>
      <w:i/>
      <w:iCs/>
      <w:color w:val="376092" w:themeColor="accent1" w:themeShade="BF"/>
    </w:rPr>
  </w:style>
  <w:style w:type="table" w:customStyle="1" w:styleId="39">
    <w:name w:val="Grid Table Light"/>
    <w:basedOn w:val="7"/>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0">
    <w:name w:val="Текст примечания Знак"/>
    <w:basedOn w:val="6"/>
    <w:link w:val="11"/>
    <w:semiHidden/>
    <w:qFormat/>
    <w:uiPriority w:val="99"/>
    <w:rPr>
      <w:sz w:val="20"/>
      <w:szCs w:val="20"/>
    </w:rPr>
  </w:style>
  <w:style w:type="character" w:customStyle="1" w:styleId="41">
    <w:name w:val="Тема примечания Знак"/>
    <w:basedOn w:val="40"/>
    <w:link w:val="12"/>
    <w:semiHidden/>
    <w:qFormat/>
    <w:uiPriority w:val="99"/>
    <w:rPr>
      <w:b/>
      <w:bCs/>
      <w:sz w:val="20"/>
      <w:szCs w:val="20"/>
    </w:rPr>
  </w:style>
  <w:style w:type="paragraph" w:customStyle="1" w:styleId="42">
    <w:name w:val="isselectedend"/>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1032</Words>
  <Characters>8167</Characters>
  <Lines>65</Lines>
  <Paragraphs>18</Paragraphs>
  <TotalTime>2</TotalTime>
  <ScaleCrop>false</ScaleCrop>
  <LinksUpToDate>false</LinksUpToDate>
  <CharactersWithSpaces>9270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2026-07-08T12:05:00Z</dcterms:created>
  <dc:creator>Vohidjon Akramov</dc:creator>
  <cp:lastModifiedBy>Farrux Ravshanov</cp:lastModifiedBy>
  <cp:lastPrinted>2026-07-08T06:42:00Z</cp:lastPrinted>
  <dcterms:modified xsi:type="dcterms:W3CDTF">2026-07-12T18:33:44Z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7916D50848FC4679BCAE2214DBD13246_13</vt:lpwstr>
  </property>
  <property fmtid="{D5CDD505-2E9C-101B-9397-08002B2CF9AE}" pid="4" name="KSOTemplateDocerSaveRecord">
    <vt:lpwstr>eyJoZGlkIjoiN2NiNmU3ODNkNmM2NmU5MmQ5NzZmOGYwYmI5NWY5OGMiLCJ1c2VySWQiOiI0NjkwODA5MzAwNzY2In0=</vt:lpwstr>
  </property>
</Properties>
</file>