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DOKUMENTASI PIPELINE PEMODELAN</w:t>
      </w:r>
    </w:p>
    <w:p>
      <w:pPr>
        <w:jc w:val="center"/>
      </w:pPr>
      <w:r>
        <w:rPr>
          <w:i/>
          <w:sz w:val="26"/>
        </w:rPr>
        <w:t>Prediksi IHSG: Multi-Model Tree-Based Ensemble Framework</w:t>
      </w:r>
    </w:p>
    <w:p/>
    <w:p>
      <w:pPr>
        <w:jc w:val="center"/>
      </w:pPr>
      <w:r>
        <w:rPr>
          <w:sz w:val="22"/>
        </w:rPr>
        <w:t>Penjelasan Step-by-Step Notebook 00 — 06</w:t>
      </w:r>
    </w:p>
    <w:p/>
    <w:p>
      <w:pPr>
        <w:pStyle w:val="Heading1"/>
      </w:pPr>
      <w:r>
        <w:t>GAMBARAN UMUM PIPELINE</w:t>
      </w:r>
    </w:p>
    <w:p>
      <w:pPr>
        <w:spacing w:after="80"/>
      </w:pPr>
      <w:r>
        <w:rPr>
          <w:b w:val="0"/>
          <w:i w:val="0"/>
          <w:sz w:val="22"/>
        </w:rPr>
        <w:t>Pipeline penelitian ini terdiri dari 7 notebook Jupyter yang berjalan secara berurutan. Setiap notebook memiliki tanggung jawab yang spesifik, mulai dari persiapan data hingga analisis interpretabilitas model. Data yang digunakan adalah harga IHSG (Indeks Harga Saham Gabungan) harian periode Januari 2015 – Januari 2025, dikombinasikan dengan 15 variabel kovariat dari tiga kategori: makroekonomi domestik, harga komoditas global, dan indeks regional.</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C9E5"/>
          </w:tcPr>
          <w:p>
            <w:r>
              <w:rPr>
                <w:b/>
                <w:sz w:val="20"/>
              </w:rPr>
              <w:t>Notebook</w:t>
            </w:r>
          </w:p>
        </w:tc>
        <w:tc>
          <w:tcPr>
            <w:tcW w:type="dxa" w:w="3024"/>
            <w:shd w:val="clear" w:color="auto" w:fill="BDC9E5"/>
          </w:tcPr>
          <w:p>
            <w:r>
              <w:rPr>
                <w:b/>
                <w:sz w:val="20"/>
              </w:rPr>
              <w:t>Nama File</w:t>
            </w:r>
          </w:p>
        </w:tc>
        <w:tc>
          <w:tcPr>
            <w:tcW w:type="dxa" w:w="3024"/>
            <w:shd w:val="clear" w:color="auto" w:fill="BDC9E5"/>
          </w:tcPr>
          <w:p>
            <w:r>
              <w:rPr>
                <w:b/>
                <w:sz w:val="20"/>
              </w:rPr>
              <w:t>Fungsi Utama</w:t>
            </w:r>
          </w:p>
        </w:tc>
      </w:tr>
      <w:tr>
        <w:tc>
          <w:tcPr>
            <w:tcW w:type="dxa" w:w="3024"/>
          </w:tcPr>
          <w:p>
            <w:r>
              <w:rPr>
                <w:sz w:val="20"/>
              </w:rPr>
              <w:t>00</w:t>
            </w:r>
          </w:p>
        </w:tc>
        <w:tc>
          <w:tcPr>
            <w:tcW w:type="dxa" w:w="3024"/>
          </w:tcPr>
          <w:p>
            <w:r>
              <w:rPr>
                <w:sz w:val="20"/>
              </w:rPr>
              <w:t>00_data_preprocessing.ipynb</w:t>
            </w:r>
          </w:p>
        </w:tc>
        <w:tc>
          <w:tcPr>
            <w:tcW w:type="dxa" w:w="3024"/>
          </w:tcPr>
          <w:p>
            <w:r>
              <w:rPr>
                <w:sz w:val="20"/>
              </w:rPr>
              <w:t>Memuat, menggabungkan, menguji stasioneritas, dan mentransformasi semua data</w:t>
            </w:r>
          </w:p>
        </w:tc>
      </w:tr>
      <w:tr>
        <w:tc>
          <w:tcPr>
            <w:tcW w:type="dxa" w:w="3024"/>
          </w:tcPr>
          <w:p>
            <w:r>
              <w:rPr>
                <w:sz w:val="20"/>
              </w:rPr>
              <w:t>01</w:t>
            </w:r>
          </w:p>
        </w:tc>
        <w:tc>
          <w:tcPr>
            <w:tcW w:type="dxa" w:w="3024"/>
          </w:tcPr>
          <w:p>
            <w:r>
              <w:rPr>
                <w:sz w:val="20"/>
              </w:rPr>
              <w:t>01_hyperparameter_tuning.ipynb</w:t>
            </w:r>
          </w:p>
        </w:tc>
        <w:tc>
          <w:tcPr>
            <w:tcW w:type="dxa" w:w="3024"/>
          </w:tcPr>
          <w:p>
            <w:r>
              <w:rPr>
                <w:sz w:val="20"/>
              </w:rPr>
              <w:t>Tuning hyperparameter 4 model dengan Optuna (Bayesian optimization)</w:t>
            </w:r>
          </w:p>
        </w:tc>
      </w:tr>
      <w:tr>
        <w:tc>
          <w:tcPr>
            <w:tcW w:type="dxa" w:w="3024"/>
          </w:tcPr>
          <w:p>
            <w:r>
              <w:rPr>
                <w:sz w:val="20"/>
              </w:rPr>
              <w:t>02</w:t>
            </w:r>
          </w:p>
        </w:tc>
        <w:tc>
          <w:tcPr>
            <w:tcW w:type="dxa" w:w="3024"/>
          </w:tcPr>
          <w:p>
            <w:r>
              <w:rPr>
                <w:sz w:val="20"/>
              </w:rPr>
              <w:t>02_phase1_screening.ipynb</w:t>
            </w:r>
          </w:p>
        </w:tc>
        <w:tc>
          <w:tcPr>
            <w:tcW w:type="dxa" w:w="3024"/>
          </w:tcPr>
          <w:p>
            <w:r>
              <w:rPr>
                <w:sz w:val="20"/>
              </w:rPr>
              <w:t>128 eksperimen single-covariate screening (4 model × 16 covariate × 2 window)</w:t>
            </w:r>
          </w:p>
        </w:tc>
      </w:tr>
      <w:tr>
        <w:tc>
          <w:tcPr>
            <w:tcW w:type="dxa" w:w="3024"/>
          </w:tcPr>
          <w:p>
            <w:r>
              <w:rPr>
                <w:sz w:val="20"/>
              </w:rPr>
              <w:t>03</w:t>
            </w:r>
          </w:p>
        </w:tc>
        <w:tc>
          <w:tcPr>
            <w:tcW w:type="dxa" w:w="3024"/>
          </w:tcPr>
          <w:p>
            <w:r>
              <w:rPr>
                <w:sz w:val="20"/>
              </w:rPr>
              <w:t>03_screening_analysis.ipynb</w:t>
            </w:r>
          </w:p>
        </w:tc>
        <w:tc>
          <w:tcPr>
            <w:tcW w:type="dxa" w:w="3024"/>
          </w:tcPr>
          <w:p>
            <w:r>
              <w:rPr>
                <w:sz w:val="20"/>
              </w:rPr>
              <w:t>Analisis hasil Phase 1, visualisasi, penetapan Phase 2 groups</w:t>
            </w:r>
          </w:p>
        </w:tc>
      </w:tr>
      <w:tr>
        <w:tc>
          <w:tcPr>
            <w:tcW w:type="dxa" w:w="3024"/>
          </w:tcPr>
          <w:p>
            <w:r>
              <w:rPr>
                <w:sz w:val="20"/>
              </w:rPr>
              <w:t>04</w:t>
            </w:r>
          </w:p>
        </w:tc>
        <w:tc>
          <w:tcPr>
            <w:tcW w:type="dxa" w:w="3024"/>
          </w:tcPr>
          <w:p>
            <w:r>
              <w:rPr>
                <w:sz w:val="20"/>
              </w:rPr>
              <w:t>04_phase2_groups.ipynb</w:t>
            </w:r>
          </w:p>
        </w:tc>
        <w:tc>
          <w:tcPr>
            <w:tcW w:type="dxa" w:w="3024"/>
          </w:tcPr>
          <w:p>
            <w:r>
              <w:rPr>
                <w:sz w:val="20"/>
              </w:rPr>
              <w:t>32 eksperimen covariate groups yang lolos screening</w:t>
            </w:r>
          </w:p>
        </w:tc>
      </w:tr>
      <w:tr>
        <w:tc>
          <w:tcPr>
            <w:tcW w:type="dxa" w:w="3024"/>
          </w:tcPr>
          <w:p>
            <w:r>
              <w:rPr>
                <w:sz w:val="20"/>
              </w:rPr>
              <w:t>05</w:t>
            </w:r>
          </w:p>
        </w:tc>
        <w:tc>
          <w:tcPr>
            <w:tcW w:type="dxa" w:w="3024"/>
          </w:tcPr>
          <w:p>
            <w:r>
              <w:rPr>
                <w:sz w:val="20"/>
              </w:rPr>
              <w:t>05_shap_analysis.ipynb</w:t>
            </w:r>
          </w:p>
        </w:tc>
        <w:tc>
          <w:tcPr>
            <w:tcW w:type="dxa" w:w="3024"/>
          </w:tcPr>
          <w:p>
            <w:r>
              <w:rPr>
                <w:sz w:val="20"/>
              </w:rPr>
              <w:t>Analisis SHAP untuk interpretasi model terbaik</w:t>
            </w:r>
          </w:p>
        </w:tc>
      </w:tr>
      <w:tr>
        <w:tc>
          <w:tcPr>
            <w:tcW w:type="dxa" w:w="3024"/>
          </w:tcPr>
          <w:p>
            <w:r>
              <w:rPr>
                <w:sz w:val="20"/>
              </w:rPr>
              <w:t>06</w:t>
            </w:r>
          </w:p>
        </w:tc>
        <w:tc>
          <w:tcPr>
            <w:tcW w:type="dxa" w:w="3024"/>
          </w:tcPr>
          <w:p>
            <w:r>
              <w:rPr>
                <w:sz w:val="20"/>
              </w:rPr>
              <w:t>06_visualization.ipynb</w:t>
            </w:r>
          </w:p>
        </w:tc>
        <w:tc>
          <w:tcPr>
            <w:tcW w:type="dxa" w:w="3024"/>
          </w:tcPr>
          <w:p>
            <w:r>
              <w:rPr>
                <w:sz w:val="20"/>
              </w:rPr>
              <w:t>Visualisasi komparatif multi-model</w:t>
            </w:r>
          </w:p>
        </w:tc>
      </w:tr>
    </w:tbl>
    <w:p>
      <w:r>
        <w:br w:type="page"/>
      </w:r>
    </w:p>
    <w:p>
      <w:pPr>
        <w:pStyle w:val="Heading1"/>
      </w:pPr>
      <w:r>
        <w:t>NOTEBOOK 00 — Data Preprocessing</w:t>
      </w:r>
    </w:p>
    <w:p>
      <w:pPr>
        <w:spacing w:after="80"/>
      </w:pPr>
      <w:r>
        <w:rPr>
          <w:b/>
          <w:i/>
          <w:sz w:val="20"/>
        </w:rPr>
        <w:t>File: 00_data_preprocessing.ipynb</w:t>
      </w:r>
    </w:p>
    <w:p>
      <w:pPr>
        <w:spacing w:after="80"/>
      </w:pPr>
      <w:r>
        <w:rPr>
          <w:b w:val="0"/>
          <w:i w:val="0"/>
          <w:sz w:val="22"/>
        </w:rPr>
        <w:t>Notebook ini merupakan titik awal dari seluruh pipeline. Tujuannya adalah memuat semua dataset dari sumber CSV, menggabungkan data dengan frekuensi berbeda (harian, bulanan, kuartalan) menjadi satu dataframe terpadu, melakukan uji stasioneritas, dan menyimpan hasilnya untuk digunakan pada notebook berikutnya.</w:t>
      </w:r>
    </w:p>
    <w:p>
      <w:pPr>
        <w:pStyle w:val="Heading2"/>
      </w:pPr>
      <w:r>
        <w:t>Langkah 1 — Memuat Data Target (IHSG)</w:t>
      </w:r>
    </w:p>
    <w:p>
      <w:pPr>
        <w:spacing w:after="80"/>
      </w:pPr>
      <w:r>
        <w:rPr>
          <w:b w:val="0"/>
          <w:i w:val="0"/>
          <w:sz w:val="22"/>
        </w:rPr>
        <w:t>IHSG merupakan variabel target yang akan diprediksi. Data dimuat dari file CSV:</w:t>
      </w:r>
    </w:p>
    <w:p>
      <w:pPr>
        <w:pStyle w:val="ListBullet"/>
        <w:spacing w:after="40"/>
        <w:ind w:left="283"/>
      </w:pPr>
      <w:r>
        <w:rPr>
          <w:sz w:val="21"/>
        </w:rPr>
        <w:t>Sumber: GitHub repository, format CSV harian</w:t>
      </w:r>
    </w:p>
    <w:p>
      <w:pPr>
        <w:pStyle w:val="ListBullet"/>
        <w:spacing w:after="40"/>
        <w:ind w:left="283"/>
      </w:pPr>
      <w:r>
        <w:rPr>
          <w:sz w:val="21"/>
        </w:rPr>
        <w:t>Format tanggal: %d/%m/%Y</w:t>
      </w:r>
    </w:p>
    <w:p>
      <w:pPr>
        <w:pStyle w:val="ListBullet"/>
        <w:spacing w:after="40"/>
        <w:ind w:left="283"/>
      </w:pPr>
      <w:r>
        <w:rPr>
          <w:sz w:val="21"/>
        </w:rPr>
        <w:t>Total baris sebelum filter: 2.660 baris (2015-01-02 s.d. 2025-12-30)</w:t>
      </w:r>
    </w:p>
    <w:p>
      <w:pPr>
        <w:pStyle w:val="ListBullet"/>
        <w:spacing w:after="40"/>
        <w:ind w:left="283"/>
      </w:pPr>
      <w:r>
        <w:rPr>
          <w:sz w:val="21"/>
        </w:rPr>
        <w:t>Setelah filter periode penelitian: 2.443 baris business days</w:t>
      </w:r>
    </w:p>
    <w:p>
      <w:pPr>
        <w:pStyle w:val="Heading2"/>
      </w:pPr>
      <w:r>
        <w:t>Langkah 2 — Memuat Variabel Makroekonomi</w:t>
      </w:r>
    </w:p>
    <w:p>
      <w:pPr>
        <w:spacing w:after="80"/>
      </w:pPr>
      <w:r>
        <w:rPr>
          <w:b w:val="0"/>
          <w:i w:val="0"/>
          <w:sz w:val="22"/>
        </w:rPr>
        <w:t>Lima variabel makroekonomi dimuat dengan penanganan format yang berbeda-beda:</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BDC9E5"/>
          </w:tcPr>
          <w:p>
            <w:r>
              <w:rPr>
                <w:b/>
                <w:sz w:val="20"/>
              </w:rPr>
              <w:t>Variabel</w:t>
            </w:r>
          </w:p>
        </w:tc>
        <w:tc>
          <w:tcPr>
            <w:tcW w:type="dxa" w:w="2268"/>
            <w:shd w:val="clear" w:color="auto" w:fill="BDC9E5"/>
          </w:tcPr>
          <w:p>
            <w:r>
              <w:rPr>
                <w:b/>
                <w:sz w:val="20"/>
              </w:rPr>
              <w:t>Frekuensi</w:t>
            </w:r>
          </w:p>
        </w:tc>
        <w:tc>
          <w:tcPr>
            <w:tcW w:type="dxa" w:w="2268"/>
            <w:shd w:val="clear" w:color="auto" w:fill="BDC9E5"/>
          </w:tcPr>
          <w:p>
            <w:r>
              <w:rPr>
                <w:b/>
                <w:sz w:val="20"/>
              </w:rPr>
              <w:t>Format Tanggal</w:t>
            </w:r>
          </w:p>
        </w:tc>
        <w:tc>
          <w:tcPr>
            <w:tcW w:type="dxa" w:w="2268"/>
            <w:shd w:val="clear" w:color="auto" w:fill="BDC9E5"/>
          </w:tcPr>
          <w:p>
            <w:r>
              <w:rPr>
                <w:b/>
                <w:sz w:val="20"/>
              </w:rPr>
              <w:t>Keterangan</w:t>
            </w:r>
          </w:p>
        </w:tc>
      </w:tr>
      <w:tr>
        <w:tc>
          <w:tcPr>
            <w:tcW w:type="dxa" w:w="2268"/>
          </w:tcPr>
          <w:p>
            <w:r>
              <w:rPr>
                <w:sz w:val="20"/>
              </w:rPr>
              <w:t>BI_Rate</w:t>
            </w:r>
          </w:p>
        </w:tc>
        <w:tc>
          <w:tcPr>
            <w:tcW w:type="dxa" w:w="2268"/>
          </w:tcPr>
          <w:p>
            <w:r>
              <w:rPr>
                <w:sz w:val="20"/>
              </w:rPr>
              <w:t>Bulanan</w:t>
            </w:r>
          </w:p>
        </w:tc>
        <w:tc>
          <w:tcPr>
            <w:tcW w:type="dxa" w:w="2268"/>
          </w:tcPr>
          <w:p>
            <w:r>
              <w:rPr>
                <w:sz w:val="20"/>
              </w:rPr>
              <w:t>%d/%m/%y</w:t>
            </w:r>
          </w:p>
        </w:tc>
        <w:tc>
          <w:tcPr>
            <w:tcW w:type="dxa" w:w="2268"/>
          </w:tcPr>
          <w:p>
            <w:r>
              <w:rPr>
                <w:sz w:val="20"/>
              </w:rPr>
              <w:t>Suku bunga acuan Bank Indonesia</w:t>
            </w:r>
          </w:p>
        </w:tc>
      </w:tr>
      <w:tr>
        <w:tc>
          <w:tcPr>
            <w:tcW w:type="dxa" w:w="2268"/>
          </w:tcPr>
          <w:p>
            <w:r>
              <w:rPr>
                <w:sz w:val="20"/>
              </w:rPr>
              <w:t>CPI</w:t>
            </w:r>
          </w:p>
        </w:tc>
        <w:tc>
          <w:tcPr>
            <w:tcW w:type="dxa" w:w="2268"/>
          </w:tcPr>
          <w:p>
            <w:r>
              <w:rPr>
                <w:sz w:val="20"/>
              </w:rPr>
              <w:t>Bulanan</w:t>
            </w:r>
          </w:p>
        </w:tc>
        <w:tc>
          <w:tcPr>
            <w:tcW w:type="dxa" w:w="2268"/>
          </w:tcPr>
          <w:p>
            <w:r>
              <w:rPr>
                <w:sz w:val="20"/>
              </w:rPr>
              <w:t>%Y-%m-%d</w:t>
            </w:r>
          </w:p>
        </w:tc>
        <w:tc>
          <w:tcPr>
            <w:tcW w:type="dxa" w:w="2268"/>
          </w:tcPr>
          <w:p>
            <w:r>
              <w:rPr>
                <w:sz w:val="20"/>
              </w:rPr>
              <w:t>Consumer Price Index Indonesia</w:t>
            </w:r>
          </w:p>
        </w:tc>
      </w:tr>
      <w:tr>
        <w:tc>
          <w:tcPr>
            <w:tcW w:type="dxa" w:w="2268"/>
          </w:tcPr>
          <w:p>
            <w:r>
              <w:rPr>
                <w:sz w:val="20"/>
              </w:rPr>
              <w:t>M2</w:t>
            </w:r>
          </w:p>
        </w:tc>
        <w:tc>
          <w:tcPr>
            <w:tcW w:type="dxa" w:w="2268"/>
          </w:tcPr>
          <w:p>
            <w:r>
              <w:rPr>
                <w:sz w:val="20"/>
              </w:rPr>
              <w:t>Bulanan</w:t>
            </w:r>
          </w:p>
        </w:tc>
        <w:tc>
          <w:tcPr>
            <w:tcW w:type="dxa" w:w="2268"/>
          </w:tcPr>
          <w:p>
            <w:r>
              <w:rPr>
                <w:sz w:val="20"/>
              </w:rPr>
              <w:t>%m/%d/%Y</w:t>
            </w:r>
          </w:p>
        </w:tc>
        <w:tc>
          <w:tcPr>
            <w:tcW w:type="dxa" w:w="2268"/>
          </w:tcPr>
          <w:p>
            <w:r>
              <w:rPr>
                <w:sz w:val="20"/>
              </w:rPr>
              <w:t>Jumlah uang beredar luas</w:t>
            </w:r>
          </w:p>
        </w:tc>
      </w:tr>
      <w:tr>
        <w:tc>
          <w:tcPr>
            <w:tcW w:type="dxa" w:w="2268"/>
          </w:tcPr>
          <w:p>
            <w:r>
              <w:rPr>
                <w:sz w:val="20"/>
              </w:rPr>
              <w:t>NPL_Ratio</w:t>
            </w:r>
          </w:p>
        </w:tc>
        <w:tc>
          <w:tcPr>
            <w:tcW w:type="dxa" w:w="2268"/>
          </w:tcPr>
          <w:p>
            <w:r>
              <w:rPr>
                <w:sz w:val="20"/>
              </w:rPr>
              <w:t>Bulanan</w:t>
            </w:r>
          </w:p>
        </w:tc>
        <w:tc>
          <w:tcPr>
            <w:tcW w:type="dxa" w:w="2268"/>
          </w:tcPr>
          <w:p>
            <w:r>
              <w:rPr>
                <w:sz w:val="20"/>
              </w:rPr>
              <w:t>%d/%m/%y</w:t>
            </w:r>
          </w:p>
        </w:tc>
        <w:tc>
          <w:tcPr>
            <w:tcW w:type="dxa" w:w="2268"/>
          </w:tcPr>
          <w:p>
            <w:r>
              <w:rPr>
                <w:sz w:val="20"/>
              </w:rPr>
              <w:t>Non-Performing Loan rasio perbankan</w:t>
            </w:r>
          </w:p>
        </w:tc>
      </w:tr>
      <w:tr>
        <w:tc>
          <w:tcPr>
            <w:tcW w:type="dxa" w:w="2268"/>
          </w:tcPr>
          <w:p>
            <w:r>
              <w:rPr>
                <w:sz w:val="20"/>
              </w:rPr>
              <w:t>USDIDR</w:t>
            </w:r>
          </w:p>
        </w:tc>
        <w:tc>
          <w:tcPr>
            <w:tcW w:type="dxa" w:w="2268"/>
          </w:tcPr>
          <w:p>
            <w:r>
              <w:rPr>
                <w:sz w:val="20"/>
              </w:rPr>
              <w:t>Harian</w:t>
            </w:r>
          </w:p>
        </w:tc>
        <w:tc>
          <w:tcPr>
            <w:tcW w:type="dxa" w:w="2268"/>
          </w:tcPr>
          <w:p>
            <w:r>
              <w:rPr>
                <w:sz w:val="20"/>
              </w:rPr>
              <w:t>%d/%m/%Y</w:t>
            </w:r>
          </w:p>
        </w:tc>
        <w:tc>
          <w:tcPr>
            <w:tcW w:type="dxa" w:w="2268"/>
          </w:tcPr>
          <w:p>
            <w:r>
              <w:rPr>
                <w:sz w:val="20"/>
              </w:rPr>
              <w:t>Nilai tukar USD/IDR</w:t>
            </w:r>
          </w:p>
        </w:tc>
      </w:tr>
      <w:tr>
        <w:tc>
          <w:tcPr>
            <w:tcW w:type="dxa" w:w="2268"/>
          </w:tcPr>
          <w:p>
            <w:r>
              <w:rPr>
                <w:sz w:val="20"/>
              </w:rPr>
              <w:t>WTI</w:t>
            </w:r>
          </w:p>
        </w:tc>
        <w:tc>
          <w:tcPr>
            <w:tcW w:type="dxa" w:w="2268"/>
          </w:tcPr>
          <w:p>
            <w:r>
              <w:rPr>
                <w:sz w:val="20"/>
              </w:rPr>
              <w:t>Harian</w:t>
            </w:r>
          </w:p>
        </w:tc>
        <w:tc>
          <w:tcPr>
            <w:tcW w:type="dxa" w:w="2268"/>
          </w:tcPr>
          <w:p>
            <w:r>
              <w:rPr>
                <w:sz w:val="20"/>
              </w:rPr>
              <w:t>%m/%d/%Y</w:t>
            </w:r>
          </w:p>
        </w:tc>
        <w:tc>
          <w:tcPr>
            <w:tcW w:type="dxa" w:w="2268"/>
          </w:tcPr>
          <w:p>
            <w:r>
              <w:rPr>
                <w:sz w:val="20"/>
              </w:rPr>
              <w:t>Harga minyak mentah WTI (baru)</w:t>
            </w:r>
          </w:p>
        </w:tc>
      </w:tr>
      <w:tr>
        <w:tc>
          <w:tcPr>
            <w:tcW w:type="dxa" w:w="2268"/>
          </w:tcPr>
          <w:p>
            <w:r>
              <w:rPr>
                <w:sz w:val="20"/>
              </w:rPr>
              <w:t>US_Treas_10Y</w:t>
            </w:r>
          </w:p>
        </w:tc>
        <w:tc>
          <w:tcPr>
            <w:tcW w:type="dxa" w:w="2268"/>
          </w:tcPr>
          <w:p>
            <w:r>
              <w:rPr>
                <w:sz w:val="20"/>
              </w:rPr>
              <w:t>Harian</w:t>
            </w:r>
          </w:p>
        </w:tc>
        <w:tc>
          <w:tcPr>
            <w:tcW w:type="dxa" w:w="2268"/>
          </w:tcPr>
          <w:p>
            <w:r>
              <w:rPr>
                <w:sz w:val="20"/>
              </w:rPr>
              <w:t>%m/%d/%Y</w:t>
            </w:r>
          </w:p>
        </w:tc>
        <w:tc>
          <w:tcPr>
            <w:tcW w:type="dxa" w:w="2268"/>
          </w:tcPr>
          <w:p>
            <w:r>
              <w:rPr>
                <w:sz w:val="20"/>
              </w:rPr>
              <w:t>Yield obligasi AS tenor 10 tahun (baru)</w:t>
            </w:r>
          </w:p>
        </w:tc>
      </w:tr>
      <w:tr>
        <w:tc>
          <w:tcPr>
            <w:tcW w:type="dxa" w:w="2268"/>
          </w:tcPr>
          <w:p>
            <w:r>
              <w:rPr>
                <w:sz w:val="20"/>
              </w:rPr>
              <w:t>GDP</w:t>
            </w:r>
          </w:p>
        </w:tc>
        <w:tc>
          <w:tcPr>
            <w:tcW w:type="dxa" w:w="2268"/>
          </w:tcPr>
          <w:p>
            <w:r>
              <w:rPr>
                <w:sz w:val="20"/>
              </w:rPr>
              <w:t>Kuartalan</w:t>
            </w:r>
          </w:p>
        </w:tc>
        <w:tc>
          <w:tcPr>
            <w:tcW w:type="dxa" w:w="2268"/>
          </w:tcPr>
          <w:p>
            <w:r>
              <w:rPr>
                <w:sz w:val="20"/>
              </w:rPr>
              <w:t>%m/%d/%Y</w:t>
            </w:r>
          </w:p>
        </w:tc>
        <w:tc>
          <w:tcPr>
            <w:tcW w:type="dxa" w:w="2268"/>
          </w:tcPr>
          <w:p>
            <w:r>
              <w:rPr>
                <w:sz w:val="20"/>
              </w:rPr>
              <w:t>PDB Indonesia, 104 observasi (baru)</w:t>
            </w:r>
          </w:p>
        </w:tc>
      </w:tr>
    </w:tbl>
    <w:p/>
    <w:p>
      <w:pPr>
        <w:pStyle w:val="Heading2"/>
      </w:pPr>
      <w:r>
        <w:t>Langkah 3 — Memuat Harga Komoditas dan Indeks Regional</w:t>
      </w:r>
    </w:p>
    <w:p>
      <w:pPr>
        <w:spacing w:after="80"/>
      </w:pPr>
      <w:r>
        <w:rPr>
          <w:b w:val="0"/>
          <w:i w:val="0"/>
          <w:sz w:val="22"/>
        </w:rPr>
        <w:t>Tujuh harga komoditas harian dan satu indeks regional dimuat dengan fungsi bantu load_daily_csv() yang mencoba berbagai format tanggal secara otomatis:</w:t>
      </w:r>
    </w:p>
    <w:p>
      <w:pPr>
        <w:pStyle w:val="ListBullet"/>
        <w:spacing w:after="40"/>
        <w:ind w:left="283"/>
      </w:pPr>
      <w:r>
        <w:rPr>
          <w:sz w:val="21"/>
        </w:rPr>
        <w:t>Komoditas (7): Coal, Copper, Nickel, Silver, Tin, Gold, WTI</w:t>
      </w:r>
    </w:p>
    <w:p>
      <w:pPr>
        <w:pStyle w:val="ListBullet"/>
        <w:spacing w:after="40"/>
        <w:ind w:left="283"/>
      </w:pPr>
      <w:r>
        <w:rPr>
          <w:sz w:val="21"/>
        </w:rPr>
        <w:t>Regional (1): STI (Straits Times Index, Singapura)</w:t>
      </w:r>
    </w:p>
    <w:p>
      <w:pPr>
        <w:pStyle w:val="ListBullet"/>
        <w:spacing w:after="40"/>
        <w:ind w:left="283"/>
      </w:pPr>
      <w:r>
        <w:rPr>
          <w:sz w:val="21"/>
        </w:rPr>
        <w:t>Masing-masing memiliki 2.766–2.857 baris data harian</w:t>
      </w:r>
    </w:p>
    <w:p>
      <w:pPr>
        <w:pStyle w:val="Heading2"/>
      </w:pPr>
      <w:r>
        <w:t>Langkah 4 — Penggabungan Data (Merge)</w:t>
      </w:r>
    </w:p>
    <w:p>
      <w:pPr>
        <w:spacing w:after="80"/>
      </w:pPr>
      <w:r>
        <w:rPr>
          <w:b w:val="0"/>
          <w:i w:val="0"/>
          <w:sz w:val="22"/>
        </w:rPr>
        <w:t>Semua dataset digabungkan menjadi satu dataframe dengan strategi berbeda berdasarkan frekuensi data:</w:t>
      </w:r>
    </w:p>
    <w:p>
      <w:pPr>
        <w:pStyle w:val="ListBullet"/>
        <w:spacing w:after="40"/>
        <w:ind w:left="283"/>
      </w:pPr>
      <w:r>
        <w:rPr>
          <w:sz w:val="21"/>
        </w:rPr>
        <w:t>Data Harian: LEFT MERGE pada kolom tanggal + forward-fill (ffill) untuk hari libur/akhir pekan</w:t>
      </w:r>
    </w:p>
    <w:p>
      <w:pPr>
        <w:pStyle w:val="ListBullet"/>
        <w:spacing w:after="40"/>
        <w:ind w:left="283"/>
      </w:pPr>
      <w:r>
        <w:rPr>
          <w:sz w:val="21"/>
        </w:rPr>
        <w:t>Data Bulanan &amp; Kuartalan: merge_asof dengan direction='backward' — menggunakan nilai terbaru yang tersedia pada setiap tanggal business day (forward-fill implisit)</w:t>
      </w:r>
    </w:p>
    <w:p>
      <w:pPr>
        <w:spacing w:after="80"/>
      </w:pPr>
      <w:r>
        <w:rPr>
          <w:b w:val="0"/>
          <w:i w:val="0"/>
          <w:sz w:val="22"/>
        </w:rPr>
        <w:t>Hasil penggabungan:</w:t>
      </w:r>
    </w:p>
    <w:p>
      <w:pPr>
        <w:pStyle w:val="ListBullet"/>
        <w:spacing w:after="40"/>
        <w:ind w:left="283"/>
      </w:pPr>
      <w:r>
        <w:rPr>
          <w:sz w:val="21"/>
        </w:rPr>
        <w:t>Shape final: (2.443, 17) — 2.443 business days × 17 kolom</w:t>
      </w:r>
    </w:p>
    <w:p>
      <w:pPr>
        <w:pStyle w:val="ListBullet"/>
        <w:spacing w:after="40"/>
        <w:ind w:left="283"/>
      </w:pPr>
      <w:r>
        <w:rPr>
          <w:sz w:val="21"/>
        </w:rPr>
        <w:t>Kolom: date, IHSG, BI_Rate, CPI, M2, NPL_Ratio, GDP, USDIDR, WTI, US_Treasury_10Y, Coal, Copper, Nickel, Silver, Tin, Gold, STI</w:t>
      </w:r>
    </w:p>
    <w:p>
      <w:pPr>
        <w:pStyle w:val="ListBullet"/>
        <w:spacing w:after="40"/>
        <w:ind w:left="283"/>
      </w:pPr>
      <w:r>
        <w:rPr>
          <w:sz w:val="21"/>
        </w:rPr>
        <w:t>Tidak ada baris yang di-drop (tidak ada NaN setelah penggabungan)</w:t>
      </w:r>
    </w:p>
    <w:p>
      <w:pPr>
        <w:pStyle w:val="Heading2"/>
      </w:pPr>
      <w:r>
        <w:t>Langkah 5 — Uji Stasioneritas (ADF Test)</w:t>
      </w:r>
    </w:p>
    <w:p>
      <w:pPr>
        <w:spacing w:after="80"/>
      </w:pPr>
      <w:r>
        <w:rPr>
          <w:b w:val="0"/>
          <w:i w:val="0"/>
          <w:sz w:val="22"/>
        </w:rPr>
        <w:t>Augmented Dickey-Fuller (ADF) Test dilakukan pada semua 16 variabel (di luar kolom tanggal) untuk menentukan apakah data bersifat stasioner. Signifikansi ditetapkan pada level α = 5%.</w:t>
      </w:r>
    </w:p>
    <w:p>
      <w:pPr>
        <w:pStyle w:val="ListBullet"/>
        <w:spacing w:after="40"/>
        <w:ind w:left="283"/>
      </w:pPr>
      <w:r>
        <w:rPr>
          <w:sz w:val="21"/>
        </w:rPr>
        <w:t>Hasil pada level (sebelum transformasi): SEMUA variabel NON-STASIONER (p-value &gt; 0.05)</w:t>
      </w:r>
    </w:p>
    <w:p>
      <w:pPr>
        <w:pStyle w:val="ListBullet"/>
        <w:spacing w:after="40"/>
        <w:ind w:left="283"/>
      </w:pPr>
      <w:r>
        <w:rPr>
          <w:sz w:val="21"/>
        </w:rPr>
        <w:t>Rentang p-value: 0.15 hingga 0.995 — menunjukkan adanya unit root</w:t>
      </w:r>
    </w:p>
    <w:p>
      <w:pPr>
        <w:pStyle w:val="Heading2"/>
      </w:pPr>
      <w:r>
        <w:t>Langkah 6 — Transformasi Data</w:t>
      </w:r>
    </w:p>
    <w:p>
      <w:pPr>
        <w:spacing w:after="80"/>
      </w:pPr>
      <w:r>
        <w:rPr>
          <w:b w:val="0"/>
          <w:i w:val="0"/>
          <w:sz w:val="22"/>
        </w:rPr>
        <w:t>Berdasarkan hasil ADF, variabel dibagi ke dua kelompok dengan transformasi berbeda: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C9E5"/>
          </w:tcPr>
          <w:p>
            <w:r>
              <w:rPr>
                <w:b/>
                <w:sz w:val="20"/>
              </w:rPr>
              <w:t>Kelompok</w:t>
            </w:r>
          </w:p>
        </w:tc>
        <w:tc>
          <w:tcPr>
            <w:tcW w:type="dxa" w:w="3024"/>
            <w:shd w:val="clear" w:color="auto" w:fill="BDC9E5"/>
          </w:tcPr>
          <w:p>
            <w:r>
              <w:rPr>
                <w:b/>
                <w:sz w:val="20"/>
              </w:rPr>
              <w:t>Variabel</w:t>
            </w:r>
          </w:p>
        </w:tc>
        <w:tc>
          <w:tcPr>
            <w:tcW w:type="dxa" w:w="3024"/>
            <w:shd w:val="clear" w:color="auto" w:fill="BDC9E5"/>
          </w:tcPr>
          <w:p>
            <w:r>
              <w:rPr>
                <w:b/>
                <w:sz w:val="20"/>
              </w:rPr>
              <w:t>Transformasi</w:t>
            </w:r>
          </w:p>
        </w:tc>
      </w:tr>
      <w:tr>
        <w:tc>
          <w:tcPr>
            <w:tcW w:type="dxa" w:w="3024"/>
          </w:tcPr>
          <w:p>
            <w:r>
              <w:rPr>
                <w:sz w:val="20"/>
              </w:rPr>
              <w:t>LEVEL_VARS (11)</w:t>
            </w:r>
          </w:p>
        </w:tc>
        <w:tc>
          <w:tcPr>
            <w:tcW w:type="dxa" w:w="3024"/>
          </w:tcPr>
          <w:p>
            <w:r>
              <w:rPr>
                <w:sz w:val="20"/>
              </w:rPr>
              <w:t>M2, USDIDR, Coal, Copper, Nickel, Silver, Tin, STI, Gold, WTI, GDP</w:t>
            </w:r>
          </w:p>
        </w:tc>
        <w:tc>
          <w:tcPr>
            <w:tcW w:type="dxa" w:w="3024"/>
          </w:tcPr>
          <w:p>
            <w:r>
              <w:rPr>
                <w:sz w:val="20"/>
              </w:rPr>
              <w:t>diff(log(x)) — log-return</w:t>
            </w:r>
          </w:p>
        </w:tc>
      </w:tr>
      <w:tr>
        <w:tc>
          <w:tcPr>
            <w:tcW w:type="dxa" w:w="3024"/>
          </w:tcPr>
          <w:p>
            <w:r>
              <w:rPr>
                <w:sz w:val="20"/>
              </w:rPr>
              <w:t>RATE_VARS (4)</w:t>
            </w:r>
          </w:p>
        </w:tc>
        <w:tc>
          <w:tcPr>
            <w:tcW w:type="dxa" w:w="3024"/>
          </w:tcPr>
          <w:p>
            <w:r>
              <w:rPr>
                <w:sz w:val="20"/>
              </w:rPr>
              <w:t>BI_Rate, CPI, NPL_Ratio, US_Treasury_10Y</w:t>
            </w:r>
          </w:p>
        </w:tc>
        <w:tc>
          <w:tcPr>
            <w:tcW w:type="dxa" w:w="3024"/>
          </w:tcPr>
          <w:p>
            <w:r>
              <w:rPr>
                <w:sz w:val="20"/>
              </w:rPr>
              <w:t>diff(x) — first difference</w:t>
            </w:r>
          </w:p>
        </w:tc>
      </w:tr>
      <w:tr>
        <w:tc>
          <w:tcPr>
            <w:tcW w:type="dxa" w:w="3024"/>
          </w:tcPr>
          <w:p>
            <w:r>
              <w:rPr>
                <w:sz w:val="20"/>
              </w:rPr>
              <w:t>Target</w:t>
            </w:r>
          </w:p>
        </w:tc>
        <w:tc>
          <w:tcPr>
            <w:tcW w:type="dxa" w:w="3024"/>
          </w:tcPr>
          <w:p>
            <w:r>
              <w:rPr>
                <w:sz w:val="20"/>
              </w:rPr>
              <w:t>IHSG</w:t>
            </w:r>
          </w:p>
        </w:tc>
        <w:tc>
          <w:tcPr>
            <w:tcW w:type="dxa" w:w="3024"/>
          </w:tcPr>
          <w:p>
            <w:r>
              <w:rPr>
                <w:sz w:val="20"/>
              </w:rPr>
              <w:t>diff(log(x)) — log-return</w:t>
            </w:r>
          </w:p>
        </w:tc>
      </w:tr>
    </w:tbl>
    <w:p/>
    <w:p>
      <w:pPr>
        <w:pStyle w:val="ListBullet"/>
        <w:spacing w:after="40"/>
        <w:ind w:left="283"/>
      </w:pPr>
      <w:r>
        <w:rPr>
          <w:sz w:val="21"/>
        </w:rPr>
        <w:t>Setelah transformasi: SEMUA variabel STASIONER (p-value &lt; 0.05, rentang 0.0 hingga 1.5 × 10⁻²⁷)</w:t>
      </w:r>
    </w:p>
    <w:p>
      <w:pPr>
        <w:pStyle w:val="Heading2"/>
      </w:pPr>
      <w:r>
        <w:t>Output Notebook 00</w:t>
      </w:r>
    </w:p>
    <w:p>
      <w:pPr>
        <w:pStyle w:val="ListBullet"/>
        <w:spacing w:after="40"/>
        <w:ind w:left="283"/>
      </w:pPr>
      <w:r>
        <w:rPr>
          <w:sz w:val="21"/>
        </w:rPr>
        <w:t>saved_models/df_merged_[timestamp].joblib — dataframe gabungan (2.443 × 17)</w:t>
      </w:r>
    </w:p>
    <w:p>
      <w:pPr>
        <w:pStyle w:val="ListBullet"/>
        <w:spacing w:after="40"/>
        <w:ind w:left="283"/>
      </w:pPr>
      <w:r>
        <w:rPr>
          <w:sz w:val="21"/>
        </w:rPr>
        <w:t>saved_models/adf_level_[timestamp].csv — hasil ADF sebelum transformasi</w:t>
      </w:r>
    </w:p>
    <w:p>
      <w:pPr>
        <w:pStyle w:val="ListBullet"/>
        <w:spacing w:after="40"/>
        <w:ind w:left="283"/>
      </w:pPr>
      <w:r>
        <w:rPr>
          <w:sz w:val="21"/>
        </w:rPr>
        <w:t>saved_models/adf_transformed_[timestamp].csv — hasil ADF setelah transformasi</w:t>
      </w:r>
    </w:p>
    <w:p>
      <w:r>
        <w:br w:type="page"/>
      </w:r>
    </w:p>
    <w:p>
      <w:pPr>
        <w:pStyle w:val="Heading1"/>
      </w:pPr>
      <w:r>
        <w:t>NOTEBOOK 01 — Hyperparameter Tuning (Optuna)</w:t>
      </w:r>
    </w:p>
    <w:p>
      <w:pPr>
        <w:spacing w:after="80"/>
      </w:pPr>
      <w:r>
        <w:rPr>
          <w:b/>
          <w:i/>
          <w:sz w:val="20"/>
        </w:rPr>
        <w:t>File: 01_hyperparameter_tuning.ipynb</w:t>
      </w:r>
    </w:p>
    <w:p>
      <w:pPr>
        <w:spacing w:after="80"/>
      </w:pPr>
      <w:r>
        <w:rPr>
          <w:b w:val="0"/>
          <w:i w:val="0"/>
          <w:sz w:val="22"/>
        </w:rPr>
        <w:t>Notebook ini melakukan pencarian hyperparameter terbaik untuk 4 model menggunakan Optuna — framework Bayesian optimization berbasis TPE (Tree-structured Parzen Estimator). Tuning dilakukan pada data target saja (IHSG tanpa kovariat) untuk mendapatkan hyperparameter umum yang robust sebelum eksperimen dengan kovariat.</w:t>
      </w:r>
    </w:p>
    <w:p>
      <w:pPr>
        <w:pStyle w:val="Heading2"/>
      </w:pPr>
      <w:r>
        <w:t>Langkah 1 — Konfigurasi dan Data</w:t>
      </w:r>
    </w:p>
    <w:p>
      <w:pPr>
        <w:pStyle w:val="ListBullet"/>
        <w:spacing w:after="40"/>
        <w:ind w:left="283"/>
      </w:pPr>
      <w:r>
        <w:rPr>
          <w:sz w:val="21"/>
        </w:rPr>
        <w:t>Load df_merged dari joblib (output Notebook 00)</w:t>
      </w:r>
    </w:p>
    <w:p>
      <w:pPr>
        <w:pStyle w:val="ListBullet"/>
        <w:spacing w:after="40"/>
        <w:ind w:left="283"/>
      </w:pPr>
      <w:r>
        <w:rPr>
          <w:sz w:val="21"/>
        </w:rPr>
        <w:t>Konversi IHSG ke Darts TimeSeries (frekuensi business day 'B')</w:t>
      </w:r>
    </w:p>
    <w:p>
      <w:pPr>
        <w:pStyle w:val="ListBullet"/>
        <w:spacing w:after="40"/>
        <w:ind w:left="283"/>
      </w:pPr>
      <w:r>
        <w:rPr>
          <w:sz w:val="21"/>
        </w:rPr>
        <w:t>Transformasi target: log() → Diff(lags=1) → Scaler</w:t>
      </w:r>
    </w:p>
    <w:p>
      <w:pPr>
        <w:pStyle w:val="ListBullet"/>
        <w:spacing w:after="40"/>
        <w:ind w:left="283"/>
      </w:pPr>
      <w:r>
        <w:rPr>
          <w:sz w:val="21"/>
        </w:rPr>
        <w:t>Konfigurasi: WINDOW=120, N_FOLDS_TUNING=3, N_TRIALS=30 per model</w:t>
      </w:r>
    </w:p>
    <w:p>
      <w:pPr>
        <w:pStyle w:val="Heading2"/>
      </w:pPr>
      <w:r>
        <w:t>Langkah 2 — Fungsi Evaluasi CV untuk Optuna</w:t>
      </w:r>
    </w:p>
    <w:p>
      <w:pPr>
        <w:spacing w:after="80"/>
      </w:pPr>
      <w:r>
        <w:rPr>
          <w:b w:val="0"/>
          <w:i w:val="0"/>
          <w:sz w:val="22"/>
        </w:rPr>
        <w:t>Setiap trial Optuna dievaluasi menggunakan expanding window cross-validation 3-fold pada data training, lalu hasilnya diinverse-transform ke level harga IHSG untuk menghitung MAPE yang sesungguhnya.</w:t>
      </w:r>
    </w:p>
    <w:p>
      <w:pPr>
        <w:pStyle w:val="ListBullet"/>
        <w:spacing w:after="40"/>
        <w:ind w:left="283"/>
      </w:pPr>
      <w:r>
        <w:rPr>
          <w:sz w:val="21"/>
        </w:rPr>
        <w:t>min_train = 40% dari total data</w:t>
      </w:r>
    </w:p>
    <w:p>
      <w:pPr>
        <w:pStyle w:val="ListBullet"/>
        <w:spacing w:after="40"/>
        <w:ind w:left="283"/>
      </w:pPr>
      <w:r>
        <w:rPr>
          <w:sz w:val="21"/>
        </w:rPr>
        <w:t>test_size = 15% per fold</w:t>
      </w:r>
    </w:p>
    <w:p>
      <w:pPr>
        <w:pStyle w:val="ListBullet"/>
        <w:spacing w:after="40"/>
        <w:ind w:left="283"/>
      </w:pPr>
      <w:r>
        <w:rPr>
          <w:sz w:val="21"/>
        </w:rPr>
        <w:t>Metrik: MAPE (%) dihitung pada harga IHSG level (bukan log-return)</w:t>
      </w:r>
    </w:p>
    <w:p>
      <w:pPr>
        <w:pStyle w:val="ListBullet"/>
        <w:spacing w:after="40"/>
        <w:ind w:left="283"/>
      </w:pPr>
      <w:r>
        <w:rPr>
          <w:sz w:val="21"/>
        </w:rPr>
        <w:t>Return: mean MAPE across 3 folds → digunakan Optuna untuk minimasi</w:t>
      </w:r>
    </w:p>
    <w:p>
      <w:pPr>
        <w:pStyle w:val="Heading2"/>
      </w:pPr>
      <w:r>
        <w:t>Langkah 3 — Ruang Pencarian Hyperparameter</w:t>
      </w:r>
    </w:p>
    <w:p>
      <w:pPr>
        <w:spacing w:after="80"/>
      </w:pPr>
      <w:r>
        <w:rPr>
          <w:b w:val="0"/>
          <w:i w:val="0"/>
          <w:sz w:val="22"/>
        </w:rPr>
        <w:t>Keempat model memiliki ruang pencarian yang berbeda: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C9E5"/>
          </w:tcPr>
          <w:p>
            <w:r>
              <w:rPr>
                <w:b/>
                <w:sz w:val="20"/>
              </w:rPr>
              <w:t>Model</w:t>
            </w:r>
          </w:p>
        </w:tc>
        <w:tc>
          <w:tcPr>
            <w:tcW w:type="dxa" w:w="3024"/>
            <w:shd w:val="clear" w:color="auto" w:fill="BDC9E5"/>
          </w:tcPr>
          <w:p>
            <w:r>
              <w:rPr>
                <w:b/>
                <w:sz w:val="20"/>
              </w:rPr>
              <w:t>Parameter</w:t>
            </w:r>
          </w:p>
        </w:tc>
        <w:tc>
          <w:tcPr>
            <w:tcW w:type="dxa" w:w="3024"/>
            <w:shd w:val="clear" w:color="auto" w:fill="BDC9E5"/>
          </w:tcPr>
          <w:p>
            <w:r>
              <w:rPr>
                <w:b/>
                <w:sz w:val="20"/>
              </w:rPr>
              <w:t>Rentang Pencarian</w:t>
            </w:r>
          </w:p>
        </w:tc>
      </w:tr>
      <w:tr>
        <w:tc>
          <w:tcPr>
            <w:tcW w:type="dxa" w:w="3024"/>
          </w:tcPr>
          <w:p>
            <w:r>
              <w:rPr>
                <w:sz w:val="20"/>
              </w:rPr>
              <w:t>Random Forest</w:t>
            </w:r>
          </w:p>
        </w:tc>
        <w:tc>
          <w:tcPr>
            <w:tcW w:type="dxa" w:w="3024"/>
          </w:tcPr>
          <w:p>
            <w:r>
              <w:rPr>
                <w:sz w:val="20"/>
              </w:rPr>
              <w:t>n_estimators</w:t>
            </w:r>
          </w:p>
        </w:tc>
        <w:tc>
          <w:tcPr>
            <w:tcW w:type="dxa" w:w="3024"/>
          </w:tcPr>
          <w:p>
            <w:r>
              <w:rPr>
                <w:sz w:val="20"/>
              </w:rPr>
              <w:t>100 – 1000 (step 100)</w:t>
            </w:r>
          </w:p>
        </w:tc>
      </w:tr>
      <w:tr>
        <w:tc>
          <w:tcPr>
            <w:tcW w:type="dxa" w:w="3024"/>
          </w:tcPr>
          <w:p>
            <w:r>
              <w:rPr>
                <w:sz w:val="20"/>
              </w:rPr>
            </w:r>
          </w:p>
        </w:tc>
        <w:tc>
          <w:tcPr>
            <w:tcW w:type="dxa" w:w="3024"/>
          </w:tcPr>
          <w:p>
            <w:r>
              <w:rPr>
                <w:sz w:val="20"/>
              </w:rPr>
              <w:t>max_depth</w:t>
            </w:r>
          </w:p>
        </w:tc>
        <w:tc>
          <w:tcPr>
            <w:tcW w:type="dxa" w:w="3024"/>
          </w:tcPr>
          <w:p>
            <w:r>
              <w:rPr>
                <w:sz w:val="20"/>
              </w:rPr>
              <w:t>3 – 20</w:t>
            </w:r>
          </w:p>
        </w:tc>
      </w:tr>
      <w:tr>
        <w:tc>
          <w:tcPr>
            <w:tcW w:type="dxa" w:w="3024"/>
          </w:tcPr>
          <w:p>
            <w:r>
              <w:rPr>
                <w:sz w:val="20"/>
              </w:rPr>
            </w:r>
          </w:p>
        </w:tc>
        <w:tc>
          <w:tcPr>
            <w:tcW w:type="dxa" w:w="3024"/>
          </w:tcPr>
          <w:p>
            <w:r>
              <w:rPr>
                <w:sz w:val="20"/>
              </w:rPr>
              <w:t>max_features</w:t>
            </w:r>
          </w:p>
        </w:tc>
        <w:tc>
          <w:tcPr>
            <w:tcW w:type="dxa" w:w="3024"/>
          </w:tcPr>
          <w:p>
            <w:r>
              <w:rPr>
                <w:sz w:val="20"/>
              </w:rPr>
              <w:t>sqrt / log2 / 0.3 / 0.5 / 0.7</w:t>
            </w:r>
          </w:p>
        </w:tc>
      </w:tr>
      <w:tr>
        <w:tc>
          <w:tcPr>
            <w:tcW w:type="dxa" w:w="3024"/>
          </w:tcPr>
          <w:p>
            <w:r>
              <w:rPr>
                <w:sz w:val="20"/>
              </w:rPr>
            </w:r>
          </w:p>
        </w:tc>
        <w:tc>
          <w:tcPr>
            <w:tcW w:type="dxa" w:w="3024"/>
          </w:tcPr>
          <w:p>
            <w:r>
              <w:rPr>
                <w:sz w:val="20"/>
              </w:rPr>
              <w:t>max_samples</w:t>
            </w:r>
          </w:p>
        </w:tc>
        <w:tc>
          <w:tcPr>
            <w:tcW w:type="dxa" w:w="3024"/>
          </w:tcPr>
          <w:p>
            <w:r>
              <w:rPr>
                <w:sz w:val="20"/>
              </w:rPr>
              <w:t>0.5 – 0.9</w:t>
            </w:r>
          </w:p>
        </w:tc>
      </w:tr>
      <w:tr>
        <w:tc>
          <w:tcPr>
            <w:tcW w:type="dxa" w:w="3024"/>
          </w:tcPr>
          <w:p>
            <w:r>
              <w:rPr>
                <w:sz w:val="20"/>
              </w:rPr>
            </w:r>
          </w:p>
        </w:tc>
        <w:tc>
          <w:tcPr>
            <w:tcW w:type="dxa" w:w="3024"/>
          </w:tcPr>
          <w:p>
            <w:r>
              <w:rPr>
                <w:sz w:val="20"/>
              </w:rPr>
              <w:t>min_samples_split</w:t>
            </w:r>
          </w:p>
        </w:tc>
        <w:tc>
          <w:tcPr>
            <w:tcW w:type="dxa" w:w="3024"/>
          </w:tcPr>
          <w:p>
            <w:r>
              <w:rPr>
                <w:sz w:val="20"/>
              </w:rPr>
              <w:t>2 – 20</w:t>
            </w:r>
          </w:p>
        </w:tc>
      </w:tr>
      <w:tr>
        <w:tc>
          <w:tcPr>
            <w:tcW w:type="dxa" w:w="3024"/>
          </w:tcPr>
          <w:p>
            <w:r>
              <w:rPr>
                <w:sz w:val="20"/>
              </w:rPr>
            </w:r>
          </w:p>
        </w:tc>
        <w:tc>
          <w:tcPr>
            <w:tcW w:type="dxa" w:w="3024"/>
          </w:tcPr>
          <w:p>
            <w:r>
              <w:rPr>
                <w:sz w:val="20"/>
              </w:rPr>
              <w:t>min_samples_leaf</w:t>
            </w:r>
          </w:p>
        </w:tc>
        <w:tc>
          <w:tcPr>
            <w:tcW w:type="dxa" w:w="3024"/>
          </w:tcPr>
          <w:p>
            <w:r>
              <w:rPr>
                <w:sz w:val="20"/>
              </w:rPr>
              <w:t>1 – 10</w:t>
            </w:r>
          </w:p>
        </w:tc>
      </w:tr>
      <w:tr>
        <w:tc>
          <w:tcPr>
            <w:tcW w:type="dxa" w:w="3024"/>
          </w:tcPr>
          <w:p>
            <w:r>
              <w:rPr>
                <w:sz w:val="20"/>
              </w:rPr>
              <w:t>Extra Trees</w:t>
            </w:r>
          </w:p>
        </w:tc>
        <w:tc>
          <w:tcPr>
            <w:tcW w:type="dxa" w:w="3024"/>
          </w:tcPr>
          <w:p>
            <w:r>
              <w:rPr>
                <w:sz w:val="20"/>
              </w:rPr>
              <w:t>n_estimators</w:t>
            </w:r>
          </w:p>
        </w:tc>
        <w:tc>
          <w:tcPr>
            <w:tcW w:type="dxa" w:w="3024"/>
          </w:tcPr>
          <w:p>
            <w:r>
              <w:rPr>
                <w:sz w:val="20"/>
              </w:rPr>
              <w:t>100 – 1000 (step 100)</w:t>
            </w:r>
          </w:p>
        </w:tc>
      </w:tr>
      <w:tr>
        <w:tc>
          <w:tcPr>
            <w:tcW w:type="dxa" w:w="3024"/>
          </w:tcPr>
          <w:p>
            <w:r>
              <w:rPr>
                <w:sz w:val="20"/>
              </w:rPr>
            </w:r>
          </w:p>
        </w:tc>
        <w:tc>
          <w:tcPr>
            <w:tcW w:type="dxa" w:w="3024"/>
          </w:tcPr>
          <w:p>
            <w:r>
              <w:rPr>
                <w:sz w:val="20"/>
              </w:rPr>
              <w:t>max_depth</w:t>
            </w:r>
          </w:p>
        </w:tc>
        <w:tc>
          <w:tcPr>
            <w:tcW w:type="dxa" w:w="3024"/>
          </w:tcPr>
          <w:p>
            <w:r>
              <w:rPr>
                <w:sz w:val="20"/>
              </w:rPr>
              <w:t>3 – 20</w:t>
            </w:r>
          </w:p>
        </w:tc>
      </w:tr>
      <w:tr>
        <w:tc>
          <w:tcPr>
            <w:tcW w:type="dxa" w:w="3024"/>
          </w:tcPr>
          <w:p>
            <w:r>
              <w:rPr>
                <w:sz w:val="20"/>
              </w:rPr>
            </w:r>
          </w:p>
        </w:tc>
        <w:tc>
          <w:tcPr>
            <w:tcW w:type="dxa" w:w="3024"/>
          </w:tcPr>
          <w:p>
            <w:r>
              <w:rPr>
                <w:sz w:val="20"/>
              </w:rPr>
              <w:t>max_features</w:t>
            </w:r>
          </w:p>
        </w:tc>
        <w:tc>
          <w:tcPr>
            <w:tcW w:type="dxa" w:w="3024"/>
          </w:tcPr>
          <w:p>
            <w:r>
              <w:rPr>
                <w:sz w:val="20"/>
              </w:rPr>
              <w:t>sqrt / log2 / 0.3 / 0.5 / 0.7</w:t>
            </w:r>
          </w:p>
        </w:tc>
      </w:tr>
      <w:tr>
        <w:tc>
          <w:tcPr>
            <w:tcW w:type="dxa" w:w="3024"/>
          </w:tcPr>
          <w:p>
            <w:r>
              <w:rPr>
                <w:sz w:val="20"/>
              </w:rPr>
            </w:r>
          </w:p>
        </w:tc>
        <w:tc>
          <w:tcPr>
            <w:tcW w:type="dxa" w:w="3024"/>
          </w:tcPr>
          <w:p>
            <w:r>
              <w:rPr>
                <w:sz w:val="20"/>
              </w:rPr>
              <w:t>min_samples_split</w:t>
            </w:r>
          </w:p>
        </w:tc>
        <w:tc>
          <w:tcPr>
            <w:tcW w:type="dxa" w:w="3024"/>
          </w:tcPr>
          <w:p>
            <w:r>
              <w:rPr>
                <w:sz w:val="20"/>
              </w:rPr>
              <w:t>2 – 20</w:t>
            </w:r>
          </w:p>
        </w:tc>
      </w:tr>
      <w:tr>
        <w:tc>
          <w:tcPr>
            <w:tcW w:type="dxa" w:w="3024"/>
          </w:tcPr>
          <w:p>
            <w:r>
              <w:rPr>
                <w:sz w:val="20"/>
              </w:rPr>
            </w:r>
          </w:p>
        </w:tc>
        <w:tc>
          <w:tcPr>
            <w:tcW w:type="dxa" w:w="3024"/>
          </w:tcPr>
          <w:p>
            <w:r>
              <w:rPr>
                <w:sz w:val="20"/>
              </w:rPr>
              <w:t>min_samples_leaf</w:t>
            </w:r>
          </w:p>
        </w:tc>
        <w:tc>
          <w:tcPr>
            <w:tcW w:type="dxa" w:w="3024"/>
          </w:tcPr>
          <w:p>
            <w:r>
              <w:rPr>
                <w:sz w:val="20"/>
              </w:rPr>
              <w:t>1 – 10</w:t>
            </w:r>
          </w:p>
        </w:tc>
      </w:tr>
      <w:tr>
        <w:tc>
          <w:tcPr>
            <w:tcW w:type="dxa" w:w="3024"/>
          </w:tcPr>
          <w:p>
            <w:r>
              <w:rPr>
                <w:sz w:val="20"/>
              </w:rPr>
              <w:t>XGBoost</w:t>
            </w:r>
          </w:p>
        </w:tc>
        <w:tc>
          <w:tcPr>
            <w:tcW w:type="dxa" w:w="3024"/>
          </w:tcPr>
          <w:p>
            <w:r>
              <w:rPr>
                <w:sz w:val="20"/>
              </w:rPr>
              <w:t>n_estimators</w:t>
            </w:r>
          </w:p>
        </w:tc>
        <w:tc>
          <w:tcPr>
            <w:tcW w:type="dxa" w:w="3024"/>
          </w:tcPr>
          <w:p>
            <w:r>
              <w:rPr>
                <w:sz w:val="20"/>
              </w:rPr>
              <w:t>100 – 1000 (step 100)</w:t>
            </w:r>
          </w:p>
        </w:tc>
      </w:tr>
      <w:tr>
        <w:tc>
          <w:tcPr>
            <w:tcW w:type="dxa" w:w="3024"/>
          </w:tcPr>
          <w:p>
            <w:r>
              <w:rPr>
                <w:sz w:val="20"/>
              </w:rPr>
            </w:r>
          </w:p>
        </w:tc>
        <w:tc>
          <w:tcPr>
            <w:tcW w:type="dxa" w:w="3024"/>
          </w:tcPr>
          <w:p>
            <w:r>
              <w:rPr>
                <w:sz w:val="20"/>
              </w:rPr>
              <w:t>max_depth</w:t>
            </w:r>
          </w:p>
        </w:tc>
        <w:tc>
          <w:tcPr>
            <w:tcW w:type="dxa" w:w="3024"/>
          </w:tcPr>
          <w:p>
            <w:r>
              <w:rPr>
                <w:sz w:val="20"/>
              </w:rPr>
              <w:t>3 – 15</w:t>
            </w:r>
          </w:p>
        </w:tc>
      </w:tr>
      <w:tr>
        <w:tc>
          <w:tcPr>
            <w:tcW w:type="dxa" w:w="3024"/>
          </w:tcPr>
          <w:p>
            <w:r>
              <w:rPr>
                <w:sz w:val="20"/>
              </w:rPr>
            </w:r>
          </w:p>
        </w:tc>
        <w:tc>
          <w:tcPr>
            <w:tcW w:type="dxa" w:w="3024"/>
          </w:tcPr>
          <w:p>
            <w:r>
              <w:rPr>
                <w:sz w:val="20"/>
              </w:rPr>
              <w:t>learning_rate</w:t>
            </w:r>
          </w:p>
        </w:tc>
        <w:tc>
          <w:tcPr>
            <w:tcW w:type="dxa" w:w="3024"/>
          </w:tcPr>
          <w:p>
            <w:r>
              <w:rPr>
                <w:sz w:val="20"/>
              </w:rPr>
              <w:t>0.01 – 0.30 (log scale)</w:t>
            </w:r>
          </w:p>
        </w:tc>
      </w:tr>
      <w:tr>
        <w:tc>
          <w:tcPr>
            <w:tcW w:type="dxa" w:w="3024"/>
          </w:tcPr>
          <w:p>
            <w:r>
              <w:rPr>
                <w:sz w:val="20"/>
              </w:rPr>
            </w:r>
          </w:p>
        </w:tc>
        <w:tc>
          <w:tcPr>
            <w:tcW w:type="dxa" w:w="3024"/>
          </w:tcPr>
          <w:p>
            <w:r>
              <w:rPr>
                <w:sz w:val="20"/>
              </w:rPr>
              <w:t>subsample</w:t>
            </w:r>
          </w:p>
        </w:tc>
        <w:tc>
          <w:tcPr>
            <w:tcW w:type="dxa" w:w="3024"/>
          </w:tcPr>
          <w:p>
            <w:r>
              <w:rPr>
                <w:sz w:val="20"/>
              </w:rPr>
              <w:t>0.5 – 1.0</w:t>
            </w:r>
          </w:p>
        </w:tc>
      </w:tr>
      <w:tr>
        <w:tc>
          <w:tcPr>
            <w:tcW w:type="dxa" w:w="3024"/>
          </w:tcPr>
          <w:p>
            <w:r>
              <w:rPr>
                <w:sz w:val="20"/>
              </w:rPr>
            </w:r>
          </w:p>
        </w:tc>
        <w:tc>
          <w:tcPr>
            <w:tcW w:type="dxa" w:w="3024"/>
          </w:tcPr>
          <w:p>
            <w:r>
              <w:rPr>
                <w:sz w:val="20"/>
              </w:rPr>
              <w:t>colsample_bytree</w:t>
            </w:r>
          </w:p>
        </w:tc>
        <w:tc>
          <w:tcPr>
            <w:tcW w:type="dxa" w:w="3024"/>
          </w:tcPr>
          <w:p>
            <w:r>
              <w:rPr>
                <w:sz w:val="20"/>
              </w:rPr>
              <w:t>0.3 – 1.0</w:t>
            </w:r>
          </w:p>
        </w:tc>
      </w:tr>
      <w:tr>
        <w:tc>
          <w:tcPr>
            <w:tcW w:type="dxa" w:w="3024"/>
          </w:tcPr>
          <w:p>
            <w:r>
              <w:rPr>
                <w:sz w:val="20"/>
              </w:rPr>
            </w:r>
          </w:p>
        </w:tc>
        <w:tc>
          <w:tcPr>
            <w:tcW w:type="dxa" w:w="3024"/>
          </w:tcPr>
          <w:p>
            <w:r>
              <w:rPr>
                <w:sz w:val="20"/>
              </w:rPr>
              <w:t>reg_alpha / reg_lambda</w:t>
            </w:r>
          </w:p>
        </w:tc>
        <w:tc>
          <w:tcPr>
            <w:tcW w:type="dxa" w:w="3024"/>
          </w:tcPr>
          <w:p>
            <w:r>
              <w:rPr>
                <w:sz w:val="20"/>
              </w:rPr>
              <w:t>1×10⁻⁸ – 10 (log scale)</w:t>
            </w:r>
          </w:p>
        </w:tc>
      </w:tr>
      <w:tr>
        <w:tc>
          <w:tcPr>
            <w:tcW w:type="dxa" w:w="3024"/>
          </w:tcPr>
          <w:p>
            <w:r>
              <w:rPr>
                <w:sz w:val="20"/>
              </w:rPr>
              <w:t>LightGBM</w:t>
            </w:r>
          </w:p>
        </w:tc>
        <w:tc>
          <w:tcPr>
            <w:tcW w:type="dxa" w:w="3024"/>
          </w:tcPr>
          <w:p>
            <w:r>
              <w:rPr>
                <w:sz w:val="20"/>
              </w:rPr>
              <w:t>n_estimators</w:t>
            </w:r>
          </w:p>
        </w:tc>
        <w:tc>
          <w:tcPr>
            <w:tcW w:type="dxa" w:w="3024"/>
          </w:tcPr>
          <w:p>
            <w:r>
              <w:rPr>
                <w:sz w:val="20"/>
              </w:rPr>
              <w:t>100 – 1000 (step 100)</w:t>
            </w:r>
          </w:p>
        </w:tc>
      </w:tr>
      <w:tr>
        <w:tc>
          <w:tcPr>
            <w:tcW w:type="dxa" w:w="3024"/>
          </w:tcPr>
          <w:p>
            <w:r>
              <w:rPr>
                <w:sz w:val="20"/>
              </w:rPr>
            </w:r>
          </w:p>
        </w:tc>
        <w:tc>
          <w:tcPr>
            <w:tcW w:type="dxa" w:w="3024"/>
          </w:tcPr>
          <w:p>
            <w:r>
              <w:rPr>
                <w:sz w:val="20"/>
              </w:rPr>
              <w:t>max_depth</w:t>
            </w:r>
          </w:p>
        </w:tc>
        <w:tc>
          <w:tcPr>
            <w:tcW w:type="dxa" w:w="3024"/>
          </w:tcPr>
          <w:p>
            <w:r>
              <w:rPr>
                <w:sz w:val="20"/>
              </w:rPr>
              <w:t>3 – 15</w:t>
            </w:r>
          </w:p>
        </w:tc>
      </w:tr>
      <w:tr>
        <w:tc>
          <w:tcPr>
            <w:tcW w:type="dxa" w:w="3024"/>
          </w:tcPr>
          <w:p>
            <w:r>
              <w:rPr>
                <w:sz w:val="20"/>
              </w:rPr>
            </w:r>
          </w:p>
        </w:tc>
        <w:tc>
          <w:tcPr>
            <w:tcW w:type="dxa" w:w="3024"/>
          </w:tcPr>
          <w:p>
            <w:r>
              <w:rPr>
                <w:sz w:val="20"/>
              </w:rPr>
              <w:t>num_leaves</w:t>
            </w:r>
          </w:p>
        </w:tc>
        <w:tc>
          <w:tcPr>
            <w:tcW w:type="dxa" w:w="3024"/>
          </w:tcPr>
          <w:p>
            <w:r>
              <w:rPr>
                <w:sz w:val="20"/>
              </w:rPr>
              <w:t>15 – 127</w:t>
            </w:r>
          </w:p>
        </w:tc>
      </w:tr>
      <w:tr>
        <w:tc>
          <w:tcPr>
            <w:tcW w:type="dxa" w:w="3024"/>
          </w:tcPr>
          <w:p>
            <w:r>
              <w:rPr>
                <w:sz w:val="20"/>
              </w:rPr>
            </w:r>
          </w:p>
        </w:tc>
        <w:tc>
          <w:tcPr>
            <w:tcW w:type="dxa" w:w="3024"/>
          </w:tcPr>
          <w:p>
            <w:r>
              <w:rPr>
                <w:sz w:val="20"/>
              </w:rPr>
              <w:t>learning_rate</w:t>
            </w:r>
          </w:p>
        </w:tc>
        <w:tc>
          <w:tcPr>
            <w:tcW w:type="dxa" w:w="3024"/>
          </w:tcPr>
          <w:p>
            <w:r>
              <w:rPr>
                <w:sz w:val="20"/>
              </w:rPr>
              <w:t>0.01 – 0.30 (log scale)</w:t>
            </w:r>
          </w:p>
        </w:tc>
      </w:tr>
      <w:tr>
        <w:tc>
          <w:tcPr>
            <w:tcW w:type="dxa" w:w="3024"/>
          </w:tcPr>
          <w:p>
            <w:r>
              <w:rPr>
                <w:sz w:val="20"/>
              </w:rPr>
            </w:r>
          </w:p>
        </w:tc>
        <w:tc>
          <w:tcPr>
            <w:tcW w:type="dxa" w:w="3024"/>
          </w:tcPr>
          <w:p>
            <w:r>
              <w:rPr>
                <w:sz w:val="20"/>
              </w:rPr>
              <w:t>min_child_samples</w:t>
            </w:r>
          </w:p>
        </w:tc>
        <w:tc>
          <w:tcPr>
            <w:tcW w:type="dxa" w:w="3024"/>
          </w:tcPr>
          <w:p>
            <w:r>
              <w:rPr>
                <w:sz w:val="20"/>
              </w:rPr>
              <w:t>5 – 50</w:t>
            </w:r>
          </w:p>
        </w:tc>
      </w:tr>
    </w:tbl>
    <w:p/>
    <w:p>
      <w:pPr>
        <w:pStyle w:val="Heading2"/>
      </w:pPr>
      <w:r>
        <w:t>Langkah 4 — Proses Tuning dan Hasil</w:t>
      </w:r>
    </w:p>
    <w:p>
      <w:pPr>
        <w:pStyle w:val="ListBullet"/>
        <w:spacing w:after="40"/>
        <w:ind w:left="283"/>
      </w:pPr>
      <w:r>
        <w:rPr>
          <w:sz w:val="21"/>
        </w:rPr>
        <w:t>Total: 4 model × 30 trial = 120 trial Optuna</w:t>
      </w:r>
    </w:p>
    <w:p>
      <w:pPr>
        <w:pStyle w:val="ListBullet"/>
        <w:spacing w:after="40"/>
        <w:ind w:left="283"/>
      </w:pPr>
      <w:r>
        <w:rPr>
          <w:sz w:val="21"/>
        </w:rPr>
        <w:t>Sampler: TPESampler(seed=42) — konsisten dan reprodusibel</w:t>
      </w:r>
    </w:p>
    <w:p>
      <w:pPr>
        <w:pStyle w:val="ListBullet"/>
        <w:spacing w:after="40"/>
        <w:ind w:left="283"/>
      </w:pPr>
      <w:r>
        <w:rPr>
          <w:sz w:val="21"/>
        </w:rPr>
        <w:t>Arah optimasi: minimize MAPE</w:t>
      </w:r>
    </w:p>
    <w:p>
      <w:pPr>
        <w:spacing w:after="80"/>
      </w:pPr>
      <w:r>
        <w:rPr>
          <w:b w:val="0"/>
          <w:i w:val="0"/>
          <w:sz w:val="22"/>
        </w:rPr>
        <w:t>Hasil terbaik per model: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C9E5"/>
          </w:tcPr>
          <w:p>
            <w:r>
              <w:rPr>
                <w:b/>
                <w:sz w:val="20"/>
              </w:rPr>
              <w:t>Model</w:t>
            </w:r>
          </w:p>
        </w:tc>
        <w:tc>
          <w:tcPr>
            <w:tcW w:type="dxa" w:w="3024"/>
            <w:shd w:val="clear" w:color="auto" w:fill="BDC9E5"/>
          </w:tcPr>
          <w:p>
            <w:r>
              <w:rPr>
                <w:b/>
                <w:sz w:val="20"/>
              </w:rPr>
              <w:t>Best MAPE (CV)</w:t>
            </w:r>
          </w:p>
        </w:tc>
        <w:tc>
          <w:tcPr>
            <w:tcW w:type="dxa" w:w="3024"/>
            <w:shd w:val="clear" w:color="auto" w:fill="BDC9E5"/>
          </w:tcPr>
          <w:p>
            <w:r>
              <w:rPr>
                <w:b/>
                <w:sz w:val="20"/>
              </w:rPr>
              <w:t>Catatan</w:t>
            </w:r>
          </w:p>
        </w:tc>
      </w:tr>
      <w:tr>
        <w:tc>
          <w:tcPr>
            <w:tcW w:type="dxa" w:w="3024"/>
          </w:tcPr>
          <w:p>
            <w:r>
              <w:rPr>
                <w:sz w:val="20"/>
              </w:rPr>
              <w:t>Random Forest</w:t>
            </w:r>
          </w:p>
        </w:tc>
        <w:tc>
          <w:tcPr>
            <w:tcW w:type="dxa" w:w="3024"/>
          </w:tcPr>
          <w:p>
            <w:r>
              <w:rPr>
                <w:sz w:val="20"/>
              </w:rPr>
              <w:t>103.4%</w:t>
            </w:r>
          </w:p>
        </w:tc>
        <w:tc>
          <w:tcPr>
            <w:tcW w:type="dxa" w:w="3024"/>
          </w:tcPr>
          <w:p>
            <w:r>
              <w:rPr>
                <w:sz w:val="20"/>
              </w:rPr>
              <w:t>MAPE pada log-return (skala berbeda dengan evaluasi final)</w:t>
            </w:r>
          </w:p>
        </w:tc>
      </w:tr>
      <w:tr>
        <w:tc>
          <w:tcPr>
            <w:tcW w:type="dxa" w:w="3024"/>
          </w:tcPr>
          <w:p>
            <w:r>
              <w:rPr>
                <w:sz w:val="20"/>
              </w:rPr>
              <w:t>Extra Trees</w:t>
            </w:r>
          </w:p>
        </w:tc>
        <w:tc>
          <w:tcPr>
            <w:tcW w:type="dxa" w:w="3024"/>
          </w:tcPr>
          <w:p>
            <w:r>
              <w:rPr>
                <w:sz w:val="20"/>
              </w:rPr>
              <w:t>102.9%</w:t>
            </w:r>
          </w:p>
        </w:tc>
        <w:tc>
          <w:tcPr>
            <w:tcW w:type="dxa" w:w="3024"/>
          </w:tcPr>
          <w:p>
            <w:r>
              <w:rPr>
                <w:sz w:val="20"/>
              </w:rPr>
              <w:t>Terbaik di antara 4 model pada tuning</w:t>
            </w:r>
          </w:p>
        </w:tc>
      </w:tr>
      <w:tr>
        <w:tc>
          <w:tcPr>
            <w:tcW w:type="dxa" w:w="3024"/>
          </w:tcPr>
          <w:p>
            <w:r>
              <w:rPr>
                <w:sz w:val="20"/>
              </w:rPr>
              <w:t>XGBoost</w:t>
            </w:r>
          </w:p>
        </w:tc>
        <w:tc>
          <w:tcPr>
            <w:tcW w:type="dxa" w:w="3024"/>
          </w:tcPr>
          <w:p>
            <w:r>
              <w:rPr>
                <w:sz w:val="20"/>
              </w:rPr>
              <w:t>107.5%</w:t>
            </w:r>
          </w:p>
        </w:tc>
        <w:tc>
          <w:tcPr>
            <w:tcW w:type="dxa" w:w="3024"/>
          </w:tcPr>
          <w:p>
            <w:r>
              <w:rPr>
                <w:sz w:val="20"/>
              </w:rPr>
            </w:r>
          </w:p>
        </w:tc>
      </w:tr>
      <w:tr>
        <w:tc>
          <w:tcPr>
            <w:tcW w:type="dxa" w:w="3024"/>
          </w:tcPr>
          <w:p>
            <w:r>
              <w:rPr>
                <w:sz w:val="20"/>
              </w:rPr>
              <w:t>LightGBM</w:t>
            </w:r>
          </w:p>
        </w:tc>
        <w:tc>
          <w:tcPr>
            <w:tcW w:type="dxa" w:w="3024"/>
          </w:tcPr>
          <w:p>
            <w:r>
              <w:rPr>
                <w:sz w:val="20"/>
              </w:rPr>
              <w:t>107.5%</w:t>
            </w:r>
          </w:p>
        </w:tc>
        <w:tc>
          <w:tcPr>
            <w:tcW w:type="dxa" w:w="3024"/>
          </w:tcPr>
          <w:p>
            <w:r>
              <w:rPr>
                <w:sz w:val="20"/>
              </w:rPr>
            </w:r>
          </w:p>
        </w:tc>
      </w:tr>
    </w:tbl>
    <w:p/>
    <w:p>
      <w:pPr>
        <w:spacing w:after="80"/>
      </w:pPr>
      <w:r>
        <w:rPr>
          <w:b w:val="0"/>
          <w:i w:val="0"/>
          <w:sz w:val="22"/>
        </w:rPr>
        <w:t>Catatan: Nilai MAPE pada tuning dihitung pada log-return (bukan level harga), sehingga nilainya jauh lebih tinggi dibanding MAPE pada evaluasi Phase 1 dan Phase 2 yang dihitung pada level harga IHSG. Ranking model tetap valid untuk pemilihan hyperparameter.</w:t>
      </w:r>
    </w:p>
    <w:p>
      <w:pPr>
        <w:pStyle w:val="Heading2"/>
      </w:pPr>
      <w:r>
        <w:t>Output Notebook 01</w:t>
      </w:r>
    </w:p>
    <w:p>
      <w:pPr>
        <w:pStyle w:val="ListBullet"/>
        <w:spacing w:after="40"/>
        <w:ind w:left="283"/>
      </w:pPr>
      <w:r>
        <w:rPr>
          <w:sz w:val="21"/>
        </w:rPr>
        <w:t>saved_models/optuna_tuning_results.joblib — best_params dan best_value per model</w:t>
      </w:r>
    </w:p>
    <w:p>
      <w:pPr>
        <w:pStyle w:val="ListBullet"/>
        <w:spacing w:after="40"/>
        <w:ind w:left="283"/>
      </w:pPr>
      <w:r>
        <w:rPr>
          <w:sz w:val="21"/>
        </w:rPr>
        <w:t>saved_models/optuna_tuning_summary.csv — tabel ringkasan parameter terbaik</w:t>
      </w:r>
    </w:p>
    <w:p>
      <w:r>
        <w:br w:type="page"/>
      </w:r>
    </w:p>
    <w:p>
      <w:pPr>
        <w:pStyle w:val="Heading1"/>
      </w:pPr>
      <w:r>
        <w:t>NOTEBOOK 02 — Phase 1: Single-Covariate Screening</w:t>
      </w:r>
    </w:p>
    <w:p>
      <w:pPr>
        <w:spacing w:after="80"/>
      </w:pPr>
      <w:r>
        <w:rPr>
          <w:b/>
          <w:i/>
          <w:sz w:val="20"/>
        </w:rPr>
        <w:t>File: 02_phase1_screening.ipynb</w:t>
      </w:r>
    </w:p>
    <w:p>
      <w:pPr>
        <w:spacing w:after="80"/>
      </w:pPr>
      <w:r>
        <w:rPr>
          <w:b w:val="0"/>
          <w:i w:val="0"/>
          <w:sz w:val="22"/>
        </w:rPr>
        <w:t>Notebook ini menjalankan 128 eksperimen sistematis untuk menguji kontribusi individual setiap kovariat terhadap akurasi prediksi IHSG. Setiap kovariat diuji satu per satu (single-covariate) dibandingkan baseline tanpa kovariat, menggunakan 4 model, 16 konfigurasi kovariat, dan 2 panjang window lookback.</w:t>
      </w:r>
    </w:p>
    <w:p>
      <w:pPr>
        <w:pStyle w:val="Heading2"/>
      </w:pPr>
      <w:r>
        <w:t>Langkah 1 — Konfigurasi Eksperimen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C9E5"/>
          </w:tcPr>
          <w:p>
            <w:r>
              <w:rPr>
                <w:b/>
                <w:sz w:val="20"/>
              </w:rPr>
              <w:t>Dimensi</w:t>
            </w:r>
          </w:p>
        </w:tc>
        <w:tc>
          <w:tcPr>
            <w:tcW w:type="dxa" w:w="3024"/>
            <w:shd w:val="clear" w:color="auto" w:fill="BDC9E5"/>
          </w:tcPr>
          <w:p>
            <w:r>
              <w:rPr>
                <w:b/>
                <w:sz w:val="20"/>
              </w:rPr>
              <w:t>Nilai</w:t>
            </w:r>
          </w:p>
        </w:tc>
        <w:tc>
          <w:tcPr>
            <w:tcW w:type="dxa" w:w="3024"/>
            <w:shd w:val="clear" w:color="auto" w:fill="BDC9E5"/>
          </w:tcPr>
          <w:p>
            <w:r>
              <w:rPr>
                <w:b/>
                <w:sz w:val="20"/>
              </w:rPr>
              <w:t>Keterangan</w:t>
            </w:r>
          </w:p>
        </w:tc>
      </w:tr>
      <w:tr>
        <w:tc>
          <w:tcPr>
            <w:tcW w:type="dxa" w:w="3024"/>
          </w:tcPr>
          <w:p>
            <w:r>
              <w:rPr>
                <w:sz w:val="20"/>
              </w:rPr>
              <w:t>Model</w:t>
            </w:r>
          </w:p>
        </w:tc>
        <w:tc>
          <w:tcPr>
            <w:tcW w:type="dxa" w:w="3024"/>
          </w:tcPr>
          <w:p>
            <w:r>
              <w:rPr>
                <w:sz w:val="20"/>
              </w:rPr>
              <w:t>RandomForest, ExtraTrees, XGBoost, LightGBM</w:t>
            </w:r>
          </w:p>
        </w:tc>
        <w:tc>
          <w:tcPr>
            <w:tcW w:type="dxa" w:w="3024"/>
          </w:tcPr>
          <w:p>
            <w:r>
              <w:rPr>
                <w:sz w:val="20"/>
              </w:rPr>
              <w:t>4 model</w:t>
            </w:r>
          </w:p>
        </w:tc>
      </w:tr>
      <w:tr>
        <w:tc>
          <w:tcPr>
            <w:tcW w:type="dxa" w:w="3024"/>
          </w:tcPr>
          <w:p>
            <w:r>
              <w:rPr>
                <w:sz w:val="20"/>
              </w:rPr>
              <w:t>Kovariat</w:t>
            </w:r>
          </w:p>
        </w:tc>
        <w:tc>
          <w:tcPr>
            <w:tcW w:type="dxa" w:w="3024"/>
          </w:tcPr>
          <w:p>
            <w:r>
              <w:rPr>
                <w:sz w:val="20"/>
              </w:rPr>
              <w:t>None + 15 kovariat tunggal</w:t>
            </w:r>
          </w:p>
        </w:tc>
        <w:tc>
          <w:tcPr>
            <w:tcW w:type="dxa" w:w="3024"/>
          </w:tcPr>
          <w:p>
            <w:r>
              <w:rPr>
                <w:sz w:val="20"/>
              </w:rPr>
              <w:t>16 konfigurasi</w:t>
            </w:r>
          </w:p>
        </w:tc>
      </w:tr>
      <w:tr>
        <w:tc>
          <w:tcPr>
            <w:tcW w:type="dxa" w:w="3024"/>
          </w:tcPr>
          <w:p>
            <w:r>
              <w:rPr>
                <w:sz w:val="20"/>
              </w:rPr>
              <w:t>Window</w:t>
            </w:r>
          </w:p>
        </w:tc>
        <w:tc>
          <w:tcPr>
            <w:tcW w:type="dxa" w:w="3024"/>
          </w:tcPr>
          <w:p>
            <w:r>
              <w:rPr>
                <w:sz w:val="20"/>
              </w:rPr>
              <w:t>30 hari, 120 hari</w:t>
            </w:r>
          </w:p>
        </w:tc>
        <w:tc>
          <w:tcPr>
            <w:tcW w:type="dxa" w:w="3024"/>
          </w:tcPr>
          <w:p>
            <w:r>
              <w:rPr>
                <w:sz w:val="20"/>
              </w:rPr>
              <w:t>2 skenario</w:t>
            </w:r>
          </w:p>
        </w:tc>
      </w:tr>
      <w:tr>
        <w:tc>
          <w:tcPr>
            <w:tcW w:type="dxa" w:w="3024"/>
          </w:tcPr>
          <w:p>
            <w:r>
              <w:rPr>
                <w:sz w:val="20"/>
              </w:rPr>
              <w:t>Horizon</w:t>
            </w:r>
          </w:p>
        </w:tc>
        <w:tc>
          <w:tcPr>
            <w:tcW w:type="dxa" w:w="3024"/>
          </w:tcPr>
          <w:p>
            <w:r>
              <w:rPr>
                <w:sz w:val="20"/>
              </w:rPr>
              <w:t>1 hari</w:t>
            </w:r>
          </w:p>
        </w:tc>
        <w:tc>
          <w:tcPr>
            <w:tcW w:type="dxa" w:w="3024"/>
          </w:tcPr>
          <w:p>
            <w:r>
              <w:rPr>
                <w:sz w:val="20"/>
              </w:rPr>
              <w:t>One-step-ahead</w:t>
            </w:r>
          </w:p>
        </w:tc>
      </w:tr>
      <w:tr>
        <w:tc>
          <w:tcPr>
            <w:tcW w:type="dxa" w:w="3024"/>
          </w:tcPr>
          <w:p>
            <w:r>
              <w:rPr>
                <w:sz w:val="20"/>
              </w:rPr>
              <w:t>Validasi</w:t>
            </w:r>
          </w:p>
        </w:tc>
        <w:tc>
          <w:tcPr>
            <w:tcW w:type="dxa" w:w="3024"/>
          </w:tcPr>
          <w:p>
            <w:r>
              <w:rPr>
                <w:sz w:val="20"/>
              </w:rPr>
              <w:t>5-fold Expanding Window CV</w:t>
            </w:r>
          </w:p>
        </w:tc>
        <w:tc>
          <w:tcPr>
            <w:tcW w:type="dxa" w:w="3024"/>
          </w:tcPr>
          <w:p>
            <w:r>
              <w:rPr>
                <w:sz w:val="20"/>
              </w:rPr>
            </w:r>
          </w:p>
        </w:tc>
      </w:tr>
      <w:tr>
        <w:tc>
          <w:tcPr>
            <w:tcW w:type="dxa" w:w="3024"/>
          </w:tcPr>
          <w:p>
            <w:r>
              <w:rPr>
                <w:sz w:val="20"/>
              </w:rPr>
              <w:t>Total</w:t>
            </w:r>
          </w:p>
        </w:tc>
        <w:tc>
          <w:tcPr>
            <w:tcW w:type="dxa" w:w="3024"/>
          </w:tcPr>
          <w:p>
            <w:r>
              <w:rPr>
                <w:sz w:val="20"/>
              </w:rPr>
              <w:t>4 × 16 × 2 = 128 eksperimen</w:t>
            </w:r>
          </w:p>
        </w:tc>
        <w:tc>
          <w:tcPr>
            <w:tcW w:type="dxa" w:w="3024"/>
          </w:tcPr>
          <w:p>
            <w:r>
              <w:rPr>
                <w:sz w:val="20"/>
              </w:rPr>
            </w:r>
          </w:p>
        </w:tc>
      </w:tr>
    </w:tbl>
    <w:p/>
    <w:p>
      <w:pPr>
        <w:pStyle w:val="Heading2"/>
      </w:pPr>
      <w:r>
        <w:t>Langkah 2 — Pipeline Transformasi Data</w:t>
      </w:r>
    </w:p>
    <w:p>
      <w:pPr>
        <w:spacing w:after="80"/>
      </w:pPr>
      <w:r>
        <w:rPr>
          <w:b w:val="0"/>
          <w:i w:val="0"/>
          <w:sz w:val="22"/>
        </w:rPr>
        <w:t>Untuk setiap fold dalam cross-validation, transformasi berikut diterapkan dengan memperhatikan urutan temporal untuk mencegah data leakage:</w:t>
      </w:r>
    </w:p>
    <w:p>
      <w:pPr>
        <w:pStyle w:val="ListBullet"/>
        <w:spacing w:after="40"/>
        <w:ind w:left="283"/>
      </w:pPr>
      <w:r>
        <w:rPr>
          <w:sz w:val="21"/>
        </w:rPr>
        <w:t>1. Split data menjadi training dan test sesuai batas fold</w:t>
      </w:r>
    </w:p>
    <w:p>
      <w:pPr>
        <w:pStyle w:val="ListBullet"/>
        <w:spacing w:after="40"/>
        <w:ind w:left="283"/>
      </w:pPr>
      <w:r>
        <w:rPr>
          <w:sz w:val="21"/>
        </w:rPr>
        <w:t>2. Target IHSG: log(train) → Diff(1).fit_transform(train) → Scaler.fit_transform(train)</w:t>
      </w:r>
    </w:p>
    <w:p>
      <w:pPr>
        <w:pStyle w:val="ListBullet"/>
        <w:spacing w:after="40"/>
        <w:ind w:left="283"/>
      </w:pPr>
      <w:r>
        <w:rPr>
          <w:sz w:val="21"/>
        </w:rPr>
        <w:t>3. Covariate (LEVEL_VARS): log(train) → Diff(1).fit_transform(train) → Scaler.fit(train)</w:t>
      </w:r>
    </w:p>
    <w:p>
      <w:pPr>
        <w:pStyle w:val="ListBullet"/>
        <w:spacing w:after="40"/>
        <w:ind w:left="283"/>
      </w:pPr>
      <w:r>
        <w:rPr>
          <w:sz w:val="21"/>
        </w:rPr>
        <w:t>4. Covariate (RATE_VARS): Diff(1).fit_transform(train) → Scaler.fit(train)</w:t>
      </w:r>
    </w:p>
    <w:p>
      <w:pPr>
        <w:pStyle w:val="ListBullet"/>
        <w:spacing w:after="40"/>
        <w:ind w:left="283"/>
      </w:pPr>
      <w:r>
        <w:rPr>
          <w:sz w:val="21"/>
        </w:rPr>
        <w:t>5. Transform data full fold: menggunakan scaler yang di-fit dari training saja</w:t>
      </w:r>
    </w:p>
    <w:p>
      <w:pPr>
        <w:pStyle w:val="ListBullet"/>
        <w:spacing w:after="40"/>
        <w:ind w:left="283"/>
      </w:pPr>
      <w:r>
        <w:rPr>
          <w:sz w:val="21"/>
        </w:rPr>
        <w:t>Tujuan: mencegah data leakage dari masa depan ke masa lalu (look-ahead bias)</w:t>
      </w:r>
    </w:p>
    <w:p>
      <w:pPr>
        <w:pStyle w:val="Heading2"/>
      </w:pPr>
      <w:r>
        <w:t>Langkah 3 — 5-Fold Expanding Window Cross-Validation</w:t>
      </w:r>
    </w:p>
    <w:p>
      <w:pPr>
        <w:spacing w:after="80"/>
      </w:pPr>
      <w:r>
        <w:rPr>
          <w:b w:val="0"/>
          <w:i w:val="0"/>
          <w:sz w:val="22"/>
        </w:rPr>
        <w:t>Skema validasi yang digunakan adalah expanding window — penambahan data training setiap fold: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BDC9E5"/>
          </w:tcPr>
          <w:p>
            <w:r>
              <w:rPr>
                <w:b/>
                <w:sz w:val="20"/>
              </w:rPr>
              <w:t>Fold</w:t>
            </w:r>
          </w:p>
        </w:tc>
        <w:tc>
          <w:tcPr>
            <w:tcW w:type="dxa" w:w="2268"/>
            <w:shd w:val="clear" w:color="auto" w:fill="BDC9E5"/>
          </w:tcPr>
          <w:p>
            <w:r>
              <w:rPr>
                <w:b/>
                <w:sz w:val="20"/>
              </w:rPr>
              <w:t>Training</w:t>
            </w:r>
          </w:p>
        </w:tc>
        <w:tc>
          <w:tcPr>
            <w:tcW w:type="dxa" w:w="2268"/>
            <w:shd w:val="clear" w:color="auto" w:fill="BDC9E5"/>
          </w:tcPr>
          <w:p>
            <w:r>
              <w:rPr>
                <w:b/>
                <w:sz w:val="20"/>
              </w:rPr>
              <w:t>Test</w:t>
            </w:r>
          </w:p>
        </w:tc>
        <w:tc>
          <w:tcPr>
            <w:tcW w:type="dxa" w:w="2268"/>
            <w:shd w:val="clear" w:color="auto" w:fill="BDC9E5"/>
          </w:tcPr>
          <w:p>
            <w:r>
              <w:rPr>
                <w:b/>
                <w:sz w:val="20"/>
              </w:rPr>
              <w:t>Catatan</w:t>
            </w:r>
          </w:p>
        </w:tc>
      </w:tr>
      <w:tr>
        <w:tc>
          <w:tcPr>
            <w:tcW w:type="dxa" w:w="2268"/>
          </w:tcPr>
          <w:p>
            <w:r>
              <w:rPr>
                <w:sz w:val="20"/>
              </w:rPr>
              <w:t>Fold 1</w:t>
            </w:r>
          </w:p>
        </w:tc>
        <w:tc>
          <w:tcPr>
            <w:tcW w:type="dxa" w:w="2268"/>
          </w:tcPr>
          <w:p>
            <w:r>
              <w:rPr>
                <w:sz w:val="20"/>
              </w:rPr>
              <w:t>40% pertama (~977 hari)</w:t>
            </w:r>
          </w:p>
        </w:tc>
        <w:tc>
          <w:tcPr>
            <w:tcW w:type="dxa" w:w="2268"/>
          </w:tcPr>
          <w:p>
            <w:r>
              <w:rPr>
                <w:sz w:val="20"/>
              </w:rPr>
              <w:t>15% berikutnya (~366 hari)</w:t>
            </w:r>
          </w:p>
        </w:tc>
        <w:tc>
          <w:tcPr>
            <w:tcW w:type="dxa" w:w="2268"/>
          </w:tcPr>
          <w:p>
            <w:r>
              <w:rPr>
                <w:sz w:val="20"/>
              </w:rPr>
              <w:t>Training minimum</w:t>
            </w:r>
          </w:p>
        </w:tc>
      </w:tr>
      <w:tr>
        <w:tc>
          <w:tcPr>
            <w:tcW w:type="dxa" w:w="2268"/>
          </w:tcPr>
          <w:p>
            <w:r>
              <w:rPr>
                <w:sz w:val="20"/>
              </w:rPr>
              <w:t>Fold 2</w:t>
            </w:r>
          </w:p>
        </w:tc>
        <w:tc>
          <w:tcPr>
            <w:tcW w:type="dxa" w:w="2268"/>
          </w:tcPr>
          <w:p>
            <w:r>
              <w:rPr>
                <w:sz w:val="20"/>
              </w:rPr>
              <w:t>Training Fold 1 + ~183 hari</w:t>
            </w:r>
          </w:p>
        </w:tc>
        <w:tc>
          <w:tcPr>
            <w:tcW w:type="dxa" w:w="2268"/>
          </w:tcPr>
          <w:p>
            <w:r>
              <w:rPr>
                <w:sz w:val="20"/>
              </w:rPr>
              <w:t>15% berikutnya</w:t>
            </w:r>
          </w:p>
        </w:tc>
        <w:tc>
          <w:tcPr>
            <w:tcW w:type="dxa" w:w="2268"/>
          </w:tcPr>
          <w:p>
            <w:r>
              <w:rPr>
                <w:sz w:val="20"/>
              </w:rPr>
              <w:t>Training bertambah</w:t>
            </w:r>
          </w:p>
        </w:tc>
      </w:tr>
      <w:tr>
        <w:tc>
          <w:tcPr>
            <w:tcW w:type="dxa" w:w="2268"/>
          </w:tcPr>
          <w:p>
            <w:r>
              <w:rPr>
                <w:sz w:val="20"/>
              </w:rPr>
              <w:t>Fold 3</w:t>
            </w:r>
          </w:p>
        </w:tc>
        <w:tc>
          <w:tcPr>
            <w:tcW w:type="dxa" w:w="2268"/>
          </w:tcPr>
          <w:p>
            <w:r>
              <w:rPr>
                <w:sz w:val="20"/>
              </w:rPr>
              <w:t>Training Fold 2 + ~183 hari</w:t>
            </w:r>
          </w:p>
        </w:tc>
        <w:tc>
          <w:tcPr>
            <w:tcW w:type="dxa" w:w="2268"/>
          </w:tcPr>
          <w:p>
            <w:r>
              <w:rPr>
                <w:sz w:val="20"/>
              </w:rPr>
              <w:t>15% berikutnya</w:t>
            </w:r>
          </w:p>
        </w:tc>
        <w:tc>
          <w:tcPr>
            <w:tcW w:type="dxa" w:w="2268"/>
          </w:tcPr>
          <w:p>
            <w:r>
              <w:rPr>
                <w:sz w:val="20"/>
              </w:rPr>
            </w:r>
          </w:p>
        </w:tc>
      </w:tr>
      <w:tr>
        <w:tc>
          <w:tcPr>
            <w:tcW w:type="dxa" w:w="2268"/>
          </w:tcPr>
          <w:p>
            <w:r>
              <w:rPr>
                <w:sz w:val="20"/>
              </w:rPr>
              <w:t>Fold 4</w:t>
            </w:r>
          </w:p>
        </w:tc>
        <w:tc>
          <w:tcPr>
            <w:tcW w:type="dxa" w:w="2268"/>
          </w:tcPr>
          <w:p>
            <w:r>
              <w:rPr>
                <w:sz w:val="20"/>
              </w:rPr>
              <w:t>Training Fold 3 + ~183 hari</w:t>
            </w:r>
          </w:p>
        </w:tc>
        <w:tc>
          <w:tcPr>
            <w:tcW w:type="dxa" w:w="2268"/>
          </w:tcPr>
          <w:p>
            <w:r>
              <w:rPr>
                <w:sz w:val="20"/>
              </w:rPr>
              <w:t>15% berikutnya</w:t>
            </w:r>
          </w:p>
        </w:tc>
        <w:tc>
          <w:tcPr>
            <w:tcW w:type="dxa" w:w="2268"/>
          </w:tcPr>
          <w:p>
            <w:r>
              <w:rPr>
                <w:sz w:val="20"/>
              </w:rPr>
            </w:r>
          </w:p>
        </w:tc>
      </w:tr>
      <w:tr>
        <w:tc>
          <w:tcPr>
            <w:tcW w:type="dxa" w:w="2268"/>
          </w:tcPr>
          <w:p>
            <w:r>
              <w:rPr>
                <w:sz w:val="20"/>
              </w:rPr>
              <w:t>Fold 5</w:t>
            </w:r>
          </w:p>
        </w:tc>
        <w:tc>
          <w:tcPr>
            <w:tcW w:type="dxa" w:w="2268"/>
          </w:tcPr>
          <w:p>
            <w:r>
              <w:rPr>
                <w:sz w:val="20"/>
              </w:rPr>
              <w:t>Training Fold 4 + ~183 hari</w:t>
            </w:r>
          </w:p>
        </w:tc>
        <w:tc>
          <w:tcPr>
            <w:tcW w:type="dxa" w:w="2268"/>
          </w:tcPr>
          <w:p>
            <w:r>
              <w:rPr>
                <w:sz w:val="20"/>
              </w:rPr>
              <w:t>15% berikutnya</w:t>
            </w:r>
          </w:p>
        </w:tc>
        <w:tc>
          <w:tcPr>
            <w:tcW w:type="dxa" w:w="2268"/>
          </w:tcPr>
          <w:p>
            <w:r>
              <w:rPr>
                <w:sz w:val="20"/>
              </w:rPr>
              <w:t>Training terbesar</w:t>
            </w:r>
          </w:p>
        </w:tc>
      </w:tr>
    </w:tbl>
    <w:p/>
    <w:p>
      <w:pPr>
        <w:spacing w:after="80"/>
      </w:pPr>
      <w:r>
        <w:rPr>
          <w:b w:val="0"/>
          <w:i w:val="0"/>
          <w:sz w:val="22"/>
        </w:rPr>
        <w:t>Metode expanding window dipilih karena sesuai dengan sifat time series keuangan: model boleh menggunakan semua informasi historis yang tersedia, dan window test tidak tumpang-tindih untuk menghindari kebocoran informasi.</w:t>
      </w:r>
    </w:p>
    <w:p>
      <w:pPr>
        <w:pStyle w:val="Heading2"/>
      </w:pPr>
      <w:r>
        <w:t>Langkah 4 — Proses Prediksi dan Inverse Transform</w:t>
      </w:r>
    </w:p>
    <w:p>
      <w:pPr>
        <w:spacing w:after="80"/>
      </w:pPr>
      <w:r>
        <w:rPr>
          <w:b w:val="0"/>
          <w:i w:val="0"/>
          <w:sz w:val="22"/>
        </w:rPr>
        <w:t>Setelah model dilatih pada data training yang telah ditransformasi:</w:t>
      </w:r>
    </w:p>
    <w:p>
      <w:pPr>
        <w:pStyle w:val="ListBullet"/>
        <w:spacing w:after="40"/>
        <w:ind w:left="283"/>
      </w:pPr>
      <w:r>
        <w:rPr>
          <w:sz w:val="21"/>
        </w:rPr>
        <w:t>Model membuat prediksi historical_forecasts() pada periode test</w:t>
      </w:r>
    </w:p>
    <w:p>
      <w:pPr>
        <w:pStyle w:val="ListBullet"/>
        <w:spacing w:after="40"/>
        <w:ind w:left="283"/>
      </w:pPr>
      <w:r>
        <w:rPr>
          <w:sz w:val="21"/>
        </w:rPr>
        <w:t>Prediksi berupa log-return yang telah di-scaled → di-inverse-transform:</w:t>
      </w:r>
    </w:p>
    <w:p>
      <w:pPr>
        <w:pStyle w:val="ListBullet"/>
        <w:spacing w:after="40"/>
        <w:ind w:left="567"/>
      </w:pPr>
      <w:r>
        <w:rPr>
          <w:sz w:val="21"/>
        </w:rPr>
        <w:t xml:space="preserve">   (a) scaler.inverse_transform() — kembalikan ke log-return asli</w:t>
      </w:r>
    </w:p>
    <w:p>
      <w:pPr>
        <w:pStyle w:val="ListBullet"/>
        <w:spacing w:after="40"/>
        <w:ind w:left="567"/>
      </w:pPr>
      <w:r>
        <w:rPr>
          <w:sz w:val="21"/>
        </w:rPr>
        <w:t xml:space="preserve">   (b) log_prices = anchor_log + cumsum(log_returns) — rekonstruksi log price</w:t>
      </w:r>
    </w:p>
    <w:p>
      <w:pPr>
        <w:pStyle w:val="ListBullet"/>
        <w:spacing w:after="40"/>
        <w:ind w:left="567"/>
      </w:pPr>
      <w:r>
        <w:rPr>
          <w:sz w:val="21"/>
        </w:rPr>
        <w:t xml:space="preserve">   (c) prices = exp(log_prices) — kembalikan ke level harga IHSG</w:t>
      </w:r>
    </w:p>
    <w:p>
      <w:pPr>
        <w:pStyle w:val="ListBullet"/>
        <w:spacing w:after="40"/>
        <w:ind w:left="283"/>
      </w:pPr>
      <w:r>
        <w:rPr>
          <w:sz w:val="21"/>
        </w:rPr>
        <w:t>Anchor: nilai log harga satu hari sebelum periode prediksi dimulai</w:t>
      </w:r>
    </w:p>
    <w:p>
      <w:pPr>
        <w:pStyle w:val="Heading2"/>
      </w:pPr>
      <w:r>
        <w:t>Langkah 5 — Metrik Evaluasi</w:t>
      </w:r>
    </w:p>
    <w:p>
      <w:pPr>
        <w:spacing w:after="80"/>
      </w:pPr>
      <w:r>
        <w:rPr>
          <w:b w:val="0"/>
          <w:i w:val="0"/>
          <w:sz w:val="22"/>
        </w:rPr>
        <w:t>Lima metrik dihitung pada harga IHSG level (bukan log-return):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C9E5"/>
          </w:tcPr>
          <w:p>
            <w:r>
              <w:rPr>
                <w:b/>
                <w:sz w:val="20"/>
              </w:rPr>
              <w:t>Metrik</w:t>
            </w:r>
          </w:p>
        </w:tc>
        <w:tc>
          <w:tcPr>
            <w:tcW w:type="dxa" w:w="3024"/>
            <w:shd w:val="clear" w:color="auto" w:fill="BDC9E5"/>
          </w:tcPr>
          <w:p>
            <w:r>
              <w:rPr>
                <w:b/>
                <w:sz w:val="20"/>
              </w:rPr>
              <w:t>Formula</w:t>
            </w:r>
          </w:p>
        </w:tc>
        <w:tc>
          <w:tcPr>
            <w:tcW w:type="dxa" w:w="3024"/>
            <w:shd w:val="clear" w:color="auto" w:fill="BDC9E5"/>
          </w:tcPr>
          <w:p>
            <w:r>
              <w:rPr>
                <w:b/>
                <w:sz w:val="20"/>
              </w:rPr>
              <w:t>Interpretasi</w:t>
            </w:r>
          </w:p>
        </w:tc>
      </w:tr>
      <w:tr>
        <w:tc>
          <w:tcPr>
            <w:tcW w:type="dxa" w:w="3024"/>
          </w:tcPr>
          <w:p>
            <w:r>
              <w:rPr>
                <w:sz w:val="20"/>
              </w:rPr>
              <w:t>MAPE</w:t>
            </w:r>
          </w:p>
        </w:tc>
        <w:tc>
          <w:tcPr>
            <w:tcW w:type="dxa" w:w="3024"/>
          </w:tcPr>
          <w:p>
            <w:r>
              <w:rPr>
                <w:sz w:val="20"/>
              </w:rPr>
              <w:t>mean(|y_true - y_pred| / y_true) × 100</w:t>
            </w:r>
          </w:p>
        </w:tc>
        <w:tc>
          <w:tcPr>
            <w:tcW w:type="dxa" w:w="3024"/>
          </w:tcPr>
          <w:p>
            <w:r>
              <w:rPr>
                <w:sz w:val="20"/>
              </w:rPr>
              <w:t>Error persentase rata-rata — metrik utama</w:t>
            </w:r>
          </w:p>
        </w:tc>
      </w:tr>
      <w:tr>
        <w:tc>
          <w:tcPr>
            <w:tcW w:type="dxa" w:w="3024"/>
          </w:tcPr>
          <w:p>
            <w:r>
              <w:rPr>
                <w:sz w:val="20"/>
              </w:rPr>
              <w:t>MAE</w:t>
            </w:r>
          </w:p>
        </w:tc>
        <w:tc>
          <w:tcPr>
            <w:tcW w:type="dxa" w:w="3024"/>
          </w:tcPr>
          <w:p>
            <w:r>
              <w:rPr>
                <w:sz w:val="20"/>
              </w:rPr>
              <w:t>mean(|y_true - y_pred|)</w:t>
            </w:r>
          </w:p>
        </w:tc>
        <w:tc>
          <w:tcPr>
            <w:tcW w:type="dxa" w:w="3024"/>
          </w:tcPr>
          <w:p>
            <w:r>
              <w:rPr>
                <w:sz w:val="20"/>
              </w:rPr>
              <w:t>Error absolut rata-rata dalam poin IHSG</w:t>
            </w:r>
          </w:p>
        </w:tc>
      </w:tr>
      <w:tr>
        <w:tc>
          <w:tcPr>
            <w:tcW w:type="dxa" w:w="3024"/>
          </w:tcPr>
          <w:p>
            <w:r>
              <w:rPr>
                <w:sz w:val="20"/>
              </w:rPr>
              <w:t>RMSE</w:t>
            </w:r>
          </w:p>
        </w:tc>
        <w:tc>
          <w:tcPr>
            <w:tcW w:type="dxa" w:w="3024"/>
          </w:tcPr>
          <w:p>
            <w:r>
              <w:rPr>
                <w:sz w:val="20"/>
              </w:rPr>
              <w:t>√mean((y_true - y_pred)²)</w:t>
            </w:r>
          </w:p>
        </w:tc>
        <w:tc>
          <w:tcPr>
            <w:tcW w:type="dxa" w:w="3024"/>
          </w:tcPr>
          <w:p>
            <w:r>
              <w:rPr>
                <w:sz w:val="20"/>
              </w:rPr>
              <w:t>Sensitif terhadap outlier</w:t>
            </w:r>
          </w:p>
        </w:tc>
      </w:tr>
      <w:tr>
        <w:tc>
          <w:tcPr>
            <w:tcW w:type="dxa" w:w="3024"/>
          </w:tcPr>
          <w:p>
            <w:r>
              <w:rPr>
                <w:sz w:val="20"/>
              </w:rPr>
              <w:t>R²</w:t>
            </w:r>
          </w:p>
        </w:tc>
        <w:tc>
          <w:tcPr>
            <w:tcW w:type="dxa" w:w="3024"/>
          </w:tcPr>
          <w:p>
            <w:r>
              <w:rPr>
                <w:sz w:val="20"/>
              </w:rPr>
              <w:t>1 - (SS_res / SS_tot)</w:t>
            </w:r>
          </w:p>
        </w:tc>
        <w:tc>
          <w:tcPr>
            <w:tcW w:type="dxa" w:w="3024"/>
          </w:tcPr>
          <w:p>
            <w:r>
              <w:rPr>
                <w:sz w:val="20"/>
              </w:rPr>
              <w:t>Proporsi varians yang dijelaskan model</w:t>
            </w:r>
          </w:p>
        </w:tc>
      </w:tr>
      <w:tr>
        <w:tc>
          <w:tcPr>
            <w:tcW w:type="dxa" w:w="3024"/>
          </w:tcPr>
          <w:p>
            <w:r>
              <w:rPr>
                <w:sz w:val="20"/>
              </w:rPr>
              <w:t>DA</w:t>
            </w:r>
          </w:p>
        </w:tc>
        <w:tc>
          <w:tcPr>
            <w:tcW w:type="dxa" w:w="3024"/>
          </w:tcPr>
          <w:p>
            <w:r>
              <w:rPr>
                <w:sz w:val="20"/>
              </w:rPr>
              <w:t>% hari arah prediksi benar</w:t>
            </w:r>
          </w:p>
        </w:tc>
        <w:tc>
          <w:tcPr>
            <w:tcW w:type="dxa" w:w="3024"/>
          </w:tcPr>
          <w:p>
            <w:r>
              <w:rPr>
                <w:sz w:val="20"/>
              </w:rPr>
              <w:t>Akurasi prediksi naik/turun (baseline: 50%)</w:t>
            </w:r>
          </w:p>
        </w:tc>
      </w:tr>
    </w:tbl>
    <w:p/>
    <w:p>
      <w:pPr>
        <w:spacing w:after="80"/>
      </w:pPr>
      <w:r>
        <w:rPr>
          <w:b w:val="0"/>
          <w:i w:val="0"/>
          <w:sz w:val="22"/>
        </w:rPr>
        <w:t>Hasil tiap fold dikumpulkan, kemudian dilaporkan sebagai mean ± std across 5 folds.</w:t>
      </w:r>
    </w:p>
    <w:p>
      <w:pPr>
        <w:pStyle w:val="Heading2"/>
      </w:pPr>
      <w:r>
        <w:t>Langkah 6 — Screening Analysis</w:t>
      </w:r>
    </w:p>
    <w:p>
      <w:pPr>
        <w:spacing w:after="80"/>
      </w:pPr>
      <w:r>
        <w:rPr>
          <w:b w:val="0"/>
          <w:i w:val="0"/>
          <w:sz w:val="22"/>
        </w:rPr>
        <w:t>Setelah 128 eksperimen selesai, analisis screening dilakukan:</w:t>
      </w:r>
    </w:p>
    <w:p>
      <w:pPr>
        <w:pStyle w:val="ListBullet"/>
        <w:spacing w:after="40"/>
        <w:ind w:left="283"/>
      </w:pPr>
      <w:r>
        <w:rPr>
          <w:sz w:val="21"/>
        </w:rPr>
        <w:t>Untuk setiap kombinasi model × window: bandingkan MAPE tiap kovariat dengan baseline (None)</w:t>
      </w:r>
    </w:p>
    <w:p>
      <w:pPr>
        <w:pStyle w:val="ListBullet"/>
        <w:spacing w:after="40"/>
        <w:ind w:left="283"/>
      </w:pPr>
      <w:r>
        <w:rPr>
          <w:sz w:val="21"/>
        </w:rPr>
        <w:t>Hitung relative improvement: (MAPE_baseline − MAPE_kovariat) / MAPE_baseline × 100%</w:t>
      </w:r>
    </w:p>
    <w:p>
      <w:pPr>
        <w:pStyle w:val="ListBullet"/>
        <w:spacing w:after="40"/>
        <w:ind w:left="283"/>
      </w:pPr>
      <w:r>
        <w:rPr>
          <w:sz w:val="21"/>
        </w:rPr>
        <w:t>Threshold kelulusan: improvement ≥ 0.3% (relatif terhadap baseline)</w:t>
      </w:r>
    </w:p>
    <w:p>
      <w:pPr>
        <w:pStyle w:val="ListBullet"/>
        <w:spacing w:after="40"/>
        <w:ind w:left="283"/>
      </w:pPr>
      <w:r>
        <w:rPr>
          <w:sz w:val="21"/>
        </w:rPr>
        <w:t>Setiap kovariat dapat lolos di maksimal 8 kombinasi (4 model × 2 window)</w:t>
      </w:r>
    </w:p>
    <w:p>
      <w:pPr>
        <w:spacing w:after="80"/>
      </w:pPr>
      <w:r>
        <w:rPr>
          <w:b w:val="0"/>
          <w:i w:val="0"/>
          <w:sz w:val="22"/>
        </w:rPr>
        <w:t>Kovariat yang lolos screening (threshold ≥ 2 dari 8 kombinasi):</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C9E5"/>
          </w:tcPr>
          <w:p>
            <w:r>
              <w:rPr>
                <w:b/>
                <w:sz w:val="20"/>
              </w:rPr>
              <w:t>Kovariat</w:t>
            </w:r>
          </w:p>
        </w:tc>
        <w:tc>
          <w:tcPr>
            <w:tcW w:type="dxa" w:w="3024"/>
            <w:shd w:val="clear" w:color="auto" w:fill="BDC9E5"/>
          </w:tcPr>
          <w:p>
            <w:r>
              <w:rPr>
                <w:b/>
                <w:sz w:val="20"/>
              </w:rPr>
              <w:t>Jumlah Lolos (dari 8)</w:t>
            </w:r>
          </w:p>
        </w:tc>
        <w:tc>
          <w:tcPr>
            <w:tcW w:type="dxa" w:w="3024"/>
            <w:shd w:val="clear" w:color="auto" w:fill="BDC9E5"/>
          </w:tcPr>
          <w:p>
            <w:r>
              <w:rPr>
                <w:b/>
                <w:sz w:val="20"/>
              </w:rPr>
              <w:t>Kategori</w:t>
            </w:r>
          </w:p>
        </w:tc>
      </w:tr>
      <w:tr>
        <w:tc>
          <w:tcPr>
            <w:tcW w:type="dxa" w:w="3024"/>
          </w:tcPr>
          <w:p>
            <w:r>
              <w:rPr>
                <w:sz w:val="20"/>
              </w:rPr>
              <w:t>Gold</w:t>
            </w:r>
          </w:p>
        </w:tc>
        <w:tc>
          <w:tcPr>
            <w:tcW w:type="dxa" w:w="3024"/>
          </w:tcPr>
          <w:p>
            <w:r>
              <w:rPr>
                <w:sz w:val="20"/>
              </w:rPr>
              <w:t>4</w:t>
            </w:r>
          </w:p>
        </w:tc>
        <w:tc>
          <w:tcPr>
            <w:tcW w:type="dxa" w:w="3024"/>
          </w:tcPr>
          <w:p>
            <w:r>
              <w:rPr>
                <w:sz w:val="20"/>
              </w:rPr>
              <w:t>Komoditas</w:t>
            </w:r>
          </w:p>
        </w:tc>
      </w:tr>
      <w:tr>
        <w:tc>
          <w:tcPr>
            <w:tcW w:type="dxa" w:w="3024"/>
          </w:tcPr>
          <w:p>
            <w:r>
              <w:rPr>
                <w:sz w:val="20"/>
              </w:rPr>
              <w:t>Silver</w:t>
            </w:r>
          </w:p>
        </w:tc>
        <w:tc>
          <w:tcPr>
            <w:tcW w:type="dxa" w:w="3024"/>
          </w:tcPr>
          <w:p>
            <w:r>
              <w:rPr>
                <w:sz w:val="20"/>
              </w:rPr>
              <w:t>4</w:t>
            </w:r>
          </w:p>
        </w:tc>
        <w:tc>
          <w:tcPr>
            <w:tcW w:type="dxa" w:w="3024"/>
          </w:tcPr>
          <w:p>
            <w:r>
              <w:rPr>
                <w:sz w:val="20"/>
              </w:rPr>
              <w:t>Komoditas</w:t>
            </w:r>
          </w:p>
        </w:tc>
      </w:tr>
      <w:tr>
        <w:tc>
          <w:tcPr>
            <w:tcW w:type="dxa" w:w="3024"/>
          </w:tcPr>
          <w:p>
            <w:r>
              <w:rPr>
                <w:sz w:val="20"/>
              </w:rPr>
              <w:t>Copper</w:t>
            </w:r>
          </w:p>
        </w:tc>
        <w:tc>
          <w:tcPr>
            <w:tcW w:type="dxa" w:w="3024"/>
          </w:tcPr>
          <w:p>
            <w:r>
              <w:rPr>
                <w:sz w:val="20"/>
              </w:rPr>
              <w:t>4</w:t>
            </w:r>
          </w:p>
        </w:tc>
        <w:tc>
          <w:tcPr>
            <w:tcW w:type="dxa" w:w="3024"/>
          </w:tcPr>
          <w:p>
            <w:r>
              <w:rPr>
                <w:sz w:val="20"/>
              </w:rPr>
              <w:t>Komoditas</w:t>
            </w:r>
          </w:p>
        </w:tc>
      </w:tr>
      <w:tr>
        <w:tc>
          <w:tcPr>
            <w:tcW w:type="dxa" w:w="3024"/>
          </w:tcPr>
          <w:p>
            <w:r>
              <w:rPr>
                <w:sz w:val="20"/>
              </w:rPr>
              <w:t>STI</w:t>
            </w:r>
          </w:p>
        </w:tc>
        <w:tc>
          <w:tcPr>
            <w:tcW w:type="dxa" w:w="3024"/>
          </w:tcPr>
          <w:p>
            <w:r>
              <w:rPr>
                <w:sz w:val="20"/>
              </w:rPr>
              <w:t>4</w:t>
            </w:r>
          </w:p>
        </w:tc>
        <w:tc>
          <w:tcPr>
            <w:tcW w:type="dxa" w:w="3024"/>
          </w:tcPr>
          <w:p>
            <w:r>
              <w:rPr>
                <w:sz w:val="20"/>
              </w:rPr>
              <w:t>Regional</w:t>
            </w:r>
          </w:p>
        </w:tc>
      </w:tr>
      <w:tr>
        <w:tc>
          <w:tcPr>
            <w:tcW w:type="dxa" w:w="3024"/>
          </w:tcPr>
          <w:p>
            <w:r>
              <w:rPr>
                <w:sz w:val="20"/>
              </w:rPr>
              <w:t>Nickel</w:t>
            </w:r>
          </w:p>
        </w:tc>
        <w:tc>
          <w:tcPr>
            <w:tcW w:type="dxa" w:w="3024"/>
          </w:tcPr>
          <w:p>
            <w:r>
              <w:rPr>
                <w:sz w:val="20"/>
              </w:rPr>
              <w:t>3</w:t>
            </w:r>
          </w:p>
        </w:tc>
        <w:tc>
          <w:tcPr>
            <w:tcW w:type="dxa" w:w="3024"/>
          </w:tcPr>
          <w:p>
            <w:r>
              <w:rPr>
                <w:sz w:val="20"/>
              </w:rPr>
              <w:t>Komoditas</w:t>
            </w:r>
          </w:p>
        </w:tc>
      </w:tr>
      <w:tr>
        <w:tc>
          <w:tcPr>
            <w:tcW w:type="dxa" w:w="3024"/>
          </w:tcPr>
          <w:p>
            <w:r>
              <w:rPr>
                <w:sz w:val="20"/>
              </w:rPr>
              <w:t>USDIDR</w:t>
            </w:r>
          </w:p>
        </w:tc>
        <w:tc>
          <w:tcPr>
            <w:tcW w:type="dxa" w:w="3024"/>
          </w:tcPr>
          <w:p>
            <w:r>
              <w:rPr>
                <w:sz w:val="20"/>
              </w:rPr>
              <w:t>3</w:t>
            </w:r>
          </w:p>
        </w:tc>
        <w:tc>
          <w:tcPr>
            <w:tcW w:type="dxa" w:w="3024"/>
          </w:tcPr>
          <w:p>
            <w:r>
              <w:rPr>
                <w:sz w:val="20"/>
              </w:rPr>
              <w:t>Makro</w:t>
            </w:r>
          </w:p>
        </w:tc>
      </w:tr>
      <w:tr>
        <w:tc>
          <w:tcPr>
            <w:tcW w:type="dxa" w:w="3024"/>
          </w:tcPr>
          <w:p>
            <w:r>
              <w:rPr>
                <w:sz w:val="20"/>
              </w:rPr>
              <w:t>WTI</w:t>
            </w:r>
          </w:p>
        </w:tc>
        <w:tc>
          <w:tcPr>
            <w:tcW w:type="dxa" w:w="3024"/>
          </w:tcPr>
          <w:p>
            <w:r>
              <w:rPr>
                <w:sz w:val="20"/>
              </w:rPr>
              <w:t>2</w:t>
            </w:r>
          </w:p>
        </w:tc>
        <w:tc>
          <w:tcPr>
            <w:tcW w:type="dxa" w:w="3024"/>
          </w:tcPr>
          <w:p>
            <w:r>
              <w:rPr>
                <w:sz w:val="20"/>
              </w:rPr>
              <w:t>Komoditas</w:t>
            </w:r>
          </w:p>
        </w:tc>
      </w:tr>
      <w:tr>
        <w:tc>
          <w:tcPr>
            <w:tcW w:type="dxa" w:w="3024"/>
          </w:tcPr>
          <w:p>
            <w:r>
              <w:rPr>
                <w:sz w:val="20"/>
              </w:rPr>
              <w:t>NPL_Ratio</w:t>
            </w:r>
          </w:p>
        </w:tc>
        <w:tc>
          <w:tcPr>
            <w:tcW w:type="dxa" w:w="3024"/>
          </w:tcPr>
          <w:p>
            <w:r>
              <w:rPr>
                <w:sz w:val="20"/>
              </w:rPr>
              <w:t>2</w:t>
            </w:r>
          </w:p>
        </w:tc>
        <w:tc>
          <w:tcPr>
            <w:tcW w:type="dxa" w:w="3024"/>
          </w:tcPr>
          <w:p>
            <w:r>
              <w:rPr>
                <w:sz w:val="20"/>
              </w:rPr>
              <w:t>Makro</w:t>
            </w:r>
          </w:p>
        </w:tc>
      </w:tr>
      <w:tr>
        <w:tc>
          <w:tcPr>
            <w:tcW w:type="dxa" w:w="3024"/>
          </w:tcPr>
          <w:p>
            <w:r>
              <w:rPr>
                <w:sz w:val="20"/>
              </w:rPr>
              <w:t>M2</w:t>
            </w:r>
          </w:p>
        </w:tc>
        <w:tc>
          <w:tcPr>
            <w:tcW w:type="dxa" w:w="3024"/>
          </w:tcPr>
          <w:p>
            <w:r>
              <w:rPr>
                <w:sz w:val="20"/>
              </w:rPr>
              <w:t>2</w:t>
            </w:r>
          </w:p>
        </w:tc>
        <w:tc>
          <w:tcPr>
            <w:tcW w:type="dxa" w:w="3024"/>
          </w:tcPr>
          <w:p>
            <w:r>
              <w:rPr>
                <w:sz w:val="20"/>
              </w:rPr>
              <w:t>Makro</w:t>
            </w:r>
          </w:p>
        </w:tc>
      </w:tr>
    </w:tbl>
    <w:p/>
    <w:p>
      <w:pPr>
        <w:pStyle w:val="Heading2"/>
      </w:pPr>
      <w:r>
        <w:t>Output Notebook 02</w:t>
      </w:r>
    </w:p>
    <w:p>
      <w:pPr>
        <w:pStyle w:val="ListBullet"/>
        <w:spacing w:after="40"/>
        <w:ind w:left="283"/>
      </w:pPr>
      <w:r>
        <w:rPr>
          <w:sz w:val="21"/>
        </w:rPr>
        <w:t>phase1_screening_results.csv — 128 baris hasil eksperimen lengkap (MAPE_mean, MAPE_std, MAE_mean, RMSE_mean, RMSE_std, R2_mean, DA_mean, DA_std)</w:t>
      </w:r>
    </w:p>
    <w:p>
      <w:pPr>
        <w:pStyle w:val="ListBullet"/>
        <w:spacing w:after="40"/>
        <w:ind w:left="283"/>
      </w:pPr>
      <w:r>
        <w:rPr>
          <w:sz w:val="21"/>
        </w:rPr>
        <w:t>phase1_screening_analysis.csv — 120 baris analisis pass/fail per covariate × model × window</w:t>
      </w:r>
    </w:p>
    <w:p>
      <w:r>
        <w:br w:type="page"/>
      </w:r>
    </w:p>
    <w:p>
      <w:pPr>
        <w:pStyle w:val="Heading1"/>
      </w:pPr>
      <w:r>
        <w:t>NOTEBOOK 03 — Phase 1: Analisis Screening</w:t>
      </w:r>
    </w:p>
    <w:p>
      <w:pPr>
        <w:spacing w:after="80"/>
      </w:pPr>
      <w:r>
        <w:rPr>
          <w:b/>
          <w:i/>
          <w:sz w:val="20"/>
        </w:rPr>
        <w:t>File: 03_screening_analysis.ipynb</w:t>
      </w:r>
    </w:p>
    <w:p>
      <w:pPr>
        <w:spacing w:after="80"/>
      </w:pPr>
      <w:r>
        <w:rPr>
          <w:b w:val="0"/>
          <w:i w:val="0"/>
          <w:sz w:val="22"/>
        </w:rPr>
        <w:t>Notebook ini menganalisis dan memvisualisasikan hasil 128 eksperimen Phase 1, kemudian menetapkan kelompok kovariat (Phase 2 Groups) yang akan diuji lebih lanjut di Phase 2.</w:t>
      </w:r>
    </w:p>
    <w:p>
      <w:pPr>
        <w:pStyle w:val="Heading2"/>
      </w:pPr>
      <w:r>
        <w:t>Langkah 1 — Ringkasan MAPE per Model × Window</w:t>
      </w:r>
    </w:p>
    <w:p>
      <w:pPr>
        <w:spacing w:after="80"/>
      </w:pPr>
      <w:r>
        <w:rPr>
          <w:b w:val="0"/>
          <w:i w:val="0"/>
          <w:sz w:val="22"/>
        </w:rPr>
        <w:t>Tabel pivot menampilkan MAPE terbaik (minimum) dari setiap kombinasi model dan window, memberikan gambaran performa relatif antar model.</w:t>
      </w:r>
    </w:p>
    <w:p>
      <w:pPr>
        <w:pStyle w:val="Heading2"/>
      </w:pPr>
      <w:r>
        <w:t>Langkah 2 — Analisis Pass/Fail Screening</w:t>
      </w:r>
    </w:p>
    <w:p>
      <w:pPr>
        <w:pStyle w:val="ListBullet"/>
        <w:spacing w:after="40"/>
        <w:ind w:left="283"/>
      </w:pPr>
      <w:r>
        <w:rPr>
          <w:sz w:val="21"/>
        </w:rPr>
        <w:t>Hitung jumlah kombinasi model×window di mana setiap kovariat berhasil melampaui threshold 0.3%</w:t>
      </w:r>
    </w:p>
    <w:p>
      <w:pPr>
        <w:pStyle w:val="ListBullet"/>
        <w:spacing w:after="40"/>
        <w:ind w:left="283"/>
      </w:pPr>
      <w:r>
        <w:rPr>
          <w:sz w:val="21"/>
        </w:rPr>
        <w:t>Hitung pass rate: jumlah lolos / 8 total kombinasi × 100%</w:t>
      </w:r>
    </w:p>
    <w:p>
      <w:pPr>
        <w:pStyle w:val="ListBullet"/>
        <w:spacing w:after="40"/>
        <w:ind w:left="283"/>
      </w:pPr>
      <w:r>
        <w:rPr>
          <w:sz w:val="21"/>
        </w:rPr>
        <w:t>Visualisasi: bar chart dengan warna berbeda berdasarkan tingkat kelulusan</w:t>
      </w:r>
    </w:p>
    <w:p>
      <w:pPr>
        <w:pStyle w:val="Heading2"/>
      </w:pPr>
      <w:r>
        <w:t>Langkah 3 — Heatmap Peningkatan MAPE</w:t>
      </w:r>
    </w:p>
    <w:p>
      <w:pPr>
        <w:spacing w:after="80"/>
      </w:pPr>
      <w:r>
        <w:rPr>
          <w:b w:val="0"/>
          <w:i w:val="0"/>
          <w:sz w:val="22"/>
        </w:rPr>
        <w:t>Heatmap (Covariate × Model) menampilkan persentase peningkatan MAPE rata-rata dibandingkan baseline. Warna hijau = peningkatan (makin baik), merah = penurunan. File: plot_phase1_heatmap.png</w:t>
      </w:r>
    </w:p>
    <w:p>
      <w:pPr>
        <w:pStyle w:val="Heading2"/>
      </w:pPr>
      <w:r>
        <w:t>Langkah 4 — Penetapan Phase 2 Groups</w:t>
      </w:r>
    </w:p>
    <w:p>
      <w:pPr>
        <w:spacing w:after="80"/>
      </w:pPr>
      <w:r>
        <w:rPr>
          <w:b w:val="0"/>
          <w:i w:val="0"/>
          <w:sz w:val="22"/>
        </w:rPr>
        <w:t>Kovariat yang lolos di minimal 2 dari 8 kombinasi (threshold = 25%) dikelompokkan: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C9E5"/>
          </w:tcPr>
          <w:p>
            <w:r>
              <w:rPr>
                <w:b/>
                <w:sz w:val="20"/>
              </w:rPr>
              <w:t>Nama Group</w:t>
            </w:r>
          </w:p>
        </w:tc>
        <w:tc>
          <w:tcPr>
            <w:tcW w:type="dxa" w:w="3024"/>
            <w:shd w:val="clear" w:color="auto" w:fill="BDC9E5"/>
          </w:tcPr>
          <w:p>
            <w:r>
              <w:rPr>
                <w:b/>
                <w:sz w:val="20"/>
              </w:rPr>
              <w:t>Isi Kovariat</w:t>
            </w:r>
          </w:p>
        </w:tc>
        <w:tc>
          <w:tcPr>
            <w:tcW w:type="dxa" w:w="3024"/>
            <w:shd w:val="clear" w:color="auto" w:fill="BDC9E5"/>
          </w:tcPr>
          <w:p>
            <w:r>
              <w:rPr>
                <w:b/>
                <w:sz w:val="20"/>
              </w:rPr>
              <w:t>Jumlah Variabel</w:t>
            </w:r>
          </w:p>
        </w:tc>
      </w:tr>
      <w:tr>
        <w:tc>
          <w:tcPr>
            <w:tcW w:type="dxa" w:w="3024"/>
          </w:tcPr>
          <w:p>
            <w:r>
              <w:rPr>
                <w:sz w:val="20"/>
              </w:rPr>
              <w:t>Sig_Macro</w:t>
            </w:r>
          </w:p>
        </w:tc>
        <w:tc>
          <w:tcPr>
            <w:tcW w:type="dxa" w:w="3024"/>
          </w:tcPr>
          <w:p>
            <w:r>
              <w:rPr>
                <w:sz w:val="20"/>
              </w:rPr>
              <w:t>M2, NPL_Ratio, USDIDR</w:t>
            </w:r>
          </w:p>
        </w:tc>
        <w:tc>
          <w:tcPr>
            <w:tcW w:type="dxa" w:w="3024"/>
          </w:tcPr>
          <w:p>
            <w:r>
              <w:rPr>
                <w:sz w:val="20"/>
              </w:rPr>
              <w:t>3</w:t>
            </w:r>
          </w:p>
        </w:tc>
      </w:tr>
      <w:tr>
        <w:tc>
          <w:tcPr>
            <w:tcW w:type="dxa" w:w="3024"/>
          </w:tcPr>
          <w:p>
            <w:r>
              <w:rPr>
                <w:sz w:val="20"/>
              </w:rPr>
              <w:t>Sig_Commodity</w:t>
            </w:r>
          </w:p>
        </w:tc>
        <w:tc>
          <w:tcPr>
            <w:tcW w:type="dxa" w:w="3024"/>
          </w:tcPr>
          <w:p>
            <w:r>
              <w:rPr>
                <w:sz w:val="20"/>
              </w:rPr>
              <w:t>Copper, Nickel, Silver, Gold, WTI</w:t>
            </w:r>
          </w:p>
        </w:tc>
        <w:tc>
          <w:tcPr>
            <w:tcW w:type="dxa" w:w="3024"/>
          </w:tcPr>
          <w:p>
            <w:r>
              <w:rPr>
                <w:sz w:val="20"/>
              </w:rPr>
              <w:t>5</w:t>
            </w:r>
          </w:p>
        </w:tc>
      </w:tr>
      <w:tr>
        <w:tc>
          <w:tcPr>
            <w:tcW w:type="dxa" w:w="3024"/>
          </w:tcPr>
          <w:p>
            <w:r>
              <w:rPr>
                <w:sz w:val="20"/>
              </w:rPr>
              <w:t>Sig_Regional</w:t>
            </w:r>
          </w:p>
        </w:tc>
        <w:tc>
          <w:tcPr>
            <w:tcW w:type="dxa" w:w="3024"/>
          </w:tcPr>
          <w:p>
            <w:r>
              <w:rPr>
                <w:sz w:val="20"/>
              </w:rPr>
              <w:t>STI</w:t>
            </w:r>
          </w:p>
        </w:tc>
        <w:tc>
          <w:tcPr>
            <w:tcW w:type="dxa" w:w="3024"/>
          </w:tcPr>
          <w:p>
            <w:r>
              <w:rPr>
                <w:sz w:val="20"/>
              </w:rPr>
              <w:t>1</w:t>
            </w:r>
          </w:p>
        </w:tc>
      </w:tr>
      <w:tr>
        <w:tc>
          <w:tcPr>
            <w:tcW w:type="dxa" w:w="3024"/>
          </w:tcPr>
          <w:p>
            <w:r>
              <w:rPr>
                <w:sz w:val="20"/>
              </w:rPr>
              <w:t>Sig_All</w:t>
            </w:r>
          </w:p>
        </w:tc>
        <w:tc>
          <w:tcPr>
            <w:tcW w:type="dxa" w:w="3024"/>
          </w:tcPr>
          <w:p>
            <w:r>
              <w:rPr>
                <w:sz w:val="20"/>
              </w:rPr>
              <w:t>Gabungan Sig_Macro + Sig_Commodity + Sig_Regional</w:t>
            </w:r>
          </w:p>
        </w:tc>
        <w:tc>
          <w:tcPr>
            <w:tcW w:type="dxa" w:w="3024"/>
          </w:tcPr>
          <w:p>
            <w:r>
              <w:rPr>
                <w:sz w:val="20"/>
              </w:rPr>
              <w:t>9</w:t>
            </w:r>
          </w:p>
        </w:tc>
      </w:tr>
    </w:tbl>
    <w:p/>
    <w:p>
      <w:pPr>
        <w:spacing w:after="80"/>
      </w:pPr>
      <w:r>
        <w:rPr>
          <w:b w:val="0"/>
          <w:i w:val="0"/>
          <w:sz w:val="22"/>
        </w:rPr>
        <w:t>Total eksperimen Phase 2 yang akan dijalankan: 4 kelompok × 4 model × 2 window = 32 eksperimen.</w:t>
      </w:r>
    </w:p>
    <w:p>
      <w:pPr>
        <w:pStyle w:val="Heading2"/>
      </w:pPr>
      <w:r>
        <w:t>Output Notebook 03</w:t>
      </w:r>
    </w:p>
    <w:p>
      <w:pPr>
        <w:pStyle w:val="ListBullet"/>
        <w:spacing w:after="40"/>
        <w:ind w:left="283"/>
      </w:pPr>
      <w:r>
        <w:rPr>
          <w:sz w:val="21"/>
        </w:rPr>
        <w:t>plot_phase1_screening_summary.png — bar chart jumlah kelulusan per kovariat</w:t>
      </w:r>
    </w:p>
    <w:p>
      <w:pPr>
        <w:pStyle w:val="ListBullet"/>
        <w:spacing w:after="40"/>
        <w:ind w:left="283"/>
      </w:pPr>
      <w:r>
        <w:rPr>
          <w:sz w:val="21"/>
        </w:rPr>
        <w:t>plot_phase1_heatmap.png — heatmap improvement % per kovariat × model</w:t>
      </w:r>
    </w:p>
    <w:p>
      <w:pPr>
        <w:pStyle w:val="ListBullet"/>
        <w:spacing w:after="40"/>
        <w:ind w:left="283"/>
      </w:pPr>
      <w:r>
        <w:rPr>
          <w:sz w:val="21"/>
        </w:rPr>
        <w:t>plot_covariate_significance.png — bar chart mean improvement ± std tiap kovariat</w:t>
      </w:r>
    </w:p>
    <w:p>
      <w:pPr>
        <w:pStyle w:val="ListBullet"/>
        <w:spacing w:after="40"/>
        <w:ind w:left="283"/>
      </w:pPr>
      <w:r>
        <w:rPr>
          <w:sz w:val="21"/>
        </w:rPr>
        <w:t>plot_covariate_vs_baseline_detail.png — scatter MAPE per kovariat vs baseline dengan error bar per model</w:t>
      </w:r>
    </w:p>
    <w:p>
      <w:pPr>
        <w:pStyle w:val="ListBullet"/>
        <w:spacing w:after="40"/>
        <w:ind w:left="283"/>
      </w:pPr>
      <w:r>
        <w:rPr>
          <w:sz w:val="21"/>
        </w:rPr>
        <w:t>saved_models/phase2_groups.joblib — definisi kelompok kovariat Phase 2</w:t>
      </w:r>
    </w:p>
    <w:p>
      <w:r>
        <w:br w:type="page"/>
      </w:r>
    </w:p>
    <w:p>
      <w:pPr>
        <w:pStyle w:val="Heading1"/>
      </w:pPr>
      <w:r>
        <w:t>NOTEBOOK 04 — Phase 2: Group Experiments</w:t>
      </w:r>
    </w:p>
    <w:p>
      <w:pPr>
        <w:spacing w:after="80"/>
      </w:pPr>
      <w:r>
        <w:rPr>
          <w:b/>
          <w:i/>
          <w:sz w:val="20"/>
        </w:rPr>
        <w:t>File: 04_phase2_groups.ipynb</w:t>
      </w:r>
    </w:p>
    <w:p>
      <w:pPr>
        <w:spacing w:after="80"/>
      </w:pPr>
      <w:r>
        <w:rPr>
          <w:b w:val="0"/>
          <w:i w:val="0"/>
          <w:sz w:val="22"/>
        </w:rPr>
        <w:t>Notebook ini menjalankan 32 eksperimen menggunakan kombinasi kovariat yang telah terpilih dari Phase 1 (covariate groups). Berbeda dengan Phase 1, evaluasi menggunakan simple temporal split 80/20 (bukan expanding window CV) dan hyperparameter yang telah dioptimasi oleh Optuna.</w:t>
      </w:r>
    </w:p>
    <w:p>
      <w:pPr>
        <w:pStyle w:val="Heading2"/>
      </w:pPr>
      <w:r>
        <w:t>Langkah 1 — Load Data dan Konfigurasi</w:t>
      </w:r>
    </w:p>
    <w:p>
      <w:pPr>
        <w:pStyle w:val="ListBullet"/>
        <w:spacing w:after="40"/>
        <w:ind w:left="283"/>
      </w:pPr>
      <w:r>
        <w:rPr>
          <w:sz w:val="21"/>
        </w:rPr>
        <w:t>Load df_merged dari joblib terbaru (output Notebook 00)</w:t>
      </w:r>
    </w:p>
    <w:p>
      <w:pPr>
        <w:pStyle w:val="ListBullet"/>
        <w:spacing w:after="40"/>
        <w:ind w:left="283"/>
      </w:pPr>
      <w:r>
        <w:rPr>
          <w:sz w:val="21"/>
        </w:rPr>
        <w:t>Load TUNING results — hyperparameter terbaik per model (output Notebook 01)</w:t>
      </w:r>
    </w:p>
    <w:p>
      <w:pPr>
        <w:pStyle w:val="ListBullet"/>
        <w:spacing w:after="40"/>
        <w:ind w:left="283"/>
      </w:pPr>
      <w:r>
        <w:rPr>
          <w:sz w:val="21"/>
        </w:rPr>
        <w:t>Load GROUP_COVARIATES — 4 kelompok kovariat (output Notebook 03)</w:t>
      </w:r>
    </w:p>
    <w:p>
      <w:pPr>
        <w:pStyle w:val="ListBullet"/>
        <w:spacing w:after="40"/>
        <w:ind w:left="283"/>
      </w:pPr>
      <w:r>
        <w:rPr>
          <w:sz w:val="21"/>
        </w:rPr>
        <w:t>Konfigurasi: TRAIN_RATIO=0.8, WINDOWS=[30, 120], HORIZON=1</w:t>
      </w:r>
    </w:p>
    <w:p>
      <w:pPr>
        <w:pStyle w:val="Heading2"/>
      </w:pPr>
      <w:r>
        <w:t>Langkah 2 — Skema Evaluasi: 80/20 Temporal Split</w:t>
      </w:r>
    </w:p>
    <w:p>
      <w:pPr>
        <w:spacing w:after="80"/>
      </w:pPr>
      <w:r>
        <w:rPr>
          <w:b w:val="0"/>
          <w:i w:val="0"/>
          <w:sz w:val="22"/>
        </w:rPr>
        <w:t>Berbeda dari Phase 1 yang menggunakan 5-fold expanding window CV, Phase 2 menggunakan simple temporal split untuk efisiensi komputasi:</w:t>
      </w:r>
    </w:p>
    <w:p>
      <w:pPr>
        <w:pStyle w:val="ListBullet"/>
        <w:spacing w:after="40"/>
        <w:ind w:left="283"/>
      </w:pPr>
      <w:r>
        <w:rPr>
          <w:sz w:val="21"/>
        </w:rPr>
        <w:t>Training: 80% pertama data (≈ 1.954 business days, 2015-01-02 s.d. ~2023-01)</w:t>
      </w:r>
    </w:p>
    <w:p>
      <w:pPr>
        <w:pStyle w:val="ListBullet"/>
        <w:spacing w:after="40"/>
        <w:ind w:left="283"/>
      </w:pPr>
      <w:r>
        <w:rPr>
          <w:sz w:val="21"/>
        </w:rPr>
        <w:t>Test: 20% terakhir data (≈ 489 business days, ~2023-01 s.d. 2025-01-31)</w:t>
      </w:r>
    </w:p>
    <w:p>
      <w:pPr>
        <w:pStyle w:val="ListBullet"/>
        <w:spacing w:after="40"/>
        <w:ind w:left="283"/>
      </w:pPr>
      <w:r>
        <w:rPr>
          <w:sz w:val="21"/>
        </w:rPr>
        <w:t>Transformasi dan scaling tetap di-fit hanya pada data training</w:t>
      </w:r>
    </w:p>
    <w:p>
      <w:pPr>
        <w:pStyle w:val="Heading2"/>
      </w:pPr>
      <w:r>
        <w:t>Langkah 3 — Pipeline Evaluasi</w:t>
      </w:r>
    </w:p>
    <w:p>
      <w:pPr>
        <w:spacing w:after="80"/>
      </w:pPr>
      <w:r>
        <w:rPr>
          <w:b w:val="0"/>
          <w:i w:val="0"/>
          <w:sz w:val="22"/>
        </w:rPr>
        <w:t>Untuk setiap eksperimen (model × group × window):</w:t>
      </w:r>
    </w:p>
    <w:p>
      <w:pPr>
        <w:pStyle w:val="ListBullet"/>
        <w:spacing w:after="40"/>
        <w:ind w:left="283"/>
      </w:pPr>
      <w:r>
        <w:rPr>
          <w:sz w:val="21"/>
        </w:rPr>
        <w:t>1. Bangun TimeSeries untuk IHSG dan kovariat terpilih</w:t>
      </w:r>
    </w:p>
    <w:p>
      <w:pPr>
        <w:pStyle w:val="ListBullet"/>
        <w:spacing w:after="40"/>
        <w:ind w:left="283"/>
      </w:pPr>
      <w:r>
        <w:rPr>
          <w:sz w:val="21"/>
        </w:rPr>
        <w:t>2. Transform: log/diff sesuai LEVEL_VARS atau RATE_VARS, scaler fit on train</w:t>
      </w:r>
    </w:p>
    <w:p>
      <w:pPr>
        <w:pStyle w:val="ListBullet"/>
        <w:spacing w:after="40"/>
        <w:ind w:left="283"/>
      </w:pPr>
      <w:r>
        <w:rPr>
          <w:sz w:val="21"/>
        </w:rPr>
        <w:t>3. Bangun model dengan Optuna best_params untuk model yang bersangkutan</w:t>
      </w:r>
    </w:p>
    <w:p>
      <w:pPr>
        <w:pStyle w:val="ListBullet"/>
        <w:spacing w:after="40"/>
        <w:ind w:left="283"/>
      </w:pPr>
      <w:r>
        <w:rPr>
          <w:sz w:val="21"/>
        </w:rPr>
        <w:t>4. Fit model pada 80% training data</w:t>
      </w:r>
    </w:p>
    <w:p>
      <w:pPr>
        <w:pStyle w:val="ListBullet"/>
        <w:spacing w:after="40"/>
        <w:ind w:left="283"/>
      </w:pPr>
      <w:r>
        <w:rPr>
          <w:sz w:val="21"/>
        </w:rPr>
        <w:t>5. Jalankan historical_forecasts() mulai dari titik awal test set (20% terakhir)</w:t>
      </w:r>
    </w:p>
    <w:p>
      <w:pPr>
        <w:pStyle w:val="ListBullet"/>
        <w:spacing w:after="40"/>
        <w:ind w:left="283"/>
      </w:pPr>
      <w:r>
        <w:rPr>
          <w:sz w:val="21"/>
        </w:rPr>
        <w:t>6. Inverse transform prediksi → hitung MAPE, MAE, RMSE, R2, DA</w:t>
      </w:r>
    </w:p>
    <w:p>
      <w:pPr>
        <w:pStyle w:val="Heading2"/>
      </w:pPr>
      <w:r>
        <w:t>Langkah 4 — Hasil Phase 2</w:t>
      </w:r>
    </w:p>
    <w:p>
      <w:pPr>
        <w:spacing w:after="80"/>
      </w:pPr>
      <w:r>
        <w:rPr>
          <w:b w:val="0"/>
          <w:i w:val="0"/>
          <w:sz w:val="22"/>
        </w:rPr>
        <w:t>Hasil 24 eksperimen yang berhasil dijalankan (RF, ExtraTrees, XGBoost; 3 × 4 groups × 2 windows):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BDC9E5"/>
          </w:tcPr>
          <w:p>
            <w:r>
              <w:rPr>
                <w:b/>
                <w:sz w:val="20"/>
              </w:rPr>
              <w:t>Rank</w:t>
            </w:r>
          </w:p>
        </w:tc>
        <w:tc>
          <w:tcPr>
            <w:tcW w:type="dxa" w:w="1814"/>
            <w:shd w:val="clear" w:color="auto" w:fill="BDC9E5"/>
          </w:tcPr>
          <w:p>
            <w:r>
              <w:rPr>
                <w:b/>
                <w:sz w:val="20"/>
              </w:rPr>
              <w:t>Model</w:t>
            </w:r>
          </w:p>
        </w:tc>
        <w:tc>
          <w:tcPr>
            <w:tcW w:type="dxa" w:w="1814"/>
            <w:shd w:val="clear" w:color="auto" w:fill="BDC9E5"/>
          </w:tcPr>
          <w:p>
            <w:r>
              <w:rPr>
                <w:b/>
                <w:sz w:val="20"/>
              </w:rPr>
              <w:t>Kovariat Group</w:t>
            </w:r>
          </w:p>
        </w:tc>
        <w:tc>
          <w:tcPr>
            <w:tcW w:type="dxa" w:w="1814"/>
            <w:shd w:val="clear" w:color="auto" w:fill="BDC9E5"/>
          </w:tcPr>
          <w:p>
            <w:r>
              <w:rPr>
                <w:b/>
                <w:sz w:val="20"/>
              </w:rPr>
              <w:t>Window</w:t>
            </w:r>
          </w:p>
        </w:tc>
        <w:tc>
          <w:tcPr>
            <w:tcW w:type="dxa" w:w="1814"/>
            <w:shd w:val="clear" w:color="auto" w:fill="BDC9E5"/>
          </w:tcPr>
          <w:p>
            <w:r>
              <w:rPr>
                <w:b/>
                <w:sz w:val="20"/>
              </w:rPr>
              <w:t>MAPE (%)</w:t>
            </w:r>
          </w:p>
        </w:tc>
      </w:tr>
      <w:tr>
        <w:tc>
          <w:tcPr>
            <w:tcW w:type="dxa" w:w="1814"/>
          </w:tcPr>
          <w:p>
            <w:r>
              <w:rPr>
                <w:sz w:val="20"/>
              </w:rPr>
              <w:t>1</w:t>
            </w:r>
          </w:p>
        </w:tc>
        <w:tc>
          <w:tcPr>
            <w:tcW w:type="dxa" w:w="1814"/>
          </w:tcPr>
          <w:p>
            <w:r>
              <w:rPr>
                <w:sz w:val="20"/>
              </w:rPr>
              <w:t>RandomForest</w:t>
            </w:r>
          </w:p>
        </w:tc>
        <w:tc>
          <w:tcPr>
            <w:tcW w:type="dxa" w:w="1814"/>
          </w:tcPr>
          <w:p>
            <w:r>
              <w:rPr>
                <w:sz w:val="20"/>
              </w:rPr>
              <w:t>Sig_Commodity</w:t>
            </w:r>
          </w:p>
        </w:tc>
        <w:tc>
          <w:tcPr>
            <w:tcW w:type="dxa" w:w="1814"/>
          </w:tcPr>
          <w:p>
            <w:r>
              <w:rPr>
                <w:sz w:val="20"/>
              </w:rPr>
              <w:t>30</w:t>
            </w:r>
          </w:p>
        </w:tc>
        <w:tc>
          <w:tcPr>
            <w:tcW w:type="dxa" w:w="1814"/>
          </w:tcPr>
          <w:p>
            <w:r>
              <w:rPr>
                <w:sz w:val="20"/>
              </w:rPr>
              <w:t>0.5044</w:t>
            </w:r>
          </w:p>
        </w:tc>
      </w:tr>
      <w:tr>
        <w:tc>
          <w:tcPr>
            <w:tcW w:type="dxa" w:w="1814"/>
          </w:tcPr>
          <w:p>
            <w:r>
              <w:rPr>
                <w:sz w:val="20"/>
              </w:rPr>
              <w:t>2</w:t>
            </w:r>
          </w:p>
        </w:tc>
        <w:tc>
          <w:tcPr>
            <w:tcW w:type="dxa" w:w="1814"/>
          </w:tcPr>
          <w:p>
            <w:r>
              <w:rPr>
                <w:sz w:val="20"/>
              </w:rPr>
              <w:t>ExtraTrees</w:t>
            </w:r>
          </w:p>
        </w:tc>
        <w:tc>
          <w:tcPr>
            <w:tcW w:type="dxa" w:w="1814"/>
          </w:tcPr>
          <w:p>
            <w:r>
              <w:rPr>
                <w:sz w:val="20"/>
              </w:rPr>
              <w:t>Sig_Commodity</w:t>
            </w:r>
          </w:p>
        </w:tc>
        <w:tc>
          <w:tcPr>
            <w:tcW w:type="dxa" w:w="1814"/>
          </w:tcPr>
          <w:p>
            <w:r>
              <w:rPr>
                <w:sz w:val="20"/>
              </w:rPr>
              <w:t>30</w:t>
            </w:r>
          </w:p>
        </w:tc>
        <w:tc>
          <w:tcPr>
            <w:tcW w:type="dxa" w:w="1814"/>
          </w:tcPr>
          <w:p>
            <w:r>
              <w:rPr>
                <w:sz w:val="20"/>
              </w:rPr>
              <w:t>0.5044</w:t>
            </w:r>
          </w:p>
        </w:tc>
      </w:tr>
      <w:tr>
        <w:tc>
          <w:tcPr>
            <w:tcW w:type="dxa" w:w="1814"/>
          </w:tcPr>
          <w:p>
            <w:r>
              <w:rPr>
                <w:sz w:val="20"/>
              </w:rPr>
              <w:t>3</w:t>
            </w:r>
          </w:p>
        </w:tc>
        <w:tc>
          <w:tcPr>
            <w:tcW w:type="dxa" w:w="1814"/>
          </w:tcPr>
          <w:p>
            <w:r>
              <w:rPr>
                <w:sz w:val="20"/>
              </w:rPr>
              <w:t>XGBoost</w:t>
            </w:r>
          </w:p>
        </w:tc>
        <w:tc>
          <w:tcPr>
            <w:tcW w:type="dxa" w:w="1814"/>
          </w:tcPr>
          <w:p>
            <w:r>
              <w:rPr>
                <w:sz w:val="20"/>
              </w:rPr>
              <w:t>Sig_Commodity</w:t>
            </w:r>
          </w:p>
        </w:tc>
        <w:tc>
          <w:tcPr>
            <w:tcW w:type="dxa" w:w="1814"/>
          </w:tcPr>
          <w:p>
            <w:r>
              <w:rPr>
                <w:sz w:val="20"/>
              </w:rPr>
              <w:t>30</w:t>
            </w:r>
          </w:p>
        </w:tc>
        <w:tc>
          <w:tcPr>
            <w:tcW w:type="dxa" w:w="1814"/>
          </w:tcPr>
          <w:p>
            <w:r>
              <w:rPr>
                <w:sz w:val="20"/>
              </w:rPr>
              <w:t>0.5046</w:t>
            </w:r>
          </w:p>
        </w:tc>
      </w:tr>
      <w:tr>
        <w:tc>
          <w:tcPr>
            <w:tcW w:type="dxa" w:w="1814"/>
          </w:tcPr>
          <w:p>
            <w:r>
              <w:rPr>
                <w:sz w:val="20"/>
              </w:rPr>
              <w:t>4</w:t>
            </w:r>
          </w:p>
        </w:tc>
        <w:tc>
          <w:tcPr>
            <w:tcW w:type="dxa" w:w="1814"/>
          </w:tcPr>
          <w:p>
            <w:r>
              <w:rPr>
                <w:sz w:val="20"/>
              </w:rPr>
              <w:t>ExtraTrees</w:t>
            </w:r>
          </w:p>
        </w:tc>
        <w:tc>
          <w:tcPr>
            <w:tcW w:type="dxa" w:w="1814"/>
          </w:tcPr>
          <w:p>
            <w:r>
              <w:rPr>
                <w:sz w:val="20"/>
              </w:rPr>
              <w:t>Sig_All</w:t>
            </w:r>
          </w:p>
        </w:tc>
        <w:tc>
          <w:tcPr>
            <w:tcW w:type="dxa" w:w="1814"/>
          </w:tcPr>
          <w:p>
            <w:r>
              <w:rPr>
                <w:sz w:val="20"/>
              </w:rPr>
              <w:t>30</w:t>
            </w:r>
          </w:p>
        </w:tc>
        <w:tc>
          <w:tcPr>
            <w:tcW w:type="dxa" w:w="1814"/>
          </w:tcPr>
          <w:p>
            <w:r>
              <w:rPr>
                <w:sz w:val="20"/>
              </w:rPr>
              <w:t>0.5046</w:t>
            </w:r>
          </w:p>
        </w:tc>
      </w:tr>
      <w:tr>
        <w:tc>
          <w:tcPr>
            <w:tcW w:type="dxa" w:w="1814"/>
          </w:tcPr>
          <w:p>
            <w:r>
              <w:rPr>
                <w:sz w:val="20"/>
              </w:rPr>
              <w:t>5</w:t>
            </w:r>
          </w:p>
        </w:tc>
        <w:tc>
          <w:tcPr>
            <w:tcW w:type="dxa" w:w="1814"/>
          </w:tcPr>
          <w:p>
            <w:r>
              <w:rPr>
                <w:sz w:val="20"/>
              </w:rPr>
              <w:t>RandomForest</w:t>
            </w:r>
          </w:p>
        </w:tc>
        <w:tc>
          <w:tcPr>
            <w:tcW w:type="dxa" w:w="1814"/>
          </w:tcPr>
          <w:p>
            <w:r>
              <w:rPr>
                <w:sz w:val="20"/>
              </w:rPr>
              <w:t>Sig_All</w:t>
            </w:r>
          </w:p>
        </w:tc>
        <w:tc>
          <w:tcPr>
            <w:tcW w:type="dxa" w:w="1814"/>
          </w:tcPr>
          <w:p>
            <w:r>
              <w:rPr>
                <w:sz w:val="20"/>
              </w:rPr>
              <w:t>30</w:t>
            </w:r>
          </w:p>
        </w:tc>
        <w:tc>
          <w:tcPr>
            <w:tcW w:type="dxa" w:w="1814"/>
          </w:tcPr>
          <w:p>
            <w:r>
              <w:rPr>
                <w:sz w:val="20"/>
              </w:rPr>
              <w:t>0.5046</w:t>
            </w:r>
          </w:p>
        </w:tc>
      </w:tr>
    </w:tbl>
    <w:p/>
    <w:p>
      <w:pPr>
        <w:pStyle w:val="ListBullet"/>
        <w:spacing w:after="40"/>
        <w:ind w:left="283"/>
      </w:pPr>
      <w:r>
        <w:rPr>
          <w:sz w:val="21"/>
        </w:rPr>
        <w:t>Perbaikan dibandingkan Phase 1: dari ~0.66% menjadi ~0.50% MAPE — peningkatan ~24%</w:t>
      </w:r>
    </w:p>
    <w:p>
      <w:pPr>
        <w:pStyle w:val="ListBullet"/>
        <w:spacing w:after="40"/>
        <w:ind w:left="283"/>
      </w:pPr>
      <w:r>
        <w:rPr>
          <w:sz w:val="21"/>
        </w:rPr>
        <w:t>Window 30 hari secara konsisten lebih baik dari Window 120 hari di Phase 2</w:t>
      </w:r>
    </w:p>
    <w:p>
      <w:pPr>
        <w:pStyle w:val="ListBullet"/>
        <w:spacing w:after="40"/>
        <w:ind w:left="283"/>
      </w:pPr>
      <w:r>
        <w:rPr>
          <w:sz w:val="21"/>
        </w:rPr>
        <w:t>Group Sig_Commodity dan Sig_All memberikan performa terbaik</w:t>
      </w:r>
    </w:p>
    <w:p>
      <w:pPr>
        <w:pStyle w:val="ListBullet"/>
        <w:spacing w:after="40"/>
        <w:ind w:left="283"/>
      </w:pPr>
      <w:r>
        <w:rPr>
          <w:sz w:val="21"/>
        </w:rPr>
        <w:t>Konfigurasi terbaik disimpan sebagai: saved_models/best_config_phase2.joblib</w:t>
      </w:r>
    </w:p>
    <w:p>
      <w:pPr>
        <w:pStyle w:val="Heading2"/>
      </w:pPr>
      <w:r>
        <w:t>Output Notebook 04</w:t>
      </w:r>
    </w:p>
    <w:p>
      <w:pPr>
        <w:pStyle w:val="ListBullet"/>
        <w:spacing w:after="40"/>
        <w:ind w:left="283"/>
      </w:pPr>
      <w:r>
        <w:rPr>
          <w:sz w:val="21"/>
        </w:rPr>
        <w:t>phase2_group_results.csv — 24 baris hasil eksperimen Phase 2</w:t>
      </w:r>
    </w:p>
    <w:p>
      <w:pPr>
        <w:pStyle w:val="ListBullet"/>
        <w:spacing w:after="40"/>
        <w:ind w:left="283"/>
      </w:pPr>
      <w:r>
        <w:rPr>
          <w:sz w:val="21"/>
        </w:rPr>
        <w:t>saved_models/best_config_phase2.joblib — konfigurasi terbaik (Model, Covariates, Window, semua metrik)</w:t>
      </w:r>
    </w:p>
    <w:p>
      <w:r>
        <w:br w:type="page"/>
      </w:r>
    </w:p>
    <w:p>
      <w:pPr>
        <w:pStyle w:val="Heading1"/>
      </w:pPr>
      <w:r>
        <w:t>NOTEBOOK 05 — Analisis SHAP (Interpretabilitas Model)</w:t>
      </w:r>
    </w:p>
    <w:p>
      <w:pPr>
        <w:spacing w:after="80"/>
      </w:pPr>
      <w:r>
        <w:rPr>
          <w:b/>
          <w:i/>
          <w:sz w:val="20"/>
        </w:rPr>
        <w:t>File: 05_shap_analysis.ipynb</w:t>
      </w:r>
    </w:p>
    <w:p>
      <w:pPr>
        <w:spacing w:after="80"/>
      </w:pPr>
      <w:r>
        <w:rPr>
          <w:b w:val="0"/>
          <w:i w:val="0"/>
          <w:sz w:val="22"/>
        </w:rPr>
        <w:t>SHAP (SHapley Additive exPlanations) adalah metode interpretabilitas model berbasis teori game theory Shapley values. Notebook ini menggunakan SHAP untuk mengidentifikasi variabel mana yang paling berkontribusi terhadap prediksi model terbaik dari Phase 2.</w:t>
      </w:r>
    </w:p>
    <w:p>
      <w:pPr>
        <w:pStyle w:val="Heading2"/>
      </w:pPr>
      <w:r>
        <w:t>Langkah 1 — Melatih Ulang Model Terbaik</w:t>
      </w:r>
    </w:p>
    <w:p>
      <w:pPr>
        <w:spacing w:after="80"/>
      </w:pPr>
      <w:r>
        <w:rPr>
          <w:b w:val="0"/>
          <w:i w:val="0"/>
          <w:sz w:val="22"/>
        </w:rPr>
        <w:t>Konfigurasi terbaik dari Phase 2 dimuat dan model dilatih ulang:</w:t>
      </w:r>
    </w:p>
    <w:p>
      <w:pPr>
        <w:pStyle w:val="ListBullet"/>
        <w:spacing w:after="40"/>
        <w:ind w:left="283"/>
      </w:pPr>
      <w:r>
        <w:rPr>
          <w:sz w:val="21"/>
        </w:rPr>
        <w:t>Model: Random Forest | Kovariat: Sig_Commodity | Window: 30</w:t>
      </w:r>
    </w:p>
    <w:p>
      <w:pPr>
        <w:pStyle w:val="ListBullet"/>
        <w:spacing w:after="40"/>
        <w:ind w:left="283"/>
      </w:pPr>
      <w:r>
        <w:rPr>
          <w:sz w:val="21"/>
        </w:rPr>
        <w:t>Kovariat: [Copper, Nickel, Silver, Gold, WTI]</w:t>
      </w:r>
    </w:p>
    <w:p>
      <w:pPr>
        <w:pStyle w:val="ListBullet"/>
        <w:spacing w:after="40"/>
        <w:ind w:left="283"/>
      </w:pPr>
      <w:r>
        <w:rPr>
          <w:sz w:val="21"/>
        </w:rPr>
        <w:t>Training: 80% pertama data, dengan transformasi dan scaling yang sama dengan Notebook 04</w:t>
      </w:r>
    </w:p>
    <w:p>
      <w:pPr>
        <w:pStyle w:val="ListBullet"/>
        <w:spacing w:after="40"/>
        <w:ind w:left="283"/>
      </w:pPr>
      <w:r>
        <w:rPr>
          <w:sz w:val="21"/>
        </w:rPr>
        <w:t>Hyperparameter: dari Optuna (output Notebook 01)</w:t>
      </w:r>
    </w:p>
    <w:p>
      <w:pPr>
        <w:pStyle w:val="Heading2"/>
      </w:pPr>
      <w:r>
        <w:t>Langkah 2 — Rekonstruksi Feature Matrix</w:t>
      </w:r>
    </w:p>
    <w:p>
      <w:pPr>
        <w:spacing w:after="80"/>
      </w:pPr>
      <w:r>
        <w:rPr>
          <w:b w:val="0"/>
          <w:i w:val="0"/>
          <w:sz w:val="22"/>
        </w:rPr>
        <w:t>Model Darts secara internal membuat feature matrix berupa lagged values dari target dan kovariat. Feature matrix ini direkonstruksi secara manual untuk keperluan SHAP:</w:t>
      </w:r>
    </w:p>
    <w:p>
      <w:pPr>
        <w:pStyle w:val="ListBullet"/>
        <w:spacing w:after="40"/>
        <w:ind w:left="283"/>
      </w:pPr>
      <w:r>
        <w:rPr>
          <w:sz w:val="21"/>
        </w:rPr>
        <w:t>Untuk window=30: setiap prediksi menggunakan 30 lag dari IHSG + 30 lag dari tiap kovariat</w:t>
      </w:r>
    </w:p>
    <w:p>
      <w:pPr>
        <w:pStyle w:val="ListBullet"/>
        <w:spacing w:after="40"/>
        <w:ind w:left="283"/>
      </w:pPr>
      <w:r>
        <w:rPr>
          <w:sz w:val="21"/>
        </w:rPr>
        <w:t>Total fitur: 30 (IHSG lags) + 5 × 30 (covariate lags) = 180 fitur per observasi</w:t>
      </w:r>
    </w:p>
    <w:p>
      <w:pPr>
        <w:pStyle w:val="ListBullet"/>
        <w:spacing w:after="40"/>
        <w:ind w:left="283"/>
      </w:pPr>
      <w:r>
        <w:rPr>
          <w:sz w:val="21"/>
        </w:rPr>
        <w:t>Nama fitur: IHSG_lag_1, ..., IHSG_lag_30, Copper_lag_1, ..., WTI_lag_30</w:t>
      </w:r>
    </w:p>
    <w:p>
      <w:pPr>
        <w:pStyle w:val="ListBullet"/>
        <w:spacing w:after="40"/>
        <w:ind w:left="283"/>
      </w:pPr>
      <w:r>
        <w:rPr>
          <w:sz w:val="21"/>
        </w:rPr>
        <w:t>X_test: data test 20% terakhir, dipotong sesuai panjang window yang tersedia</w:t>
      </w:r>
    </w:p>
    <w:p>
      <w:pPr>
        <w:pStyle w:val="Heading2"/>
      </w:pPr>
      <w:r>
        <w:t>Langkah 3 — Komputasi SHAP Values</w:t>
      </w:r>
    </w:p>
    <w:p>
      <w:pPr>
        <w:spacing w:after="80"/>
      </w:pPr>
      <w:r>
        <w:rPr>
          <w:b w:val="0"/>
          <w:i w:val="0"/>
          <w:sz w:val="22"/>
        </w:rPr>
        <w:t>SHAP TreeExplainer digunakan karena seluruh model yang diuji adalah tree-based, sehingga komputasi lebih efisien dan akurat:</w:t>
      </w:r>
    </w:p>
    <w:p>
      <w:pPr>
        <w:pStyle w:val="ListBullet"/>
        <w:spacing w:after="40"/>
        <w:ind w:left="283"/>
      </w:pPr>
      <w:r>
        <w:rPr>
          <w:sz w:val="21"/>
        </w:rPr>
        <w:t>Akses model underlying dari wrapper Darts: model.model</w:t>
      </w:r>
    </w:p>
    <w:p>
      <w:pPr>
        <w:pStyle w:val="ListBullet"/>
        <w:spacing w:after="40"/>
        <w:ind w:left="283"/>
      </w:pPr>
      <w:r>
        <w:rPr>
          <w:sz w:val="21"/>
        </w:rPr>
        <w:t>explainer = shap.TreeExplainer(underlying_model)</w:t>
      </w:r>
    </w:p>
    <w:p>
      <w:pPr>
        <w:pStyle w:val="ListBullet"/>
        <w:spacing w:after="40"/>
        <w:ind w:left="283"/>
      </w:pPr>
      <w:r>
        <w:rPr>
          <w:sz w:val="21"/>
        </w:rPr>
        <w:t>shap_values = explainer.shap_values(X_test[:500]) — sampel maksimal 500 observasi</w:t>
      </w:r>
    </w:p>
    <w:p>
      <w:pPr>
        <w:pStyle w:val="ListBullet"/>
        <w:spacing w:after="40"/>
        <w:ind w:left="283"/>
      </w:pPr>
      <w:r>
        <w:rPr>
          <w:sz w:val="21"/>
        </w:rPr>
        <w:t>SHAP dihitung pada data test (out-of-sample) untuk validitas interpretasi</w:t>
      </w:r>
    </w:p>
    <w:p>
      <w:pPr>
        <w:pStyle w:val="Heading2"/>
      </w:pPr>
      <w:r>
        <w:t>Langkah 4 — Agregasi per Variabel</w:t>
      </w:r>
    </w:p>
    <w:p>
      <w:pPr>
        <w:spacing w:after="80"/>
      </w:pPr>
      <w:r>
        <w:rPr>
          <w:b w:val="0"/>
          <w:i w:val="0"/>
          <w:sz w:val="22"/>
        </w:rPr>
        <w:t>SHAP values diregenerasi per variabel dengan menjumlahkan mean |SHAP| dari semua lag variabel tersebut:</w:t>
      </w:r>
    </w:p>
    <w:p>
      <w:pPr>
        <w:pStyle w:val="ListBullet"/>
        <w:spacing w:after="40"/>
        <w:ind w:left="283"/>
      </w:pPr>
      <w:r>
        <w:rPr>
          <w:sz w:val="21"/>
        </w:rPr>
        <w:t>Importance variabel = mean(|SHAP|) across semua lag (lag_1 hingga lag_30)</w:t>
      </w:r>
    </w:p>
    <w:p>
      <w:pPr>
        <w:pStyle w:val="ListBullet"/>
        <w:spacing w:after="40"/>
        <w:ind w:left="283"/>
      </w:pPr>
      <w:r>
        <w:rPr>
          <w:sz w:val="21"/>
        </w:rPr>
        <w:t>Ranking memberikan gambaran variabel mana yang paling informatif secara keseluruhan</w:t>
      </w:r>
    </w:p>
    <w:p>
      <w:pPr>
        <w:spacing w:after="80"/>
      </w:pPr>
      <w:r>
        <w:rPr>
          <w:b w:val="0"/>
          <w:i w:val="0"/>
          <w:sz w:val="22"/>
        </w:rPr>
        <w:t>Hasil ranking kontribusi variabel (terbaik ke terkecil):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C9E5"/>
          </w:tcPr>
          <w:p>
            <w:r>
              <w:rPr>
                <w:b/>
                <w:sz w:val="20"/>
              </w:rPr>
              <w:t>Rank</w:t>
            </w:r>
          </w:p>
        </w:tc>
        <w:tc>
          <w:tcPr>
            <w:tcW w:type="dxa" w:w="3024"/>
            <w:shd w:val="clear" w:color="auto" w:fill="BDC9E5"/>
          </w:tcPr>
          <w:p>
            <w:r>
              <w:rPr>
                <w:b/>
                <w:sz w:val="20"/>
              </w:rPr>
              <w:t>Variabel</w:t>
            </w:r>
          </w:p>
        </w:tc>
        <w:tc>
          <w:tcPr>
            <w:tcW w:type="dxa" w:w="3024"/>
            <w:shd w:val="clear" w:color="auto" w:fill="BDC9E5"/>
          </w:tcPr>
          <w:p>
            <w:r>
              <w:rPr>
                <w:b/>
                <w:sz w:val="20"/>
              </w:rPr>
              <w:t>Mean |SHAP|</w:t>
            </w:r>
          </w:p>
        </w:tc>
      </w:tr>
      <w:tr>
        <w:tc>
          <w:tcPr>
            <w:tcW w:type="dxa" w:w="3024"/>
          </w:tcPr>
          <w:p>
            <w:r>
              <w:rPr>
                <w:sz w:val="20"/>
              </w:rPr>
              <w:t>1</w:t>
            </w:r>
          </w:p>
        </w:tc>
        <w:tc>
          <w:tcPr>
            <w:tcW w:type="dxa" w:w="3024"/>
          </w:tcPr>
          <w:p>
            <w:r>
              <w:rPr>
                <w:sz w:val="20"/>
              </w:rPr>
              <w:t>Nickel</w:t>
            </w:r>
          </w:p>
        </w:tc>
        <w:tc>
          <w:tcPr>
            <w:tcW w:type="dxa" w:w="3024"/>
          </w:tcPr>
          <w:p>
            <w:r>
              <w:rPr>
                <w:sz w:val="20"/>
              </w:rPr>
              <w:t>0.000217</w:t>
            </w:r>
          </w:p>
        </w:tc>
      </w:tr>
      <w:tr>
        <w:tc>
          <w:tcPr>
            <w:tcW w:type="dxa" w:w="3024"/>
          </w:tcPr>
          <w:p>
            <w:r>
              <w:rPr>
                <w:sz w:val="20"/>
              </w:rPr>
              <w:t>2</w:t>
            </w:r>
          </w:p>
        </w:tc>
        <w:tc>
          <w:tcPr>
            <w:tcW w:type="dxa" w:w="3024"/>
          </w:tcPr>
          <w:p>
            <w:r>
              <w:rPr>
                <w:sz w:val="20"/>
              </w:rPr>
              <w:t>WTI</w:t>
            </w:r>
          </w:p>
        </w:tc>
        <w:tc>
          <w:tcPr>
            <w:tcW w:type="dxa" w:w="3024"/>
          </w:tcPr>
          <w:p>
            <w:r>
              <w:rPr>
                <w:sz w:val="20"/>
              </w:rPr>
              <w:t>0.000210</w:t>
            </w:r>
          </w:p>
        </w:tc>
      </w:tr>
      <w:tr>
        <w:tc>
          <w:tcPr>
            <w:tcW w:type="dxa" w:w="3024"/>
          </w:tcPr>
          <w:p>
            <w:r>
              <w:rPr>
                <w:sz w:val="20"/>
              </w:rPr>
              <w:t>3</w:t>
            </w:r>
          </w:p>
        </w:tc>
        <w:tc>
          <w:tcPr>
            <w:tcW w:type="dxa" w:w="3024"/>
          </w:tcPr>
          <w:p>
            <w:r>
              <w:rPr>
                <w:sz w:val="20"/>
              </w:rPr>
              <w:t>Gold</w:t>
            </w:r>
          </w:p>
        </w:tc>
        <w:tc>
          <w:tcPr>
            <w:tcW w:type="dxa" w:w="3024"/>
          </w:tcPr>
          <w:p>
            <w:r>
              <w:rPr>
                <w:sz w:val="20"/>
              </w:rPr>
              <w:t>0.000163</w:t>
            </w:r>
          </w:p>
        </w:tc>
      </w:tr>
      <w:tr>
        <w:tc>
          <w:tcPr>
            <w:tcW w:type="dxa" w:w="3024"/>
          </w:tcPr>
          <w:p>
            <w:r>
              <w:rPr>
                <w:sz w:val="20"/>
              </w:rPr>
              <w:t>4</w:t>
            </w:r>
          </w:p>
        </w:tc>
        <w:tc>
          <w:tcPr>
            <w:tcW w:type="dxa" w:w="3024"/>
          </w:tcPr>
          <w:p>
            <w:r>
              <w:rPr>
                <w:sz w:val="20"/>
              </w:rPr>
              <w:t>Copper</w:t>
            </w:r>
          </w:p>
        </w:tc>
        <w:tc>
          <w:tcPr>
            <w:tcW w:type="dxa" w:w="3024"/>
          </w:tcPr>
          <w:p>
            <w:r>
              <w:rPr>
                <w:sz w:val="20"/>
              </w:rPr>
              <w:t>0.000117</w:t>
            </w:r>
          </w:p>
        </w:tc>
      </w:tr>
      <w:tr>
        <w:tc>
          <w:tcPr>
            <w:tcW w:type="dxa" w:w="3024"/>
          </w:tcPr>
          <w:p>
            <w:r>
              <w:rPr>
                <w:sz w:val="20"/>
              </w:rPr>
              <w:t>5</w:t>
            </w:r>
          </w:p>
        </w:tc>
        <w:tc>
          <w:tcPr>
            <w:tcW w:type="dxa" w:w="3024"/>
          </w:tcPr>
          <w:p>
            <w:r>
              <w:rPr>
                <w:sz w:val="20"/>
              </w:rPr>
              <w:t>Silver</w:t>
            </w:r>
          </w:p>
        </w:tc>
        <w:tc>
          <w:tcPr>
            <w:tcW w:type="dxa" w:w="3024"/>
          </w:tcPr>
          <w:p>
            <w:r>
              <w:rPr>
                <w:sz w:val="20"/>
              </w:rPr>
              <w:t>0.000088</w:t>
            </w:r>
          </w:p>
        </w:tc>
      </w:tr>
      <w:tr>
        <w:tc>
          <w:tcPr>
            <w:tcW w:type="dxa" w:w="3024"/>
          </w:tcPr>
          <w:p>
            <w:r>
              <w:rPr>
                <w:sz w:val="20"/>
              </w:rPr>
              <w:t>6</w:t>
            </w:r>
          </w:p>
        </w:tc>
        <w:tc>
          <w:tcPr>
            <w:tcW w:type="dxa" w:w="3024"/>
          </w:tcPr>
          <w:p>
            <w:r>
              <w:rPr>
                <w:sz w:val="20"/>
              </w:rPr>
              <w:t>IHSG (lag)</w:t>
            </w:r>
          </w:p>
        </w:tc>
        <w:tc>
          <w:tcPr>
            <w:tcW w:type="dxa" w:w="3024"/>
          </w:tcPr>
          <w:p>
            <w:r>
              <w:rPr>
                <w:sz w:val="20"/>
              </w:rPr>
              <w:t>0.000042</w:t>
            </w:r>
          </w:p>
        </w:tc>
      </w:tr>
    </w:tbl>
    <w:p/>
    <w:p>
      <w:pPr>
        <w:spacing w:after="80"/>
      </w:pPr>
      <w:r>
        <w:rPr>
          <w:b w:val="0"/>
          <w:i w:val="0"/>
          <w:sz w:val="22"/>
        </w:rPr>
        <w:t>Temuan menarik: Nickel dan WTI memiliki kontribusi SHAP tertinggi, mengungguli Gold yang sebelumnya mendominasi pada fase screening. Lag IHSG sendiri memiliki kontribusi paling kecil di antara semua variabel, mengindikasikan bahwa kovariat komoditas memberikan informasi tambahan yang tidak tertangkap oleh harga IHSG historis semata.</w:t>
      </w:r>
    </w:p>
    <w:p>
      <w:pPr>
        <w:pStyle w:val="Heading2"/>
      </w:pPr>
      <w:r>
        <w:t>Output Notebook 05</w:t>
      </w:r>
    </w:p>
    <w:p>
      <w:pPr>
        <w:pStyle w:val="ListBullet"/>
        <w:spacing w:after="40"/>
        <w:ind w:left="283"/>
      </w:pPr>
      <w:r>
        <w:rPr>
          <w:sz w:val="21"/>
        </w:rPr>
        <w:t>shap_feature_importance_RandomForest_[timestamp].csv — tabel ranking SHAP per variabel</w:t>
      </w:r>
    </w:p>
    <w:p>
      <w:pPr>
        <w:pStyle w:val="ListBullet"/>
        <w:spacing w:after="40"/>
        <w:ind w:left="283"/>
      </w:pPr>
      <w:r>
        <w:rPr>
          <w:sz w:val="21"/>
        </w:rPr>
        <w:t>plot_shap_importance_RandomForest_30.png — bar chart importansi variabel dan top 20 lag</w:t>
      </w:r>
    </w:p>
    <w:p>
      <w:pPr>
        <w:pStyle w:val="ListBullet"/>
        <w:spacing w:after="40"/>
        <w:ind w:left="283"/>
      </w:pPr>
      <w:r>
        <w:rPr>
          <w:sz w:val="21"/>
        </w:rPr>
        <w:t>plot_shap_beeswarm_RandomForest_30.png — beeswarm plot top 20 fitur individual</w:t>
      </w:r>
    </w:p>
    <w:p>
      <w:r>
        <w:br w:type="page"/>
      </w:r>
    </w:p>
    <w:p>
      <w:pPr>
        <w:pStyle w:val="Heading1"/>
      </w:pPr>
      <w:r>
        <w:t>NOTEBOOK 06 — Visualisasi Komparatif Multi-Model</w:t>
      </w:r>
    </w:p>
    <w:p>
      <w:pPr>
        <w:spacing w:after="80"/>
      </w:pPr>
      <w:r>
        <w:rPr>
          <w:b/>
          <w:i/>
          <w:sz w:val="20"/>
        </w:rPr>
        <w:t>File: 06_visualization.ipynb</w:t>
      </w:r>
    </w:p>
    <w:p>
      <w:pPr>
        <w:spacing w:after="80"/>
      </w:pPr>
      <w:r>
        <w:rPr>
          <w:b w:val="0"/>
          <w:i w:val="0"/>
          <w:sz w:val="22"/>
        </w:rPr>
        <w:t>Notebook terakhir ini mengkonsolidasikan seluruh hasil dari Phase 1 dan Phase 2 ke dalam visualisasi komparatif yang komprehensif untuk mendukung analisis dan pelaporan hasil penelitian.</w:t>
      </w:r>
    </w:p>
    <w:p>
      <w:pPr>
        <w:pStyle w:val="Heading2"/>
      </w:pPr>
      <w:r>
        <w:t>Langkah 1 — Memuat dan Normalisasi Data</w:t>
      </w:r>
    </w:p>
    <w:p>
      <w:pPr>
        <w:pStyle w:val="ListBullet"/>
        <w:spacing w:after="40"/>
        <w:ind w:left="283"/>
      </w:pPr>
      <w:r>
        <w:rPr>
          <w:sz w:val="21"/>
        </w:rPr>
        <w:t>Load phase1_screening_results.csv (128 baris) dan phase2_group_results.csv (24 baris)</w:t>
      </w:r>
    </w:p>
    <w:p>
      <w:pPr>
        <w:pStyle w:val="ListBullet"/>
        <w:spacing w:after="40"/>
        <w:ind w:left="283"/>
      </w:pPr>
      <w:r>
        <w:rPr>
          <w:sz w:val="21"/>
        </w:rPr>
        <w:t>Normalisasi kolom Phase 1: hapus kolom _std, rename _mean ke lowercase (MAPE_mean → mape)</w:t>
      </w:r>
    </w:p>
    <w:p>
      <w:pPr>
        <w:pStyle w:val="ListBullet"/>
        <w:spacing w:after="40"/>
        <w:ind w:left="283"/>
      </w:pPr>
      <w:r>
        <w:rPr>
          <w:sz w:val="21"/>
        </w:rPr>
        <w:t>Tambah kolom 'Phase' untuk membedakan sumber data</w:t>
      </w:r>
    </w:p>
    <w:p>
      <w:pPr>
        <w:pStyle w:val="ListBullet"/>
        <w:spacing w:after="40"/>
        <w:ind w:left="283"/>
      </w:pPr>
      <w:r>
        <w:rPr>
          <w:sz w:val="21"/>
        </w:rPr>
        <w:t>Gabungkan ke df_all untuk analisis lintas-phase</w:t>
      </w:r>
    </w:p>
    <w:p>
      <w:pPr>
        <w:pStyle w:val="Heading2"/>
      </w:pPr>
      <w:r>
        <w:t>Langkah 2 — MAPE Terbaik per Model (Phase 2)</w:t>
      </w:r>
    </w:p>
    <w:p>
      <w:pPr>
        <w:spacing w:after="80"/>
      </w:pPr>
      <w:r>
        <w:rPr>
          <w:b w:val="0"/>
          <w:i w:val="0"/>
          <w:sz w:val="22"/>
        </w:rPr>
        <w:t>Bar chart membandingkan MAPE terbaik yang dicapai tiap model di Phase 2. Setiap batang merepresentasikan performa optimal yang mungkin dicapai model tersebut dengan covariate group dan window terbaik. File: plot_model_comparison_mape.png</w:t>
      </w:r>
    </w:p>
    <w:p>
      <w:pPr>
        <w:pStyle w:val="Heading2"/>
      </w:pPr>
      <w:r>
        <w:t>Langkah 3 — Heatmap MAPE per Model × Covariate Group</w:t>
      </w:r>
    </w:p>
    <w:p>
      <w:pPr>
        <w:spacing w:after="80"/>
      </w:pPr>
      <w:r>
        <w:rPr>
          <w:b w:val="0"/>
          <w:i w:val="0"/>
          <w:sz w:val="22"/>
        </w:rPr>
        <w:t>Heatmap 4×4 (model × covariate group) menampilkan MAPE minimum dari setiap kombinasi. Memungkinkan identifikasi pola: apakah model tertentu konsisten lebih baik? Apakah covariate group tertentu selalu unggul? File: plot_phase2_heatmap.png</w:t>
      </w:r>
    </w:p>
    <w:p>
      <w:pPr>
        <w:pStyle w:val="Heading2"/>
      </w:pPr>
      <w:r>
        <w:t>Langkah 4 — Perbandingan Window (W30 vs W120)</w:t>
      </w:r>
    </w:p>
    <w:p>
      <w:pPr>
        <w:spacing w:after="80"/>
      </w:pPr>
      <w:r>
        <w:rPr>
          <w:b w:val="0"/>
          <w:i w:val="0"/>
          <w:sz w:val="22"/>
        </w:rPr>
        <w:t>Dua subplot horizontal bar chart untuk window 30 dan 120 hari, diurutkan dari MAPE terbaik. Berguna untuk memahami bagaimana panjang memory historis mempengaruhi akurasi prediksi. File: plot_window_comparison.png</w:t>
      </w:r>
    </w:p>
    <w:p>
      <w:pPr>
        <w:pStyle w:val="Heading2"/>
      </w:pPr>
      <w:r>
        <w:t>Langkah 5 — Directional Accuracy Heatmap</w:t>
      </w:r>
    </w:p>
    <w:p>
      <w:pPr>
        <w:spacing w:after="80"/>
      </w:pPr>
      <w:r>
        <w:rPr>
          <w:b w:val="0"/>
          <w:i w:val="0"/>
          <w:sz w:val="22"/>
        </w:rPr>
        <w:t>Heatmap DA (Directional Accuracy) menampilkan kemampuan model memprediksi arah pergerakan IHSG (naik/turun). Baseline: 50% (random guess). Rentang hasil: 49–55%. File: plot_directional_accuracy.png</w:t>
      </w:r>
    </w:p>
    <w:p>
      <w:pPr>
        <w:pStyle w:val="Heading2"/>
      </w:pPr>
      <w:r>
        <w:t>Langkah 6 — Tabel Ringkasan</w:t>
      </w:r>
    </w:p>
    <w:p>
      <w:pPr>
        <w:pStyle w:val="ListBullet"/>
        <w:spacing w:after="40"/>
        <w:ind w:left="283"/>
      </w:pPr>
      <w:r>
        <w:rPr>
          <w:sz w:val="21"/>
        </w:rPr>
        <w:t>Top 10 konfigurasi terbaik Phase 2: Model, Group, Window, MAPE, RMSE, MAE, R2, DA</w:t>
      </w:r>
    </w:p>
    <w:p>
      <w:pPr>
        <w:pStyle w:val="ListBullet"/>
        <w:spacing w:after="40"/>
        <w:ind w:left="283"/>
      </w:pPr>
      <w:r>
        <w:rPr>
          <w:sz w:val="21"/>
        </w:rPr>
        <w:t>Semua hasil gabungan Phase 1 + Phase 2 (152 baris total) diurutkan per phase</w:t>
      </w:r>
    </w:p>
    <w:p>
      <w:pPr>
        <w:pStyle w:val="Heading2"/>
      </w:pPr>
      <w:r>
        <w:t>Output Notebook 06</w:t>
      </w:r>
    </w:p>
    <w:p>
      <w:pPr>
        <w:pStyle w:val="ListBullet"/>
        <w:spacing w:after="40"/>
        <w:ind w:left="283"/>
      </w:pPr>
      <w:r>
        <w:rPr>
          <w:sz w:val="21"/>
        </w:rPr>
        <w:t>plot_model_comparison_mape.png — MAPE terbaik per model</w:t>
      </w:r>
    </w:p>
    <w:p>
      <w:pPr>
        <w:pStyle w:val="ListBullet"/>
        <w:spacing w:after="40"/>
        <w:ind w:left="283"/>
      </w:pPr>
      <w:r>
        <w:rPr>
          <w:sz w:val="21"/>
        </w:rPr>
        <w:t>plot_phase2_heatmap.png — heatmap MAPE per model × covariate group</w:t>
      </w:r>
    </w:p>
    <w:p>
      <w:pPr>
        <w:pStyle w:val="ListBullet"/>
        <w:spacing w:after="40"/>
        <w:ind w:left="283"/>
      </w:pPr>
      <w:r>
        <w:rPr>
          <w:sz w:val="21"/>
        </w:rPr>
        <w:t>plot_window_comparison.png — perbandingan W30 vs W120</w:t>
      </w:r>
    </w:p>
    <w:p>
      <w:pPr>
        <w:pStyle w:val="ListBullet"/>
        <w:spacing w:after="40"/>
        <w:ind w:left="283"/>
      </w:pPr>
      <w:r>
        <w:rPr>
          <w:sz w:val="21"/>
        </w:rPr>
        <w:t>plot_directional_accuracy.png — heatmap directional accuracy</w:t>
      </w:r>
    </w:p>
    <w:p>
      <w:r>
        <w:br w:type="page"/>
      </w:r>
    </w:p>
    <w:p>
      <w:pPr>
        <w:pStyle w:val="Heading1"/>
      </w:pPr>
      <w:r>
        <w:t>RINGKASAN TEMUAN UTAMA</w:t>
      </w:r>
    </w:p>
    <w:p>
      <w:pPr>
        <w:pStyle w:val="Heading2"/>
      </w:pPr>
      <w:r>
        <w:t>Performa Model</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BDC9E5"/>
          </w:tcPr>
          <w:p>
            <w:r>
              <w:rPr>
                <w:b/>
                <w:sz w:val="20"/>
              </w:rPr>
              <w:t>Fase</w:t>
            </w:r>
          </w:p>
        </w:tc>
        <w:tc>
          <w:tcPr>
            <w:tcW w:type="dxa" w:w="1814"/>
            <w:shd w:val="clear" w:color="auto" w:fill="BDC9E5"/>
          </w:tcPr>
          <w:p>
            <w:r>
              <w:rPr>
                <w:b/>
                <w:sz w:val="20"/>
              </w:rPr>
              <w:t>Model Terbaik</w:t>
            </w:r>
          </w:p>
        </w:tc>
        <w:tc>
          <w:tcPr>
            <w:tcW w:type="dxa" w:w="1814"/>
            <w:shd w:val="clear" w:color="auto" w:fill="BDC9E5"/>
          </w:tcPr>
          <w:p>
            <w:r>
              <w:rPr>
                <w:b/>
                <w:sz w:val="20"/>
              </w:rPr>
              <w:t>Kovariat</w:t>
            </w:r>
          </w:p>
        </w:tc>
        <w:tc>
          <w:tcPr>
            <w:tcW w:type="dxa" w:w="1814"/>
            <w:shd w:val="clear" w:color="auto" w:fill="BDC9E5"/>
          </w:tcPr>
          <w:p>
            <w:r>
              <w:rPr>
                <w:b/>
                <w:sz w:val="20"/>
              </w:rPr>
              <w:t>Window</w:t>
            </w:r>
          </w:p>
        </w:tc>
        <w:tc>
          <w:tcPr>
            <w:tcW w:type="dxa" w:w="1814"/>
            <w:shd w:val="clear" w:color="auto" w:fill="BDC9E5"/>
          </w:tcPr>
          <w:p>
            <w:r>
              <w:rPr>
                <w:b/>
                <w:sz w:val="20"/>
              </w:rPr>
              <w:t>MAPE (%)</w:t>
            </w:r>
          </w:p>
        </w:tc>
      </w:tr>
      <w:tr>
        <w:tc>
          <w:tcPr>
            <w:tcW w:type="dxa" w:w="1814"/>
          </w:tcPr>
          <w:p>
            <w:r>
              <w:rPr>
                <w:sz w:val="20"/>
              </w:rPr>
              <w:t>Phase 1 (single)</w:t>
            </w:r>
          </w:p>
        </w:tc>
        <w:tc>
          <w:tcPr>
            <w:tcW w:type="dxa" w:w="1814"/>
          </w:tcPr>
          <w:p>
            <w:r>
              <w:rPr>
                <w:sz w:val="20"/>
              </w:rPr>
              <w:t>ExtraTrees</w:t>
            </w:r>
          </w:p>
        </w:tc>
        <w:tc>
          <w:tcPr>
            <w:tcW w:type="dxa" w:w="1814"/>
          </w:tcPr>
          <w:p>
            <w:r>
              <w:rPr>
                <w:sz w:val="20"/>
              </w:rPr>
              <w:t>STI + Gold + ...</w:t>
            </w:r>
          </w:p>
        </w:tc>
        <w:tc>
          <w:tcPr>
            <w:tcW w:type="dxa" w:w="1814"/>
          </w:tcPr>
          <w:p>
            <w:r>
              <w:rPr>
                <w:sz w:val="20"/>
              </w:rPr>
              <w:t>30</w:t>
            </w:r>
          </w:p>
        </w:tc>
        <w:tc>
          <w:tcPr>
            <w:tcW w:type="dxa" w:w="1814"/>
          </w:tcPr>
          <w:p>
            <w:r>
              <w:rPr>
                <w:sz w:val="20"/>
              </w:rPr>
              <w:t>~0.6581</w:t>
            </w:r>
          </w:p>
        </w:tc>
      </w:tr>
      <w:tr>
        <w:tc>
          <w:tcPr>
            <w:tcW w:type="dxa" w:w="1814"/>
          </w:tcPr>
          <w:p>
            <w:r>
              <w:rPr>
                <w:sz w:val="20"/>
              </w:rPr>
              <w:t>Phase 2 (group)</w:t>
            </w:r>
          </w:p>
        </w:tc>
        <w:tc>
          <w:tcPr>
            <w:tcW w:type="dxa" w:w="1814"/>
          </w:tcPr>
          <w:p>
            <w:r>
              <w:rPr>
                <w:sz w:val="20"/>
              </w:rPr>
              <w:t>RandomForest / ExtraTrees</w:t>
            </w:r>
          </w:p>
        </w:tc>
        <w:tc>
          <w:tcPr>
            <w:tcW w:type="dxa" w:w="1814"/>
          </w:tcPr>
          <w:p>
            <w:r>
              <w:rPr>
                <w:sz w:val="20"/>
              </w:rPr>
              <w:t>Sig_Commodity</w:t>
            </w:r>
          </w:p>
        </w:tc>
        <w:tc>
          <w:tcPr>
            <w:tcW w:type="dxa" w:w="1814"/>
          </w:tcPr>
          <w:p>
            <w:r>
              <w:rPr>
                <w:sz w:val="20"/>
              </w:rPr>
              <w:t>30</w:t>
            </w:r>
          </w:p>
        </w:tc>
        <w:tc>
          <w:tcPr>
            <w:tcW w:type="dxa" w:w="1814"/>
          </w:tcPr>
          <w:p>
            <w:r>
              <w:rPr>
                <w:sz w:val="20"/>
              </w:rPr>
              <w:t>0.5044</w:t>
            </w:r>
          </w:p>
        </w:tc>
      </w:tr>
    </w:tbl>
    <w:p/>
    <w:p>
      <w:pPr>
        <w:pStyle w:val="Heading2"/>
      </w:pPr>
      <w:r>
        <w:t>Temuan Signifikan</w:t>
      </w:r>
    </w:p>
    <w:p>
      <w:pPr>
        <w:pStyle w:val="ListBullet"/>
        <w:spacing w:after="40"/>
        <w:ind w:left="283"/>
      </w:pPr>
      <w:r>
        <w:rPr>
          <w:sz w:val="21"/>
        </w:rPr>
        <w:t>Kovariat komoditas (Copper, Nickel, Silver, Gold, WTI) secara konsisten meningkatkan akurasi prediksi</w:t>
      </w:r>
    </w:p>
    <w:p>
      <w:pPr>
        <w:pStyle w:val="ListBullet"/>
        <w:spacing w:after="40"/>
        <w:ind w:left="283"/>
      </w:pPr>
      <w:r>
        <w:rPr>
          <w:sz w:val="21"/>
        </w:rPr>
        <w:t>Window 30 hari (short-term) lebih optimal dibanding 120 hari untuk semua covariate group di Phase 2</w:t>
      </w:r>
    </w:p>
    <w:p>
      <w:pPr>
        <w:pStyle w:val="ListBullet"/>
        <w:spacing w:after="40"/>
        <w:ind w:left="283"/>
      </w:pPr>
      <w:r>
        <w:rPr>
          <w:sz w:val="21"/>
        </w:rPr>
        <w:t>Directional Accuracy 50–54% — model kurang kuat dalam memprediksi arah, mencerminkan sifat random walk jangka pendek pasar saham</w:t>
      </w:r>
    </w:p>
    <w:p>
      <w:pPr>
        <w:pStyle w:val="ListBullet"/>
        <w:spacing w:after="40"/>
        <w:ind w:left="283"/>
      </w:pPr>
      <w:r>
        <w:rPr>
          <w:sz w:val="21"/>
        </w:rPr>
        <w:t>SHAP analysis: Nickel dan WTI paling berkontribusi, melebihi Gold yang mendominasi di screening</w:t>
      </w:r>
    </w:p>
    <w:p>
      <w:pPr>
        <w:pStyle w:val="ListBullet"/>
        <w:spacing w:after="40"/>
        <w:ind w:left="283"/>
      </w:pPr>
      <w:r>
        <w:rPr>
          <w:sz w:val="21"/>
        </w:rPr>
        <w:t>GDP tidak lolos screening di mayoritas kombinasi — kemungkinan akibat staleness data kuartalan (nilai bertahan ~63 hari)</w:t>
      </w:r>
    </w:p>
    <w:p>
      <w:pPr>
        <w:pStyle w:val="ListBullet"/>
        <w:spacing w:after="40"/>
        <w:ind w:left="283"/>
      </w:pPr>
      <w:r>
        <w:rPr>
          <w:sz w:val="21"/>
        </w:rPr>
        <w:t>US_Treasury_10Y dan Coal tidak lolos di satu kombinasi pun — tidak relevan secara empiris</w:t>
      </w:r>
    </w:p>
    <w:p>
      <w:pPr>
        <w:pStyle w:val="Heading2"/>
      </w:pPr>
      <w:r>
        <w:t>Keterbatasan Penelitian</w:t>
      </w:r>
    </w:p>
    <w:p>
      <w:pPr>
        <w:pStyle w:val="ListBullet"/>
        <w:spacing w:after="40"/>
        <w:ind w:left="283"/>
      </w:pPr>
      <w:r>
        <w:rPr>
          <w:sz w:val="21"/>
        </w:rPr>
        <w:t>Evaluasi Phase 2 menggunakan single split 80/20 — tidak ada cross-validation, hasil lebih rentan terhadap kondisi spesifik periode test</w:t>
      </w:r>
    </w:p>
    <w:p>
      <w:pPr>
        <w:pStyle w:val="ListBullet"/>
        <w:spacing w:after="40"/>
        <w:ind w:left="283"/>
      </w:pPr>
      <w:r>
        <w:rPr>
          <w:sz w:val="21"/>
        </w:rPr>
        <w:t>GDP berpotensi memiliki look-ahead bias: data kuartalan BPS dirilis ~2 bulan setelah akhir kuartal, namun digunakan langsung dari tanggal kuartal</w:t>
      </w:r>
    </w:p>
    <w:p>
      <w:pPr>
        <w:pStyle w:val="ListBullet"/>
        <w:spacing w:after="40"/>
        <w:ind w:left="283"/>
      </w:pPr>
      <w:r>
        <w:rPr>
          <w:sz w:val="21"/>
        </w:rPr>
        <w:t>LightGBM tidak berhasil dijalankan pada Phase 2 akibat dependency version conflict di lingkungan Python</w:t>
      </w:r>
    </w:p>
    <w:p>
      <w:pPr>
        <w:pStyle w:val="ListBullet"/>
        <w:spacing w:after="40"/>
        <w:ind w:left="283"/>
      </w:pPr>
      <w:r>
        <w:rPr>
          <w:sz w:val="21"/>
        </w:rPr>
        <w:t>Perbandingan antar model tidak dilakukan uji statistik formal — perbedaan MAPE sangat kecil (&lt;0.01%) tidak dapat diklaim signifikan tanpa Diebold-Mariano Test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