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rPr>
          <w:b/>
          <w:bCs/>
        </w:rPr>
        <w:t xml:space="preserve">BAB II</w:t>
      </w:r>
    </w:p>
    <w:p>
      <w:pPr>
        <w:pStyle w:val="Heading1"/>
        <w:spacing w:after="480"/>
        <w:jc w:val="center"/>
      </w:pPr>
      <w:r>
        <w:rPr>
          <w:b/>
          <w:bCs/>
        </w:rPr>
        <w:t xml:space="preserve">TINJAUAN PUSTAKA</w:t>
      </w:r>
    </w:p>
    <w:p>
      <w:pPr>
        <w:pStyle w:val="Heading2"/>
      </w:pPr>
      <w:r>
        <w:rPr>
          <w:b/>
          <w:bCs/>
        </w:rPr>
        <w:t xml:space="preserve">2.1 Pasar Modal dan Indeks Harga Saham Gabungan</w:t>
      </w:r>
    </w:p>
    <w:p>
      <w:pPr>
        <w:spacing w:after="200" w:line="360"/>
        <w:jc w:val="both"/>
      </w:pPr>
      <w:r>
        <w:t xml:space="preserve">Pasar modal merupakan komponen fundamental dalam sistem keuangan modern yang menghubungkan pihak yang memerlukan pendanaan jangka panjang dengan pihak yang memiliki kelebihan dana untuk diinvestasikan. Menurut Mankiw (2021), pasar modal adalah bagian dari sistem keuangan yang memfasilitasi aliran dana dari pihak yang memiliki kelebihan tabungan </w:t>
      </w:r>
      <w:r>
        <w:rPr>
          <w:i/>
          <w:iCs/>
        </w:rPr>
        <w:t xml:space="preserve">(surplus units)</w:t>
      </w:r>
      <w:r>
        <w:t xml:space="preserve"> kepada pihak yang memerlukan dana untuk investasi produktif </w:t>
      </w:r>
      <w:r>
        <w:rPr>
          <w:i/>
          <w:iCs/>
        </w:rPr>
        <w:t xml:space="preserve">(deficit units)</w:t>
      </w:r>
      <w:r>
        <w:t xml:space="preserve">. Dalam konteks ini, pasar modal tidak hanya berfungsi sebagai tempat transaksi jual-beli instrumen keuangan, tetapi juga memainkan peran krusial dalam alokasi sumber daya ekonomi secara efisien. Levine dan Zervos (1998) dalam penelitian klasiknya menunjukkan bahwa perkembangan pasar modal memiliki hubungan positif dan signifikan dengan pertumbuhan ekonomi jangka panjang, di mana likuiditas pasar saham menjadi prediktor kuat bagi akumulasi kapital, peningkatan produktivitas, dan pertumbuhan ekonomi riil.</w:t>
      </w:r>
    </w:p>
    <w:p>
      <w:pPr>
        <w:spacing w:after="200" w:line="360"/>
        <w:jc w:val="both"/>
      </w:pPr>
      <w:r>
        <w:t xml:space="preserve">Lubis et al. (2024) mengidentifikasi tiga fungsi utama pasar modal dalam perekonomian Indonesia. Pertama, pasar modal mempertemukan pihak yang memerlukan pendanaan jangka panjang dengan investor yang memiliki dana untuk diinvestasikan. Kedua, pasar modal memberikan imbal hasil bagi investor sesuai dengan instrumen yang dipilih dan tingkat risiko yang ditanggung. Ketiga, pasar modal meningkatkan efisiensi alokasi sumber daya ekonomi dengan mengarahkan dana ke sektor-sektor yang paling produktif. Fungsi-fungsi ini menjadi semakin penting dalam konteks ekonomi Indonesia yang membutuhkan pembiayaan investasi untuk mendorong pertumbuhan ekonomi berkelanjutan.</w:t>
      </w:r>
    </w:p>
    <w:p>
      <w:pPr>
        <w:spacing w:after="200" w:line="360"/>
        <w:jc w:val="both"/>
      </w:pPr>
      <w:r>
        <w:t xml:space="preserve">Hubungan antara pasar modal dan pertumbuhan ekonomi telah menjadi subjek penelitian yang ekstensif dalam literatur ekonomi keuangan. Bist (2017) dalam studinya tentang pasar modal Nepal menggunakan pendekatan </w:t>
      </w:r>
      <w:r>
        <w:rPr>
          <w:i/>
          <w:iCs/>
        </w:rPr>
        <w:t xml:space="preserve">ARDL bounds testing</w:t>
      </w:r>
      <w:r>
        <w:t xml:space="preserve"> menemukan bahwa perkembangan pasar modal memiliki dampak positif signifikan terhadap pertumbuhan ekonomi baik dalam jangka pendek maupun jangka panjang, dengan elastisitas jangka panjang sebesar 0,101. Temuan serupa juga dikemukakan oleh Chikwira dan Mohammed (2023) yang menganalisis pasar modal Zimbabwe dan menemukan hubungan positif yang signifikan secara statistik antara pasar modal dan pertumbuhan ekonomi. Penelitian ini juga mengungkap bahwa likuiditas pasar saham memiliki pengaruh sangat signifikan terhadap ekspansi ekonomi, yang menegaskan pentingnya pasar modal yang efisien dan likuid bagi pembangunan ekonomi.</w:t>
      </w:r>
    </w:p>
    <w:p>
      <w:pPr>
        <w:spacing w:after="200" w:line="360"/>
        <w:jc w:val="both"/>
      </w:pPr>
      <w:r>
        <w:t xml:space="preserve">Chikwira dan Mohammed (2023) lebih lanjut menemukan adanya kausalitas satu arah </w:t>
      </w:r>
      <w:r>
        <w:rPr>
          <w:i/>
          <w:iCs/>
        </w:rPr>
        <w:t xml:space="preserve">(unidirectional causality)</w:t>
      </w:r>
      <w:r>
        <w:t xml:space="preserve"> dari pasar saham ke pertumbuhan ekonomi dalam jangka pendek, yang mengindikasikan bahwa pergerakan pasar saham mempengaruhi pertumbuhan ekonomi, namun tidak sebaliknya. Temuan ini memiliki implikasi penting bahwa kondisi dan sentimen pasar modal dapat menjadi indikator awal </w:t>
      </w:r>
      <w:r>
        <w:rPr>
          <w:i/>
          <w:iCs/>
        </w:rPr>
        <w:t xml:space="preserve">(leading indicator)</w:t>
      </w:r>
      <w:r>
        <w:t xml:space="preserve"> bagi arah pergerakan ekonomi riil. Selain itu, pasar saham yang likuid memungkinkan perusahaan untuk memperoleh pendanaan ekuitas dengan biaya yang lebih rendah dibandingkan dengan pembiayaan utang dari perbankan, yang pada gilirannya dapat mendorong ekspansi bisnis dan pertumbuhan ekonomi.</w:t>
      </w:r>
    </w:p>
    <w:p>
      <w:pPr>
        <w:spacing w:after="200" w:line="360"/>
        <w:jc w:val="both"/>
      </w:pPr>
      <w:r>
        <w:t xml:space="preserve">Indeks Harga Saham Gabungan (IHSG) merupakan indikator utama kinerja pasar modal Indonesia yang mencerminkan pergerakan harga seluruh saham yang tercatat di Bursa Efek Indonesia. Bimenyimana et al. (2025) menegaskan bahwa indeks saham berfungsi sebagai barometer kondisi ekonomi suatu negara karena pergerakannya mencerminkan ekspektasi kolektif pelaku pasar terhadap prospek ekonomi di masa depan. Sebagai composite index yang menggabungkan pergerakan seluruh saham yang tercatat, IHSG merangkum informasi mengenai kondisi ekonomi makro, sentimen pasar, dan ekspektasi pertumbuhan korporasi secara agregat.</w:t>
      </w:r>
    </w:p>
    <w:p>
      <w:pPr>
        <w:spacing w:after="200" w:line="360"/>
        <w:jc w:val="both"/>
      </w:pPr>
      <w:r>
        <w:t xml:space="preserve">Kung et al. (2010) mendokumentasikan evolusi pasar modal Indonesia dari periode ketidakaktifan hingga menjadi komponen penting dalam sistem keuangan nasional. Bursa Efek Jakarta yang dibuka kembali pada tahun 1977 mengalami pertumbuhan terbatas pada periode awal dengan hanya 24 saham yang tercatat hingga tahun 1984. Reformasi ekonomi yang dimulai pada Desember 1987 melalui paket Pakdes I menjadi titik balik yang signifikan, di mana deregulasi memungkinkan kepemilikan asing atas saham domestik dan meningkatkan partisipasi sektor swasta. Hasilnya, Indeks Harga Saham Gabungan meningkat dari 80 poin pada tahun 1987 menjadi 637 poin pada tahun 1996, mencerminkan transformasi substansial dalam pasar modal Indonesia.</w:t>
      </w:r>
    </w:p>
    <w:p>
      <w:pPr>
        <w:spacing w:after="200" w:line="360"/>
        <w:jc w:val="both"/>
      </w:pPr>
      <w:r>
        <w:t xml:space="preserve">Kung et al. (2010) juga menemukan bahwa efisiensi pasar modal Indonesia mengalami peningkatan seiring waktu. Pada periode 1988-1996, strategi </w:t>
      </w:r>
      <w:r>
        <w:rPr>
          <w:i/>
          <w:iCs/>
        </w:rPr>
        <w:t xml:space="preserve">technical trading</w:t>
      </w:r>
      <w:r>
        <w:t xml:space="preserve"> seperti </w:t>
      </w:r>
      <w:r>
        <w:rPr>
          <w:i/>
          <w:iCs/>
        </w:rPr>
        <w:t xml:space="preserve">moving averages</w:t>
      </w:r>
      <w:r>
        <w:t xml:space="preserve"> dan </w:t>
      </w:r>
      <w:r>
        <w:rPr>
          <w:i/>
          <w:iCs/>
        </w:rPr>
        <w:t xml:space="preserve">trading range breakouts</w:t>
      </w:r>
      <w:r>
        <w:t xml:space="preserve"> dapat menghasilkan tingkat pengembalian di atas rata-rata pasar dengan </w:t>
      </w:r>
      <w:r>
        <w:rPr>
          <w:i/>
          <w:iCs/>
        </w:rPr>
        <w:t xml:space="preserve">mean daily return</w:t>
      </w:r>
      <w:r>
        <w:t xml:space="preserve"> sebesar 0,00199 dibandingkan </w:t>
      </w:r>
      <w:r>
        <w:rPr>
          <w:i/>
          <w:iCs/>
        </w:rPr>
        <w:t xml:space="preserve">unconditional mean</w:t>
      </w:r>
      <w:r>
        <w:t xml:space="preserve"> sebesar 0,00087. Namun pada periode 1999-2007, prediktabilitas imbal hasil menurun dengan </w:t>
      </w:r>
      <w:r>
        <w:rPr>
          <w:i/>
          <w:iCs/>
        </w:rPr>
        <w:t xml:space="preserve">mean daily returns</w:t>
      </w:r>
      <w:r>
        <w:t xml:space="preserve"> yang mendekati rata-rata tanpa syarat, mengindikasikan peningkatan efisiensi pasar sebagaimana dijelaskan dalam </w:t>
      </w:r>
      <w:r>
        <w:rPr>
          <w:i/>
          <w:iCs/>
        </w:rPr>
        <w:t xml:space="preserve">Efficient Markets Hypothesis</w:t>
      </w:r>
      <w:r>
        <w:t xml:space="preserve"> (Mankiw, 2021).</w:t>
      </w:r>
    </w:p>
    <w:p>
      <w:pPr>
        <w:spacing w:after="200" w:line="360"/>
        <w:jc w:val="both"/>
      </w:pPr>
      <w:r>
        <w:t xml:space="preserve">Menurut Mankiw (2021), </w:t>
      </w:r>
      <w:r>
        <w:rPr>
          <w:i/>
          <w:iCs/>
        </w:rPr>
        <w:t xml:space="preserve">Efficient Markets Hypothesis</w:t>
      </w:r>
      <w:r>
        <w:t xml:space="preserve"> (EMH) menyatakan bahwa harga saham mencerminkan seluruh informasi yang tersedia mengenai nilai suatu aset, sehingga saham selalu dinilai secara wajar </w:t>
      </w:r>
      <w:r>
        <w:rPr>
          <w:i/>
          <w:iCs/>
        </w:rPr>
        <w:t xml:space="preserve">(fairly valued)</w:t>
      </w:r>
      <w:r>
        <w:t xml:space="preserve">. Implikasi dari hipotesis ini adalah bahwa perubahan harga saham mengikuti pola </w:t>
      </w:r>
      <w:r>
        <w:rPr>
          <w:i/>
          <w:iCs/>
        </w:rPr>
        <w:t xml:space="preserve">random walk</w:t>
      </w:r>
      <w:r>
        <w:t xml:space="preserve">, di mana pergerakan harga tidak dapat diprediksi karena didorong oleh informasi baru yang bersifat acak. Meskipun demikian, EMH tidak menghalangi upaya untuk memahami faktor-faktor fundamental yang mempengaruhi nilai intrinsik saham, termasuk variabel makroekonomi dan kondisi pasar komoditas global yang menjadi fokus penelitian ini.</w:t>
      </w:r>
    </w:p>
    <w:p>
      <w:pPr>
        <w:spacing w:after="200" w:line="360"/>
        <w:jc w:val="both"/>
      </w:pPr>
      <w:r>
        <w:t xml:space="preserve">Volatilitas IHSG sangat dipengaruhi oleh berbagai faktor baik domestik maupun global. Sugandi (2022) menganalisis dampak pandemi COVID-19 terhadap pasar keuangan Indonesia dan menemukan bahwa IHSG mengalami penurunan sebesar 38% dari awal tahun 2020 hingga titik terendah pada 24 Maret 2020. Kepemilikan investor asing atas saham di KSEI juga turun dari 52,5% pada Januari 2020 menjadi 48,3% pada September 2020, menunjukkan pergeseran kepemilikan ke investor domestik. Kementerian Perencanaan Pembangunan Nasional (2020) mencatat bahwa capital outflow selama periode penyebaran Corona Januari hingga 13 April 2020 mencapai Rp 159,3 triliun, yang sebagian besar merupakan surat berharga negara sebesar Rp 143,5 triliun (91%).</w:t>
      </w:r>
    </w:p>
    <w:p>
      <w:pPr>
        <w:spacing w:after="200" w:line="360"/>
        <w:jc w:val="both"/>
      </w:pPr>
      <w:r>
        <w:t xml:space="preserve">Meskipun volatilitas tersebut signifikan, dampaknya masih lebih moderat dibandingkan dengan krisis keuangan global 2008 di mana IHSG terkoreksi hingga 50% dan Rupiah terdepresiasi sebesar 30,9% (Kementerian PPN, 2020). Sugandi (2022) mencatat bahwa penurunan IHSG sebesar 38% selama pandemi COVID-19 juga lebih kecil dibandingkan krisis 2008 yang mencapai 147%. Bank Indonesia merespons krisis COVID-19 dengan menurunkan BI 7-Day Reverse Repo Rate sebesar 100 basis poin menjadi 4,00% dan menginjeksi likuiditas sebesar Rp 666 triliun hingga akhir September 2020 untuk menstabilkan pasar keuangan.</w:t>
      </w:r>
    </w:p>
    <w:p>
      <w:pPr>
        <w:spacing w:after="200" w:line="360"/>
        <w:jc w:val="both"/>
      </w:pPr>
      <w:r>
        <w:t xml:space="preserve">Selain faktor fundamental, pergerakan pasar saham juga dipengaruhi oleh faktor perilaku investor. Marciano et al. (2025) menemukan bahwa faktor psikologis seperti </w:t>
      </w:r>
      <w:r>
        <w:rPr>
          <w:i/>
          <w:iCs/>
        </w:rPr>
        <w:t xml:space="preserve">overconfidence</w:t>
      </w:r>
      <w:r>
        <w:t xml:space="preserve"> dan </w:t>
      </w:r>
      <w:r>
        <w:rPr>
          <w:i/>
          <w:iCs/>
        </w:rPr>
        <w:t xml:space="preserve">availability bias</w:t>
      </w:r>
      <w:r>
        <w:t xml:space="preserve"> berpengaruh signifikan terhadap keputusan investasi di Indonesia, Jepang, dan Thailand. Temuan ini mengindikasikan bahwa pergerakan pasar saham tidak sepenuhnya dapat dijelaskan oleh variabel fundamental saja, namun juga dipengaruhi oleh perilaku irasional investor. Hal ini menjadi pertimbangan penting dalam membangun model prediksi indeks saham, di mana pendekatan machine learning yang mampu menangkap pola non-linear dapat memberikan nilai tambah dibandingkan dengan model tradisional yang mengasumsikan rasionalitas sempurna.</w:t>
      </w:r>
    </w:p>
    <w:p>
      <w:pPr>
        <w:pStyle w:val="Heading2"/>
      </w:pPr>
      <w:r>
        <w:rPr>
          <w:b/>
          <w:bCs/>
        </w:rPr>
        <w:t xml:space="preserve">2.2 Variabel Makroekonomi dan Komoditas</w:t>
      </w:r>
    </w:p>
    <w:p>
      <w:pPr>
        <w:pStyle w:val="Heading3"/>
      </w:pPr>
      <w:r>
        <w:rPr>
          <w:b/>
          <w:bCs/>
        </w:rPr>
        <w:t xml:space="preserve">2.2.1 Variabel Makroekonomi Domestik</w:t>
      </w:r>
    </w:p>
    <w:p>
      <w:pPr>
        <w:spacing w:after="200" w:line="360"/>
        <w:jc w:val="both"/>
      </w:pPr>
      <w:r>
        <w:t xml:space="preserve">Hubungan antara variabel makroekonomi dan pasar saham merupakan salah satu topik sentral dalam literatur ekonomi keuangan. Zeng et al. (2024) menegaskan bahwa mempelajari dampak variabel makroekonomi terhadap volatilitas pasar saham memiliki arti penting bagi investor, pembuat kebijakan, dan analis pasar. Pemahaman yang mendalam mengenai hubungan ini memberikan wawasan tentang tren pasar dan risiko potensial, membantu investor membuat keputusan investasi yang lebih bijak. Pada saat yang sama, hal ini memberikan dasar bagi pembuat kebijakan dalam merumuskan kebijakan makroekonomi yang dapat mempengaruhi stabilitas pasar dan perkembangan ekonomi yang sehat.</w:t>
      </w:r>
    </w:p>
    <w:p>
      <w:pPr>
        <w:spacing w:after="200" w:line="360"/>
        <w:jc w:val="both"/>
      </w:pPr>
      <w:r>
        <w:rPr>
          <w:b/>
          <w:bCs/>
        </w:rPr>
        <w:t xml:space="preserve">Inflasi</w:t>
      </w:r>
      <w:r>
        <w:t xml:space="preserve"> didefinisikan oleh Mankiw (2021) sebagai peningkatan umum dalam tingkat harga barang dan jasa di suatu ekonomi, yang diukur menggunakan indeks harga seperti </w:t>
      </w:r>
      <w:r>
        <w:rPr>
          <w:i/>
          <w:iCs/>
        </w:rPr>
        <w:t xml:space="preserve">Consumer Price Index</w:t>
      </w:r>
      <w:r>
        <w:t xml:space="preserve"> (CPI) atau </w:t>
      </w:r>
      <w:r>
        <w:rPr>
          <w:i/>
          <w:iCs/>
        </w:rPr>
        <w:t xml:space="preserve">GDP deflator</w:t>
      </w:r>
      <w:r>
        <w:t xml:space="preserve">. Inflasi umumnya terjadi ketika jumlah uang yang beredar meningkat secara signifikan, yang menyebabkan penurunan nilai daya beli uang. Mankiw (2021) menyatakan bahwa "</w:t>
      </w:r>
      <w:r>
        <w:rPr>
          <w:i/>
          <w:iCs/>
        </w:rPr>
        <w:t xml:space="preserve">inflation is caused primarily by too much growth in the money supply</w:t>
      </w:r>
      <w:r>
        <w:t xml:space="preserve">" yang menegaskan hubungan fundamental antara kebijakan moneter dan stabilitas harga.</w:t>
      </w:r>
    </w:p>
    <w:p>
      <w:pPr>
        <w:spacing w:after="200" w:line="360"/>
        <w:jc w:val="both"/>
      </w:pPr>
      <w:r>
        <w:t xml:space="preserve">Mekanisme transmisi inflasi terhadap pasar saham bersifat kompleks dan multi-dimensional. Mankiw (2021) menjelaskan bahwa inflasi yang tinggi dapat mengurangi daya beli konsumen, sehingga menekan pendapatan perusahaan dan berpotensi menurunkan harga saham. Inflasi yang tinggi juga sering mendorong bank sentral untuk menaikkan suku bunga guna mengendalikan kenaikan harga, yang selanjutnya meningkatkan biaya pinjaman dan mengurangi daya tarik investasi di pasar saham. Namun demikian, inflasi yang moderat dapat menjadi sinyal pertumbuhan ekonomi yang sehat, yang pada gilirannya dapat mendukung kepercayaan investor dan harga saham.</w:t>
      </w:r>
    </w:p>
    <w:p>
      <w:pPr>
        <w:spacing w:after="200" w:line="360"/>
        <w:jc w:val="both"/>
      </w:pPr>
      <w:r>
        <w:t xml:space="preserve">Bukti empiris dari Indonesia menunjukkan pengaruh signifikan inflasi terhadap pergerakan IHSG. Endri et al. (2020) dalam studinya menggunakan model GARCH(1,1) dengan data bulanan dari Januari 2012 hingga Desember 2018 menemukan bahwa inflasi berpengaruh negatif dan signifikan terhadap IHSG. Temuan ini konsisten dengan teori bahwa inflasi yang tinggi mengikis margin keuntungan perusahaan dan menurunkan valuasi saham. Dalam konteks model prediksi yang dikembangkan dalam penelitian ini, inflasi year-on-year (Inflation_YoY) digunakan sebagai salah satu variabel prediktor untuk menangkap dampak perubahan tingkat harga terhadap pergerakan IHSG.</w:t>
      </w:r>
    </w:p>
    <w:p>
      <w:pPr>
        <w:spacing w:after="200" w:line="360"/>
        <w:jc w:val="both"/>
      </w:pPr>
      <w:r>
        <w:rPr>
          <w:b/>
          <w:bCs/>
        </w:rPr>
        <w:t xml:space="preserve">Suku bunga</w:t>
      </w:r>
      <w:r>
        <w:t xml:space="preserve"> merupakan biaya yang dikenakan atas penggunaan uang yang dipinjam, biasanya dinyatakan sebagai persentase dari jumlah pinjaman. Mankiw (2021) membedakan antara suku bunga nominal yang merupakan tingkat bunga yang dilaporkan tanpa koreksi inflasi, dan suku bunga riil yang telah disesuaikan dengan tingkat inflasi. Dalam konteks Indonesia, Bank Indonesia menggunakan BI Rate (dan sejak 2016 diganti dengan BI 7-Day Reverse Repo Rate) sebagai instrumen utama kebijakan moneter untuk mengendalikan inflasi dan menjaga stabilitas sistem keuangan.</w:t>
      </w:r>
    </w:p>
    <w:p>
      <w:pPr>
        <w:spacing w:after="200" w:line="360"/>
        <w:jc w:val="both"/>
      </w:pPr>
      <w:r>
        <w:t xml:space="preserve">Mankiw (2021) menjelaskan mekanisme transmisi suku bunga ke pasar keuangan melalui beberapa jalur. Kenaikan suku bunga meningkatkan biaya pinjaman bagi perusahaan dan konsumen, yang mengurangi investasi dan konsumsi. Hal ini dapat menurunkan pendapatan dan laba perusahaan, yang pada gilirannya menekan harga saham. Selain itu, suku bunga yang lebih tinggi meningkatkan daya tarik instrumen berbasis bunga seperti obligasi dan deposito, yang dapat mengalihkan aliran dana dari pasar saham. Endri et al. (2020) mengkonfirmasi hubungan negatif signifikan antara suku bunga (BI Rate) dan IHSG dalam konteks Indonesia, yang konsisten dengan prediksi teoretis.</w:t>
      </w:r>
    </w:p>
    <w:p>
      <w:pPr>
        <w:spacing w:after="200" w:line="360"/>
        <w:jc w:val="both"/>
      </w:pPr>
      <w:r>
        <w:rPr>
          <w:b/>
          <w:bCs/>
        </w:rPr>
        <w:t xml:space="preserve">Nilai tukar</w:t>
      </w:r>
      <w:r>
        <w:t xml:space="preserve"> menurut Mankiw (2021) adalah harga relatif antara mata uang dua negara, yang dapat bersifat tetap </w:t>
      </w:r>
      <w:r>
        <w:rPr>
          <w:i/>
          <w:iCs/>
        </w:rPr>
        <w:t xml:space="preserve">(fixed exchange rate)</w:t>
      </w:r>
      <w:r>
        <w:t xml:space="preserve"> atau mengambang </w:t>
      </w:r>
      <w:r>
        <w:rPr>
          <w:i/>
          <w:iCs/>
        </w:rPr>
        <w:t xml:space="preserve">(floating exchange rate)</w:t>
      </w:r>
      <w:r>
        <w:t xml:space="preserve">. Indonesia menganut sistem nilai tukar mengambang terkendali </w:t>
      </w:r>
      <w:r>
        <w:rPr>
          <w:i/>
          <w:iCs/>
        </w:rPr>
        <w:t xml:space="preserve">(managed floating)</w:t>
      </w:r>
      <w:r>
        <w:t xml:space="preserve"> di mana nilai tukar Rupiah terhadap mata uang asing ditentukan oleh mekanisme pasar dengan intervensi Bank Indonesia untuk menjaga stabilitas. Nilai tukar Rupiah terhadap Dolar AS (USD/IDR) menjadi salah satu indikator makroekonomi yang paling diperhatikan oleh pelaku pasar keuangan Indonesia.</w:t>
      </w:r>
    </w:p>
    <w:p>
      <w:pPr>
        <w:spacing w:after="200" w:line="360"/>
        <w:jc w:val="both"/>
      </w:pPr>
      <w:r>
        <w:t xml:space="preserve">Mekanisme dampak nilai tukar terhadap pasar saham bersifat kompleks. Mankiw (2021) menyatakan bahwa depresiasi nilai tukar domestik membuat barang domestik menjadi relatif lebih murah dibandingkan barang impor, yang dapat mendorong ekspor dan meningkatkan pendapatan perusahaan yang berorientasi ekspor. Sebaliknya, apresiasi nilai tukar dapat menekan daya saing ekspor namun mengurangi biaya impor bahan baku. Dalam konteks Indonesia, Endri et al. (2020) menemukan bahwa nilai tukar berpengaruh positif dan signifikan terhadap IHSG, yang mengindikasikan bahwa depresiasi Rupiah cenderung berkorelasi dengan kenaikan IHSG, mungkin karena dominasi sektor-sektor yang berorientasi ekspor dalam kapitalisasi pasar.</w:t>
      </w:r>
    </w:p>
    <w:p>
      <w:pPr>
        <w:spacing w:after="200" w:line="360"/>
        <w:jc w:val="both"/>
      </w:pPr>
      <w:r>
        <w:t xml:space="preserve">Murti (2017) menjelaskan hubungan antara performa IHSG dan aliran modal asing. Performa IHSG yang baik cenderung menarik masuknya modal asing ke Indonesia, yang selanjutnya meningkatkan permintaan terhadap Rupiah dan memperkuat nilai tukar. Sebaliknya, aliran modal asing ke kawasan Asia menyebabkan pergerakan pasar saham regional yang cenderung searah dengan indeks regional seperti Hang Seng, STI, dan Nikkei, menciptakan </w:t>
      </w:r>
      <w:r>
        <w:rPr>
          <w:i/>
          <w:iCs/>
        </w:rPr>
        <w:t xml:space="preserve">bandwagon effect</w:t>
      </w:r>
      <w:r>
        <w:t xml:space="preserve">. Dinamika ini menjadi penting dalam memahami hubungan antara IHSG dengan indeks regional yang juga menjadi variabel dalam Model 2 penelitian ini.</w:t>
      </w:r>
    </w:p>
    <w:p>
      <w:pPr>
        <w:spacing w:after="200" w:line="360"/>
        <w:jc w:val="both"/>
      </w:pPr>
      <w:r>
        <w:rPr>
          <w:b/>
          <w:bCs/>
        </w:rPr>
        <w:t xml:space="preserve">Money supply</w:t>
      </w:r>
      <w:r>
        <w:t xml:space="preserve"> atau jumlah uang beredar menurut Mankiw (2021) adalah total jumlah uang yang tersedia dalam suatu ekonomi, termasuk uang tunai, koin, dan saldo rekening di bank. Penelitian ini menggunakan M2 year-on-year (M2_YoY) sebagai ukuran pertumbuhan jumlah uang beredar. Mankiw (2021) menjelaskan bahwa peningkatan </w:t>
      </w:r>
      <w:r>
        <w:rPr>
          <w:i/>
          <w:iCs/>
        </w:rPr>
        <w:t xml:space="preserve">money supply</w:t>
      </w:r>
      <w:r>
        <w:t xml:space="preserve"> dapat menurunkan suku bunga, yang membuat pinjaman lebih murah dan mendorong investasi. Hal ini dapat berimplikasi positif bagi harga saham karena perusahaan dapat melakukan ekspansi dengan biaya pendanaan yang lebih rendah.</w:t>
      </w:r>
    </w:p>
    <w:p>
      <w:pPr>
        <w:spacing w:after="200" w:line="360"/>
        <w:jc w:val="both"/>
      </w:pPr>
      <w:r>
        <w:t xml:space="preserve">Namun demikian, Mankiw (2021) juga memperingatkan bahwa pertumbuhan </w:t>
      </w:r>
      <w:r>
        <w:rPr>
          <w:i/>
          <w:iCs/>
        </w:rPr>
        <w:t xml:space="preserve">money supply</w:t>
      </w:r>
      <w:r>
        <w:t xml:space="preserve"> yang berlebihan dapat menyebabkan inflasi. Dalam kondisi ini, meskipun likuiditas meningkat, ketidakpastian mengenai stabilitas harga dapat mengikis kepercayaan investor dan menekan harga saham. Oleh karena itu, hubungan antara </w:t>
      </w:r>
      <w:r>
        <w:rPr>
          <w:i/>
          <w:iCs/>
        </w:rPr>
        <w:t xml:space="preserve">money supply</w:t>
      </w:r>
      <w:r>
        <w:t xml:space="preserve"> dan pasar saham bersifat non-linear, di mana dampaknya bergantung pada kondisi ekonomi secara keseluruhan. Model machine learning yang digunakan dalam penelitian ini memiliki keunggulan dalam menangkap hubungan non-linear tersebut dibandingkan dengan model ekonometrik tradisional.</w:t>
      </w:r>
    </w:p>
    <w:p>
      <w:pPr>
        <w:spacing w:after="200" w:line="360"/>
        <w:jc w:val="both"/>
      </w:pPr>
      <w:r>
        <w:rPr>
          <w:b/>
          <w:bCs/>
        </w:rPr>
        <w:t xml:space="preserve">Non-Performing Loan Ratio</w:t>
      </w:r>
      <w:r>
        <w:t xml:space="preserve"> (NPL Ratio) merupakan indikator kesehatan sistem perbankan yang mengukur proporsi kredit bermasalah terhadap total kredit yang disalurkan oleh perbankan. Mankiw (2021) menjelaskan bahwa sistem perbankan yang stabil sangat penting untuk mendukung pertumbuhan ekonomi dan pasar keuangan. Ketika NPL meningkat, hal ini mengindikasikan peningkatan risiko kredit dalam sistem keuangan, yang dapat mengurangi kapasitas perbankan untuk menyalurkan kredit baru dan menurunkan kepercayaan investor terhadap stabilitas ekonomi.</w:t>
      </w:r>
    </w:p>
    <w:p>
      <w:pPr>
        <w:spacing w:after="200" w:line="360"/>
        <w:jc w:val="both"/>
      </w:pPr>
      <w:r>
        <w:t xml:space="preserve">Mankiw (2021) menyatakan bahwa stabilitas sistem perbankan penting untuk menjaga kepercayaan investor dan mendukung pertumbuhan pasar saham. Ketidakstabilan perbankan, yang tercermin dalam peningkatan NPL, dapat menyebabkan penurunan kepercayaan investor dan berpotensi memicu penurunan harga saham. Dalam konteks krisis keuangan global 2008, peningkatan NPL di sektor perbankan menjadi salah satu pemicu krisis kepercayaan yang menyebabkan penurunan tajam pada indeks saham global. Relevansi NPL terhadap IHSG semakin kuat mengingat sektor keuangan </w:t>
      </w:r>
      <w:r>
        <w:rPr>
          <w:i/>
          <w:iCs/>
        </w:rPr>
        <w:t xml:space="preserve">(finance)</w:t>
      </w:r>
      <w:r>
        <w:t xml:space="preserve"> memiliki bobot sektoral terbesar dalam komposisi IHSG, di mana tiga konstituen dengan bobot tertinggi yaitu BBCA, BBRI, dan BMRI merupakan emiten perbankan (Bursa Efek Indonesia, 2024). Oleh karena itu, NPL Ratio dimasukkan sebagai variabel prediktor dalam Model 1 penelitian ini untuk menangkap dampak kondisi kesehatan perbankan terhadap pergerakan IHSG.</w:t>
      </w:r>
    </w:p>
    <w:p>
      <w:pPr>
        <w:spacing w:after="200" w:line="360"/>
        <w:jc w:val="both"/>
      </w:pPr>
      <w:r>
        <w:t xml:space="preserve">Penelitian empiris menunjukkan bahwa pergerakan IHSG sangat dipengaruhi oleh perubahan variabel makroekonomi. Endri et al. (2020) menyimpulkan bahwa "</w:t>
      </w:r>
      <w:r>
        <w:rPr>
          <w:i/>
          <w:iCs/>
        </w:rPr>
        <w:t xml:space="preserve">pergerakan harga saham di bursa Indonesia sangat dipengaruhi oleh perubahan yang terjadi baik pada variabel makroekonomi maupun perubahan bursa saham global</w:t>
      </w:r>
      <w:r>
        <w:t xml:space="preserve">." Temuan ini diperkuat oleh Lubis et al. (2024) yang menegaskan bahwa pasar modal Indonesia memiliki hubungan signifikan dengan indikator makroekonomi. Patsiarikas et al. (2025) dalam studinya tentang S&amp;P 500 juga menemukan bahwa indikator makroekonomi memiliki pengaruh moderat terhadap prediksi jangka pendek, meskipun indikator teknikal memberikan kontribusi lebih besar.</w:t>
      </w:r>
    </w:p>
    <w:p>
      <w:pPr>
        <w:pStyle w:val="Heading3"/>
      </w:pPr>
      <w:r>
        <w:rPr>
          <w:b/>
          <w:bCs/>
        </w:rPr>
        <w:t xml:space="preserve">2.2.2 Harga Komoditas Global</w:t>
      </w:r>
    </w:p>
    <w:p>
      <w:pPr>
        <w:spacing w:after="200" w:line="360"/>
        <w:jc w:val="both"/>
      </w:pPr>
      <w:r>
        <w:t xml:space="preserve">Hubungan antara harga komoditas dan pasar saham telah menjadi subjek penelitian yang intensif, terutama setelah krisis keuangan global 2007-2008 yang memperkuat keterkaitan antara kedua pasar ini. Creti et al. (2012) dalam studinya tentang hubungan volatilitas antara pasar komoditas dan saham menemukan bahwa korelasi antara pengembalian harga komoditas dan saham bersifat dinamis dan sangat volatil. Fenomena </w:t>
      </w:r>
      <w:r>
        <w:rPr>
          <w:i/>
          <w:iCs/>
        </w:rPr>
        <w:t xml:space="preserve">financialization of commodity markets</w:t>
      </w:r>
      <w:r>
        <w:t xml:space="preserve"> mengacu pada kondisi di mana harga komoditas tidak hanya ditentukan oleh faktor penawaran dan permintaan fundamental, tetapi juga oleh faktor keuangan dan perilaku investor di pasar derivatif.</w:t>
      </w:r>
    </w:p>
    <w:p>
      <w:pPr>
        <w:spacing w:after="200" w:line="360"/>
        <w:jc w:val="both"/>
      </w:pPr>
      <w:r>
        <w:t xml:space="preserve">Creti et al. (2012) menjelaskan bahwa proses finansialisasi pasar komoditas semakin terlihat setelah krisis keuangan 2007-2008, di mana nilai nominal kontrak berjangka komoditas meningkat secara signifikan. Hal ini mencerminkan peran spekulasi yang lebih besar dalam menentukan harga komoditas. Penelitian ini menemukan bahwa krisis keuangan 2007-2008 memperkuat hubungan antara pasar komoditas dan saham, di mana korelasi antara pengembalian harga komoditas dan saham meningkat selama periode </w:t>
      </w:r>
      <w:r>
        <w:rPr>
          <w:i/>
          <w:iCs/>
        </w:rPr>
        <w:t xml:space="preserve">bullish</w:t>
      </w:r>
      <w:r>
        <w:t xml:space="preserve"> di pasar saham, tetapi menurun atau bahkan menjadi negatif selama periode </w:t>
      </w:r>
      <w:r>
        <w:rPr>
          <w:i/>
          <w:iCs/>
        </w:rPr>
        <w:t xml:space="preserve">bearish</w:t>
      </w:r>
      <w:r>
        <w:t xml:space="preserve">.</w:t>
      </w:r>
    </w:p>
    <w:p>
      <w:pPr>
        <w:spacing w:after="200" w:line="360"/>
        <w:jc w:val="both"/>
      </w:pPr>
      <w:r>
        <w:t xml:space="preserve">Indonesia sebagai negara eksportir komoditas utama memiliki eksposur yang signifikan terhadap pergerakan harga komoditas global. Rahmah et al. (2024) menganalisis hubungan antara harga komoditas dan IHSG menggunakan metode </w:t>
      </w:r>
      <w:r>
        <w:rPr>
          <w:i/>
          <w:iCs/>
        </w:rPr>
        <w:t xml:space="preserve">copula</w:t>
      </w:r>
      <w:r>
        <w:t xml:space="preserve"> dan menemukan bahwa batu bara dan nikel memiliki hubungan yang signifikan dengan IHSG. Kedua komoditas ini merupakan komoditas ekspor utama Indonesia, sehingga pergerakan harganya memiliki dampak langsung terhadap pendapatan ekspor, neraca pembayaran, dan kinerja emiten yang bergerak di sektor pertambangan. Temuan ini memberikan justifikasi empiris untuk memasukkan harga komoditas sebagai variabel prediktor dalam model prediksi IHSG.</w:t>
      </w:r>
    </w:p>
    <w:p>
      <w:pPr>
        <w:spacing w:after="200" w:line="360"/>
        <w:jc w:val="both"/>
      </w:pPr>
      <w:r>
        <w:t xml:space="preserve">Creti et al. (2012) membedakan antara logam mulia </w:t>
      </w:r>
      <w:r>
        <w:rPr>
          <w:i/>
          <w:iCs/>
        </w:rPr>
        <w:t xml:space="preserve">(precious metals)</w:t>
      </w:r>
      <w:r>
        <w:t xml:space="preserve"> dan logam industri </w:t>
      </w:r>
      <w:r>
        <w:rPr>
          <w:i/>
          <w:iCs/>
        </w:rPr>
        <w:t xml:space="preserve">(industrial metals)</w:t>
      </w:r>
      <w:r>
        <w:t xml:space="preserve"> dalam hubungannya dengan pasar saham. Logam mulia seperti emas menunjukkan korelasi negatif dengan pengembalian saham, terutama selama periode penurunan harga saham, yang menegaskan peran emas sebagai </w:t>
      </w:r>
      <w:r>
        <w:rPr>
          <w:i/>
          <w:iCs/>
        </w:rPr>
        <w:t xml:space="preserve">safe-haven asset</w:t>
      </w:r>
      <w:r>
        <w:t xml:space="preserve">. Sebaliknya, logam industri seperti tembaga dan seng menunjukkan korelasi positif dengan pasar saham, terutama selama periode </w:t>
      </w:r>
      <w:r>
        <w:rPr>
          <w:i/>
          <w:iCs/>
        </w:rPr>
        <w:t xml:space="preserve">bullish</w:t>
      </w:r>
      <w:r>
        <w:t xml:space="preserve">, mencerminkan hubungan erat dengan permintaan industri global dan aktivitas ekonomi riil.</w:t>
      </w:r>
    </w:p>
    <w:p>
      <w:pPr>
        <w:spacing w:after="200" w:line="360"/>
        <w:jc w:val="both"/>
      </w:pPr>
      <w:r>
        <w:t xml:space="preserve">Emas memiliki karakteristik unik sebagai instrumen </w:t>
      </w:r>
      <w:r>
        <w:rPr>
          <w:i/>
          <w:iCs/>
        </w:rPr>
        <w:t xml:space="preserve">safe-haven</w:t>
      </w:r>
      <w:r>
        <w:t xml:space="preserve"> yang memberikan perlindungan terhadap risiko pasar saham. Creti et al. (2012) menyatakan bahwa "</w:t>
      </w:r>
      <w:r>
        <w:rPr>
          <w:i/>
          <w:iCs/>
        </w:rPr>
        <w:t xml:space="preserve">the safe-haven role of gold is evidenced, as its correlations with stock returns are mostly negative and diminish in times of declining stock prices</w:t>
      </w:r>
      <w:r>
        <w:t xml:space="preserve">." Dalam konteks penelitian ini, harga emas dimasukkan sebagai salah satu variabel prediktor dalam Model 2 untuk menangkap dinamika </w:t>
      </w:r>
      <w:r>
        <w:rPr>
          <w:i/>
          <w:iCs/>
        </w:rPr>
        <w:t xml:space="preserve">safe-haven</w:t>
      </w:r>
      <w:r>
        <w:t xml:space="preserve"> dan hubungannya yang kompleks dengan pergerakan IHSG.</w:t>
      </w:r>
    </w:p>
    <w:p>
      <w:pPr>
        <w:spacing w:after="200" w:line="360"/>
        <w:jc w:val="both"/>
      </w:pPr>
      <w:r>
        <w:t xml:space="preserve">Mankiw (2021) menjelaskan bahwa inflasi sering kali meningkatkan harga komoditas karena komoditas dianggap sebagai aset lindung nilai terhadap inflasi. Dalam konteks ini, hubungan antara variabel makroekonomi (khususnya inflasi) dan harga komoditas menjadi saling terkait dan dapat mempengaruhi pasar saham secara bersamaan. Hal ini memperkuat argumentasi untuk menggunakan pendekatan dual-frequency dalam penelitian ini, di mana Model 1 menangkap dampak variabel makroekonomi pada frekuensi bulanan, sementara Model 2 menangkap dinamika harga komoditas pada frekuensi harian.</w:t>
      </w:r>
    </w:p>
    <w:p>
      <w:pPr>
        <w:spacing w:after="200" w:line="360"/>
        <w:jc w:val="both"/>
      </w:pPr>
      <w:r>
        <w:t xml:space="preserve">Creti et al. (2012) menekankan bahwa komoditas tidak dapat diperlakukan sebagai kelas aset yang homogen karena dipengaruhi oleh faktor makroekonomi umum dan determinan pasar spesifik. Penelitian ini menyatakan bahwa "</w:t>
      </w:r>
      <w:r>
        <w:rPr>
          <w:i/>
          <w:iCs/>
        </w:rPr>
        <w:t xml:space="preserve">raw materials cannot be aggregated in a homogeneous asset class: they are certainly influenced by common macroeconomic factors but also by their own market determinants</w:t>
      </w:r>
      <w:r>
        <w:t xml:space="preserve">." Oleh karena itu, penelitian ini memasukkan berbagai jenis komoditas (emas, batu bara, tembaga, perak, timah, dan nikel) untuk menangkap heterogenitas dampak masing-masing komoditas terhadap pergerakan IHSG.</w:t>
      </w:r>
    </w:p>
    <w:p>
      <w:pPr>
        <w:spacing w:after="200" w:line="360"/>
        <w:jc w:val="both"/>
      </w:pPr>
      <w:r>
        <w:t xml:space="preserve">Selain harga komoditas, Model 2 dalam penelitian ini juga memasukkan Straits Times Index (STI) sebagai </w:t>
      </w:r>
      <w:r>
        <w:rPr>
          <w:i/>
          <w:iCs/>
        </w:rPr>
        <w:t xml:space="preserve">proxy</w:t>
      </w:r>
      <w:r>
        <w:t xml:space="preserve"> untuk sentimen pasar regional. Endri et al. (2020) menemukan bahwa STI berpengaruh positif dan signifikan terhadap IHSG, yang mencerminkan integrasi pasar modal di kawasan Asia Tenggara. Murti (2017) menjelaskan bahwa aliran modal asing ke kawasan Asia menyebabkan pasar saham regional bergerak dalam arah yang sama, menciptakan </w:t>
      </w:r>
      <w:r>
        <w:rPr>
          <w:i/>
          <w:iCs/>
        </w:rPr>
        <w:t xml:space="preserve">bandwagon effect</w:t>
      </w:r>
      <w:r>
        <w:t xml:space="preserve"> di mana sentimen di satu pasar dapat menyebar ke pasar lainnya dalam kawasan yang sama.</w:t>
      </w:r>
    </w:p>
    <w:p>
      <w:pPr>
        <w:spacing w:after="200" w:line="360"/>
        <w:jc w:val="both"/>
      </w:pPr>
      <w:r>
        <w:t xml:space="preserve">Singapura sebagai pusat keuangan regional memiliki hubungan ekonomi yang erat dengan Indonesia. STI yang merupakan indeks acuan Bursa Efek Singapura mencerminkan kondisi ekonomi dan sentimen investor di kawasan Asia Tenggara secara lebih luas. Penggunaan STI sebagai variabel prediktor dalam Model 2 memungkinkan model untuk menangkap dampak sentimen regional dan </w:t>
      </w:r>
      <w:r>
        <w:rPr>
          <w:i/>
          <w:iCs/>
        </w:rPr>
        <w:t xml:space="preserve">spillover effect</w:t>
      </w:r>
      <w:r>
        <w:t xml:space="preserve"> dari pasar keuangan Singapura terhadap pergerakan IHSG.</w:t>
      </w:r>
    </w:p>
    <w:p>
      <w:pPr>
        <w:spacing w:after="200" w:line="360"/>
        <w:jc w:val="both"/>
      </w:pPr>
      <w:r>
        <w:t xml:space="preserve">Aladwani (2024) dalam studinya tentang dampak volatilitas harga minyak terhadap faktor makroekonomi dan indeks saham menemukan bahwa harga komoditas memiliki korelasi yang bervariasi dengan pasar saham tergantung pada kondisi ekonomi. Dalam jangka pendek, harga minyak memiliki korelasi negatif dengan harga saham, namun dalam jangka panjang hubungannya menjadi lebih kompleks dengan melibatkan variabel intervening seperti inflasi dan pertumbuhan ekonomi. Temuan ini menegaskan pentingnya mempertimbangkan dinamika temporal dalam membangun model prediksi indeks saham.</w:t>
      </w:r>
    </w:p>
    <w:p>
      <w:pPr>
        <w:spacing w:after="200" w:line="360"/>
        <w:jc w:val="both"/>
      </w:pPr>
      <w:r>
        <w:t xml:space="preserve">Berdasarkan tinjauan literatur di atas, dapat disimpulkan bahwa harga komoditas global memiliki relevansi yang tinggi sebagai variabel prediktor pergerakan IHSG. Indonesia sebagai negara eksportir komoditas utama memiliki eksposur signifikan terhadap pergerakan harga komoditas seperti batu bara, nikel, timah, dan tembaga. Sementara itu, emas berperan sebagai </w:t>
      </w:r>
      <w:r>
        <w:rPr>
          <w:i/>
          <w:iCs/>
        </w:rPr>
        <w:t xml:space="preserve">safe-haven</w:t>
      </w:r>
      <w:r>
        <w:t xml:space="preserve"> yang memiliki hubungan dinamis dengan pasar saham. Penggunaan pendekatan machine learning dalam penelitian ini memungkinkan untuk menangkap hubungan non-linear dan time-varying antara harga komoditas dan IHSG yang sulit ditangkap oleh model ekonometrik tradisional.</w:t>
      </w:r>
    </w:p>
    <w:sectPr>
      <w:pgSz w:w="12240" w:h="15840"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Times New Roman" w:cs="Times New Roman" w:eastAsia="Times New Roman" w:hAnsi="Times New Roman"/>
      <w:b/>
      <w:bCs/>
      <w:sz w:val="24"/>
      <w:szCs w:val="24"/>
    </w:rPr>
  </w:style>
  <w:style w:type="paragraph" w:styleId="Heading2">
    <w:name w:val="Heading 2"/>
    <w:basedOn w:val="Normal"/>
    <w:next w:val="Normal"/>
    <w:qFormat/>
    <w:pPr>
      <w:spacing w:before="300" w:after="200"/>
      <w:outlineLvl w:val="1"/>
    </w:pPr>
    <w:rPr>
      <w:rFonts w:ascii="Times New Roman" w:cs="Times New Roman" w:eastAsia="Times New Roman" w:hAnsi="Times New Roman"/>
      <w:b/>
      <w:bCs/>
      <w:sz w:val="24"/>
      <w:szCs w:val="24"/>
    </w:rPr>
  </w:style>
  <w:style w:type="paragraph" w:styleId="Heading3">
    <w:name w:val="Heading 3"/>
    <w:basedOn w:val="Normal"/>
    <w:next w:val="Normal"/>
    <w:qFormat/>
    <w:pPr>
      <w:spacing w:before="240" w:after="160"/>
      <w:outlineLvl w:val="2"/>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2026-01-27T09:48:05.239Z</dcterms:created>
  <dcterms:modified xsi:type="dcterms:W3CDTF">2026-01-27T09:48:05.240Z</dcterms:modified>
</cp:coreProperties>
</file>

<file path=docProps/custom.xml><?xml version="1.0" encoding="utf-8"?>
<Properties xmlns="http://schemas.openxmlformats.org/officeDocument/2006/custom-properties" xmlns:vt="http://schemas.openxmlformats.org/officeDocument/2006/docPropsVTypes"/>
</file>