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b w:val="1"/>
          <w:bCs w:val="1"/>
          <w:color w:val="183b56"/>
          <w:sz w:val="52"/>
          <w:szCs w:val="52"/>
          <w:rtl w:val="0"/>
        </w:rPr>
        <w:t xml:space="preserve">Catálogo de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4" w:lineRule="auto"/>
        <w:ind w:left="-30" w:right="-1181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84248" cy="12692"/>
                <wp:effectExtent b="0" l="0" r="0" t="0"/>
                <wp:docPr id="36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3875" y="3773650"/>
                          <a:ext cx="5984248" cy="12692"/>
                          <a:chOff x="2353875" y="3773650"/>
                          <a:chExt cx="5984250" cy="12700"/>
                        </a:xfrm>
                      </wpg:grpSpPr>
                      <wpg:grpSp>
                        <wpg:cNvGrpSpPr/>
                        <wpg:grpSpPr>
                          <a:xfrm>
                            <a:off x="2353876" y="3773654"/>
                            <a:ext cx="5984248" cy="12692"/>
                            <a:chOff x="0" y="0"/>
                            <a:chExt cx="5984248" cy="126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4225" cy="12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84248" cy="12692"/>
                            </a:xfrm>
                            <a:custGeom>
                              <a:rect b="b" l="l" r="r" t="t"/>
                              <a:pathLst>
                                <a:path extrusionOk="0" h="12692" w="5984248">
                                  <a:moveTo>
                                    <a:pt x="0" y="0"/>
                                  </a:moveTo>
                                  <a:lnTo>
                                    <a:pt x="5984248" y="0"/>
                                  </a:lnTo>
                                  <a:lnTo>
                                    <a:pt x="5984248" y="12692"/>
                                  </a:lnTo>
                                  <a:lnTo>
                                    <a:pt x="0" y="1269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F81B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8" cy="12692"/>
                <wp:effectExtent b="0" l="0" r="0" t="0"/>
                <wp:docPr id="364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8" cy="126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color w:val="667085"/>
          <w:sz w:val="26"/>
          <w:szCs w:val="26"/>
          <w:rtl w:val="0"/>
        </w:rPr>
        <w:t xml:space="preserve">Modelo para registrar políticas, cálculos, restrições e decisões do domínio.</w:t>
      </w:r>
      <w:r w:rsidDel="00000000" w:rsidR="00000000" w:rsidRPr="00000000">
        <w:rPr>
          <w:rtl w:val="0"/>
        </w:rPr>
      </w:r>
    </w:p>
    <w:tbl>
      <w:tblPr>
        <w:tblStyle w:val="Table1"/>
        <w:tblW w:w="9362.0" w:type="dxa"/>
        <w:jc w:val="left"/>
        <w:tblInd w:w="-119.0" w:type="dxa"/>
        <w:tblLayout w:type="fixed"/>
        <w:tblLook w:val="0400"/>
      </w:tblPr>
      <w:tblGrid>
        <w:gridCol w:w="1900"/>
        <w:gridCol w:w="7462"/>
        <w:tblGridChange w:id="0">
          <w:tblGrid>
            <w:gridCol w:w="1900"/>
            <w:gridCol w:w="7462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0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Translog — Plataforma de Agendamento para organização de veículos e docas.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Modelo reutilizável + exemplo preenchido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[Marcus Paulo de oliveira Sousa  / Gerente de Projetos]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u w:val="single"/>
                <w:rtl w:val="0"/>
              </w:rPr>
              <w:t xml:space="preserve">[26/08/2026]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spacing w:after="174" w:lineRule="auto"/>
        <w:ind w:left="305" w:hanging="320"/>
        <w:rPr/>
      </w:pPr>
      <w:r w:rsidDel="00000000" w:rsidR="00000000" w:rsidRPr="00000000">
        <w:rPr>
          <w:rtl w:val="0"/>
        </w:rPr>
        <w:t xml:space="preserve">Finalidade</w:t>
      </w:r>
    </w:p>
    <w:p w:rsidR="00000000" w:rsidDel="00000000" w:rsidP="00000000" w:rsidRDefault="00000000" w:rsidRPr="00000000" w14:paraId="00000011">
      <w:pPr>
        <w:spacing w:after="366" w:lineRule="auto"/>
        <w:ind w:left="10" w:hanging="10"/>
        <w:rPr/>
      </w:pPr>
      <w:r w:rsidDel="00000000" w:rsidR="00000000" w:rsidRPr="00000000">
        <w:rPr>
          <w:color w:val="202124"/>
          <w:rtl w:val="0"/>
        </w:rPr>
        <w:t xml:space="preserve">Mantém regras do negócio identificadas e separadas de detalhes de telas e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Quando utilizar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Durante a elicitação e modelagem do 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Ao descobrir políticas que afetam vários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346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Quando mudanças regulatórias ou operacionais exigem análise de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Regras identificáveis e rastreáveis.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Responsáveis e fontes explícitos.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Aplicação consistente em requisitos e testes.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3"/>
        </w:numPr>
        <w:ind w:left="305" w:hanging="320"/>
        <w:rPr/>
      </w:pPr>
      <w:r w:rsidDel="00000000" w:rsidR="00000000" w:rsidRPr="00000000">
        <w:rPr>
          <w:rtl w:val="0"/>
        </w:rPr>
        <w:t xml:space="preserve">Modelo reutilizável</w:t>
      </w:r>
    </w:p>
    <w:tbl>
      <w:tblPr>
        <w:tblStyle w:val="Table2"/>
        <w:tblW w:w="9362.0" w:type="dxa"/>
        <w:jc w:val="left"/>
        <w:tblInd w:w="-119.0" w:type="dxa"/>
        <w:tblLayout w:type="fixed"/>
        <w:tblLook w:val="0400"/>
      </w:tblPr>
      <w:tblGrid>
        <w:gridCol w:w="850"/>
        <w:gridCol w:w="1301"/>
        <w:gridCol w:w="3402"/>
        <w:gridCol w:w="1500"/>
        <w:gridCol w:w="1400"/>
        <w:gridCol w:w="909"/>
        <w:tblGridChange w:id="0">
          <w:tblGrid>
            <w:gridCol w:w="850"/>
            <w:gridCol w:w="1301"/>
            <w:gridCol w:w="3402"/>
            <w:gridCol w:w="1500"/>
            <w:gridCol w:w="1400"/>
            <w:gridCol w:w="909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1C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1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Descrição objetiva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1E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1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46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Ocupação única de horário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 organização determina que apenas um veículo pode ocupar um horário da agenda por vez.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30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Coordenação de controle de veículos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Aprovada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9" w:lineRule="auto"/>
        <w:ind w:left="-5" w:hanging="10"/>
        <w:rPr/>
      </w:pPr>
      <w:r w:rsidDel="00000000" w:rsidR="00000000" w:rsidRPr="00000000">
        <w:rPr>
          <w:b w:val="1"/>
          <w:bCs w:val="1"/>
          <w:color w:val="202124"/>
          <w:rtl w:val="0"/>
        </w:rPr>
        <w:t xml:space="preserve">Exceções: </w:t>
      </w:r>
      <w:r w:rsidDel="00000000" w:rsidR="00000000" w:rsidRPr="00000000">
        <w:rPr>
          <w:color w:val="202124"/>
          <w:rtl w:val="0"/>
        </w:rPr>
        <w:t xml:space="preserve">Não há exceções previstas.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9" w:lineRule="auto"/>
        <w:ind w:left="-5" w:hanging="10"/>
        <w:rPr/>
      </w:pPr>
      <w:r w:rsidDel="00000000" w:rsidR="00000000" w:rsidRPr="00000000">
        <w:rPr>
          <w:b w:val="1"/>
          <w:bCs w:val="1"/>
          <w:color w:val="202124"/>
          <w:rtl w:val="0"/>
        </w:rPr>
        <w:t xml:space="preserve">Vigência:</w:t>
      </w:r>
      <w:r w:rsidDel="00000000" w:rsidR="00000000" w:rsidRPr="00000000">
        <w:rPr>
          <w:color w:val="202124"/>
          <w:rtl w:val="0"/>
        </w:rPr>
        <w:t xml:space="preserve"> Vigente desde o início de operação do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9" w:lineRule="auto"/>
        <w:ind w:left="-5" w:hanging="10"/>
        <w:rPr/>
      </w:pPr>
      <w:r w:rsidDel="00000000" w:rsidR="00000000" w:rsidRPr="00000000">
        <w:rPr>
          <w:b w:val="1"/>
          <w:bCs w:val="1"/>
          <w:color w:val="202124"/>
          <w:rtl w:val="0"/>
        </w:rPr>
        <w:t xml:space="preserve">Itens relacionados:</w:t>
      </w:r>
      <w:r w:rsidDel="00000000" w:rsidR="00000000" w:rsidRPr="00000000">
        <w:rPr>
          <w:color w:val="202124"/>
          <w:rtl w:val="0"/>
        </w:rPr>
        <w:t xml:space="preserve"> RF-02, UC-01, CT-04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3"/>
        </w:numPr>
        <w:ind w:left="305" w:hanging="320"/>
        <w:rPr/>
      </w:pPr>
      <w:r w:rsidDel="00000000" w:rsidR="00000000" w:rsidRPr="00000000">
        <w:rPr>
          <w:rtl w:val="0"/>
        </w:rPr>
        <w:t xml:space="preserve">Exemplo preenchido</w:t>
      </w:r>
    </w:p>
    <w:tbl>
      <w:tblPr>
        <w:tblStyle w:val="Table3"/>
        <w:tblW w:w="9362.0" w:type="dxa"/>
        <w:jc w:val="left"/>
        <w:tblInd w:w="-119.0" w:type="dxa"/>
        <w:tblLayout w:type="fixed"/>
        <w:tblLook w:val="0400"/>
      </w:tblPr>
      <w:tblGrid>
        <w:gridCol w:w="899"/>
        <w:gridCol w:w="4702"/>
        <w:gridCol w:w="1801"/>
        <w:gridCol w:w="1960"/>
        <w:tblGridChange w:id="0">
          <w:tblGrid>
            <w:gridCol w:w="899"/>
            <w:gridCol w:w="4702"/>
            <w:gridCol w:w="1801"/>
            <w:gridCol w:w="1960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C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E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Relacionamentos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 organização determina que apenas um veículo pode ocupar um horário da agenda por vez..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46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Coordenação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Para controle de veículos.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RF-02, UC-01, CT04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 organização determina que cancelamentos feitos com menos de 2 horas de antecedência podem gerar bloqueio do motorista.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Política de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RF-08, UC-03, CT18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" w:firstLine="0"/>
              <w:rPr/>
            </w:pPr>
            <w:bookmarkStart w:colFirst="0" w:colLast="0" w:name="_heading=h.4n3ebaida2o9" w:id="0"/>
            <w:bookmarkEnd w:id="0"/>
            <w:r w:rsidDel="00000000" w:rsidR="00000000" w:rsidRPr="00000000">
              <w:rPr>
                <w:color w:val="202124"/>
                <w:rtl w:val="0"/>
              </w:rPr>
              <w:t xml:space="preserve">A organização determina que motoristas devem apresentar documento do veículo e CNH válida para acesso.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RF-12, UC-05, CT24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ind w:left="-5" w:hanging="10"/>
        <w:rPr/>
      </w:pPr>
      <w:r w:rsidDel="00000000" w:rsidR="00000000" w:rsidRPr="00000000">
        <w:rPr>
          <w:rtl w:val="0"/>
        </w:rPr>
        <w:t xml:space="preserve">Checklist de qualidade</w:t>
      </w:r>
    </w:p>
    <w:tbl>
      <w:tblPr>
        <w:tblStyle w:val="Table4"/>
        <w:tblW w:w="9362.0" w:type="dxa"/>
        <w:jc w:val="left"/>
        <w:tblInd w:w="-119.0" w:type="dxa"/>
        <w:tblLayout w:type="fixed"/>
        <w:tblLook w:val="0400"/>
      </w:tblPr>
      <w:tblGrid>
        <w:gridCol w:w="7202"/>
        <w:gridCol w:w="2160"/>
        <w:tblGridChange w:id="0">
          <w:tblGrid>
            <w:gridCol w:w="7202"/>
            <w:gridCol w:w="2160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E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 regra representa decisão do negócio, não solução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ind w:left="1" w:firstLine="0"/>
              <w:rPr/>
            </w:pPr>
            <w:sdt>
              <w:sdtPr>
                <w:id w:val="145209566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18243873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144967922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 frase é atômica e sem ambiguidade.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ind w:left="1" w:firstLine="0"/>
              <w:rPr/>
            </w:pPr>
            <w:sdt>
              <w:sdtPr>
                <w:id w:val="-36099857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140237641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78263119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Fonte, responsável e vigência foram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ind w:left="1" w:firstLine="0"/>
              <w:rPr/>
            </w:pPr>
            <w:sdt>
              <w:sdtPr>
                <w:id w:val="175048956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144457311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88376260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Exceções foram explicitadas.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ind w:left="1" w:firstLine="0"/>
              <w:rPr/>
            </w:pPr>
            <w:sdt>
              <w:sdtPr>
                <w:id w:val="-55086117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118054607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138301989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Requisitos e testes afetados estão rastreados.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ind w:left="1" w:firstLine="0"/>
              <w:rPr/>
            </w:pPr>
            <w:sdt>
              <w:sdtPr>
                <w:id w:val="-101719916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1848690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100998589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3852" w:top="1442" w:left="1440" w:right="2587" w:header="709" w:footer="7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after="0" w:lineRule="auto"/>
      <w:ind w:left="1143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pacing w:after="0" w:lineRule="auto"/>
      <w:ind w:left="1143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after="0" w:lineRule="auto"/>
      <w:ind w:left="1143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after="0" w:lineRule="auto"/>
      <w:ind w:right="-1149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spacing w:after="0" w:lineRule="auto"/>
      <w:ind w:right="-1149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after="0" w:lineRule="auto"/>
      <w:ind w:right="-1149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5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2Char" w:customStyle="1">
    <w:name w:val="Título 2 Char"/>
    <w:link w:val="Ttulo2"/>
    <w:rPr>
      <w:rFonts w:ascii="Calibri" w:cs="Calibri" w:eastAsia="Calibri" w:hAnsi="Calibri"/>
      <w:b w:val="1"/>
      <w:color w:val="2e74b5"/>
      <w:sz w:val="26"/>
    </w:rPr>
  </w:style>
  <w:style w:type="character" w:styleId="Ttulo1Char" w:customStyle="1">
    <w:name w:val="Título 1 Char"/>
    <w:link w:val="Ttulo1"/>
    <w:rPr>
      <w:rFonts w:ascii="Calibri" w:cs="Calibri" w:eastAsia="Calibri" w:hAnsi="Calibri"/>
      <w:b w:val="1"/>
      <w:color w:val="2e74b5"/>
      <w:sz w:val="3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39.0" w:type="dxa"/>
        <w:left w:w="119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qIaa2uqJyOYeRYMvCtU/kfIb3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IOaC40bjNlYmFpZGEybzk4AHIhMVdZN2Y1dTJuR2llcGdkQjZmNHZoQkR5TU5hTmVuYm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2026-09-14T19:51:00Z</dcterms:created>
  <dc:creator>Marcus Paulo de Oliveira Sousa</dc:creator>
</cp:coreProperties>
</file>