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c>
          <w:tcPr>
            <w:tcW w:type="dxa" w:w="2000"/>
            <w:tcBorders>
              <w:top w:val="none" w:sz="0"/>
              <w:left w:val="none" w:sz="0"/>
              <w:bottom w:val="none" w:sz="0"/>
              <w:right w:val="single" w:color="CCCCCC" w:sz="1"/>
            </w:tcBorders>
            <w:shd w:fill="F5F5F5" w:val="clear"/>
            <w:tcMar>
              <w:top w:type="dxa" w:w="30"/>
              <w:left w:type="dxa" w:w="100"/>
              <w:bottom w:type="dxa" w:w="30"/>
              <w:right w:type="dxa" w:w="100"/>
            </w:tcMar>
          </w:tcPr>
          <w:p>
            <w:r>
              <w:rPr>
                <w:rFonts w:ascii="Arial" w:cs="Arial" w:eastAsia="Arial" w:hAnsi="Arial"/>
                <w:b/>
                <w:bCs/>
                <w:color w:val="666666"/>
                <w:sz w:val="16"/>
                <w:szCs w:val="16"/>
              </w:rPr>
              <w:t xml:space="preserve">Topic ID</w:t>
            </w:r>
          </w:p>
        </w:tc>
        <w:tc>
          <w:tcPr>
            <w:tcW w:type="dxa" w:w="7071"/>
            <w:tcBorders>
              <w:top w:val="none" w:sz="0"/>
              <w:left w:val="none" w:sz="0"/>
              <w:bottom w:val="none" w:sz="0"/>
              <w:right w:val="none" w:sz="0"/>
            </w:tcBorders>
            <w:shd w:fill="F5F5F5" w:val="clear"/>
            <w:tcMar>
              <w:top w:type="dxa" w:w="30"/>
              <w:left w:type="dxa" w:w="100"/>
              <w:bottom w:type="dxa" w:w="30"/>
              <w:right w:type="dxa" w:w="100"/>
            </w:tcMar>
          </w:tcPr>
          <w:p>
            <w:r>
              <w:rPr>
                <w:rFonts w:ascii="Arial" w:cs="Arial" w:eastAsia="Arial" w:hAnsi="Arial"/>
                <w:color w:val="1A1A2E"/>
                <w:sz w:val="16"/>
                <w:szCs w:val="16"/>
              </w:rPr>
              <w:t xml:space="preserve">TRANSFORMER.ENCODER-DECODER</w:t>
            </w:r>
          </w:p>
        </w:tc>
      </w:tr>
      <w:tr>
        <w:tc>
          <w:tcPr>
            <w:tcW w:type="dxa" w:w="2000"/>
            <w:tcBorders>
              <w:top w:val="none" w:sz="0"/>
              <w:left w:val="none" w:sz="0"/>
              <w:bottom w:val="none" w:sz="0"/>
              <w:right w:val="single" w:color="CCCCCC" w:sz="1"/>
            </w:tcBorders>
            <w:shd w:fill="F5F5F5" w:val="clear"/>
            <w:tcMar>
              <w:top w:type="dxa" w:w="30"/>
              <w:left w:type="dxa" w:w="100"/>
              <w:bottom w:type="dxa" w:w="30"/>
              <w:right w:type="dxa" w:w="100"/>
            </w:tcMar>
          </w:tcPr>
          <w:p>
            <w:r>
              <w:rPr>
                <w:rFonts w:ascii="Arial" w:cs="Arial" w:eastAsia="Arial" w:hAnsi="Arial"/>
                <w:b/>
                <w:bCs/>
                <w:color w:val="666666"/>
                <w:sz w:val="16"/>
                <w:szCs w:val="16"/>
              </w:rPr>
              <w:t xml:space="preserve">Parent</w:t>
            </w:r>
          </w:p>
        </w:tc>
        <w:tc>
          <w:tcPr>
            <w:tcW w:type="dxa" w:w="7071"/>
            <w:tcBorders>
              <w:top w:val="none" w:sz="0"/>
              <w:left w:val="none" w:sz="0"/>
              <w:bottom w:val="none" w:sz="0"/>
              <w:right w:val="none" w:sz="0"/>
            </w:tcBorders>
            <w:shd w:fill="F5F5F5" w:val="clear"/>
            <w:tcMar>
              <w:top w:type="dxa" w:w="30"/>
              <w:left w:type="dxa" w:w="100"/>
              <w:bottom w:type="dxa" w:w="30"/>
              <w:right w:type="dxa" w:w="100"/>
            </w:tcMar>
          </w:tcPr>
          <w:p>
            <w:r>
              <w:rPr>
                <w:rFonts w:ascii="Arial" w:cs="Arial" w:eastAsia="Arial" w:hAnsi="Arial"/>
                <w:color w:val="1A1A2E"/>
                <w:sz w:val="16"/>
                <w:szCs w:val="16"/>
              </w:rPr>
              <w:t xml:space="preserve">Transformer Architecture</w:t>
            </w:r>
          </w:p>
        </w:tc>
      </w:tr>
      <w:tr>
        <w:tc>
          <w:tcPr>
            <w:tcW w:type="dxa" w:w="2000"/>
            <w:tcBorders>
              <w:top w:val="none" w:sz="0"/>
              <w:left w:val="none" w:sz="0"/>
              <w:bottom w:val="none" w:sz="0"/>
              <w:right w:val="single" w:color="CCCCCC" w:sz="1"/>
            </w:tcBorders>
            <w:shd w:fill="F5F5F5" w:val="clear"/>
            <w:tcMar>
              <w:top w:type="dxa" w:w="30"/>
              <w:left w:type="dxa" w:w="100"/>
              <w:bottom w:type="dxa" w:w="30"/>
              <w:right w:type="dxa" w:w="100"/>
            </w:tcMar>
          </w:tcPr>
          <w:p>
            <w:r>
              <w:rPr>
                <w:rFonts w:ascii="Arial" w:cs="Arial" w:eastAsia="Arial" w:hAnsi="Arial"/>
                <w:b/>
                <w:bCs/>
                <w:color w:val="666666"/>
                <w:sz w:val="16"/>
                <w:szCs w:val="16"/>
              </w:rPr>
              <w:t xml:space="preserve">Prerequisites</w:t>
            </w:r>
          </w:p>
        </w:tc>
        <w:tc>
          <w:tcPr>
            <w:tcW w:type="dxa" w:w="7071"/>
            <w:tcBorders>
              <w:top w:val="none" w:sz="0"/>
              <w:left w:val="none" w:sz="0"/>
              <w:bottom w:val="none" w:sz="0"/>
              <w:right w:val="none" w:sz="0"/>
            </w:tcBorders>
            <w:shd w:fill="F5F5F5" w:val="clear"/>
            <w:tcMar>
              <w:top w:type="dxa" w:w="30"/>
              <w:left w:type="dxa" w:w="100"/>
              <w:bottom w:type="dxa" w:w="30"/>
              <w:right w:type="dxa" w:w="100"/>
            </w:tcMar>
          </w:tcPr>
          <w:p>
            <w:r>
              <w:rPr>
                <w:rFonts w:ascii="Arial" w:cs="Arial" w:eastAsia="Arial" w:hAnsi="Arial"/>
                <w:color w:val="1A1A2E"/>
                <w:sz w:val="16"/>
                <w:szCs w:val="16"/>
              </w:rPr>
              <w:t xml:space="preserve">Self-Attention (Q/K/V), Multi-Head Attention, Positional Encoding, FFN, Layer Norm, Residual Connections, Masking</w:t>
            </w:r>
          </w:p>
        </w:tc>
      </w:tr>
      <w:tr>
        <w:tc>
          <w:tcPr>
            <w:tcW w:type="dxa" w:w="2000"/>
            <w:tcBorders>
              <w:top w:val="none" w:sz="0"/>
              <w:left w:val="none" w:sz="0"/>
              <w:bottom w:val="none" w:sz="0"/>
              <w:right w:val="single" w:color="CCCCCC" w:sz="1"/>
            </w:tcBorders>
            <w:shd w:fill="F5F5F5" w:val="clear"/>
            <w:tcMar>
              <w:top w:type="dxa" w:w="30"/>
              <w:left w:type="dxa" w:w="100"/>
              <w:bottom w:type="dxa" w:w="30"/>
              <w:right w:type="dxa" w:w="100"/>
            </w:tcMar>
          </w:tcPr>
          <w:p>
            <w:r>
              <w:rPr>
                <w:rFonts w:ascii="Arial" w:cs="Arial" w:eastAsia="Arial" w:hAnsi="Arial"/>
                <w:b/>
                <w:bCs/>
                <w:color w:val="666666"/>
                <w:sz w:val="16"/>
                <w:szCs w:val="16"/>
              </w:rPr>
              <w:t xml:space="preserve">Related</w:t>
            </w:r>
          </w:p>
        </w:tc>
        <w:tc>
          <w:tcPr>
            <w:tcW w:type="dxa" w:w="7071"/>
            <w:tcBorders>
              <w:top w:val="none" w:sz="0"/>
              <w:left w:val="none" w:sz="0"/>
              <w:bottom w:val="none" w:sz="0"/>
              <w:right w:val="none" w:sz="0"/>
            </w:tcBorders>
            <w:shd w:fill="F5F5F5" w:val="clear"/>
            <w:tcMar>
              <w:top w:type="dxa" w:w="30"/>
              <w:left w:type="dxa" w:w="100"/>
              <w:bottom w:type="dxa" w:w="30"/>
              <w:right w:type="dxa" w:w="100"/>
            </w:tcMar>
          </w:tcPr>
          <w:p>
            <w:r>
              <w:rPr>
                <w:rFonts w:ascii="Arial" w:cs="Arial" w:eastAsia="Arial" w:hAnsi="Arial"/>
                <w:color w:val="1A1A2E"/>
                <w:sz w:val="16"/>
                <w:szCs w:val="16"/>
              </w:rPr>
              <w:t xml:space="preserve">Cross-Attention, Causal Masking, Sequence-to-Sequence Models</w:t>
            </w:r>
          </w:p>
        </w:tc>
      </w:tr>
      <w:tr>
        <w:tc>
          <w:tcPr>
            <w:tcW w:type="dxa" w:w="2000"/>
            <w:tcBorders>
              <w:top w:val="none" w:sz="0"/>
              <w:left w:val="none" w:sz="0"/>
              <w:bottom w:val="none" w:sz="0"/>
              <w:right w:val="single" w:color="CCCCCC" w:sz="1"/>
            </w:tcBorders>
            <w:shd w:fill="F5F5F5" w:val="clear"/>
            <w:tcMar>
              <w:top w:type="dxa" w:w="30"/>
              <w:left w:type="dxa" w:w="100"/>
              <w:bottom w:type="dxa" w:w="30"/>
              <w:right w:type="dxa" w:w="100"/>
            </w:tcMar>
          </w:tcPr>
          <w:p>
            <w:r>
              <w:rPr>
                <w:rFonts w:ascii="Arial" w:cs="Arial" w:eastAsia="Arial" w:hAnsi="Arial"/>
                <w:b/>
                <w:bCs/>
                <w:color w:val="666666"/>
                <w:sz w:val="16"/>
                <w:szCs w:val="16"/>
              </w:rPr>
              <w:t xml:space="preserve">Next Topics</w:t>
            </w:r>
          </w:p>
        </w:tc>
        <w:tc>
          <w:tcPr>
            <w:tcW w:type="dxa" w:w="7071"/>
            <w:tcBorders>
              <w:top w:val="none" w:sz="0"/>
              <w:left w:val="none" w:sz="0"/>
              <w:bottom w:val="none" w:sz="0"/>
              <w:right w:val="none" w:sz="0"/>
            </w:tcBorders>
            <w:shd w:fill="F5F5F5" w:val="clear"/>
            <w:tcMar>
              <w:top w:type="dxa" w:w="30"/>
              <w:left w:type="dxa" w:w="100"/>
              <w:bottom w:type="dxa" w:w="30"/>
              <w:right w:type="dxa" w:w="100"/>
            </w:tcMar>
          </w:tcPr>
          <w:p>
            <w:r>
              <w:rPr>
                <w:rFonts w:ascii="Arial" w:cs="Arial" w:eastAsia="Arial" w:hAnsi="Arial"/>
                <w:color w:val="1A1A2E"/>
                <w:sz w:val="16"/>
                <w:szCs w:val="16"/>
              </w:rPr>
              <w:t xml:space="preserve">Variants (Encoder-Only, Decoder-Only), Architecture Selection for Applications, Efficient Attention</w:t>
            </w:r>
          </w:p>
        </w:tc>
      </w:tr>
    </w:tbl>
    <w:p>
      <w:pPr>
        <w:spacing w:after="120"/>
      </w:pPr>
      <w:r>
        <w:rPr>
          <w:rFonts w:ascii="Arial" w:cs="Arial" w:eastAsia="Arial" w:hAnsi="Arial"/>
          <w:sz w:val="2"/>
          <w:szCs w:val="2"/>
        </w:rPr>
        <w:t xml:space="preserve"/>
      </w:r>
    </w:p>
    <w:p>
      <w:pPr>
        <w:spacing w:after="40"/>
      </w:pPr>
      <w:r>
        <w:rPr>
          <w:rFonts w:ascii="Arial" w:cs="Arial" w:eastAsia="Arial" w:hAnsi="Arial"/>
          <w:color w:val="666666"/>
          <w:sz w:val="16"/>
          <w:szCs w:val="16"/>
        </w:rPr>
        <w:t xml:space="preserve">TRANSFORMER</w:t>
      </w:r>
      <w:r>
        <w:rPr>
          <w:rFonts w:ascii="Arial" w:cs="Arial" w:eastAsia="Arial" w:hAnsi="Arial"/>
          <w:color w:val="E94560"/>
          <w:sz w:val="16"/>
          <w:szCs w:val="16"/>
        </w:rPr>
        <w:t xml:space="preserve">  ▶  </w:t>
      </w:r>
      <w:r>
        <w:rPr>
          <w:rFonts w:ascii="Arial" w:cs="Arial" w:eastAsia="Arial" w:hAnsi="Arial"/>
          <w:b/>
          <w:bCs/>
          <w:color w:val="0F3460"/>
          <w:sz w:val="16"/>
          <w:szCs w:val="16"/>
        </w:rPr>
        <w:t xml:space="preserve">ENCODER-DECODER STRUCTURE</w:t>
      </w:r>
    </w:p>
    <w:p>
      <w:pPr>
        <w:spacing w:after="60"/>
      </w:pPr>
      <w:r>
        <w:rPr>
          <w:rFonts w:ascii="Arial" w:cs="Arial" w:eastAsia="Arial" w:hAnsi="Arial"/>
          <w:b/>
          <w:bCs/>
          <w:color w:val="1A1A2E"/>
          <w:sz w:val="32"/>
          <w:szCs w:val="32"/>
        </w:rPr>
        <w:t xml:space="preserve">The Encoder-Decoder Architecture</w:t>
      </w:r>
    </w:p>
    <w:p>
      <w:pPr>
        <w:pBdr>
          <w:bottom w:val="single" w:color="0F3460" w:sz="4" w:space="8"/>
        </w:pBdr>
        <w:spacing w:after="200"/>
      </w:pPr>
      <w:r>
        <w:rPr>
          <w:rFonts w:ascii="Arial" w:cs="Arial" w:eastAsia="Arial" w:hAnsi="Arial"/>
          <w:i/>
          <w:iCs/>
          <w:color w:val="666666"/>
          <w:sz w:val="20"/>
          <w:szCs w:val="20"/>
        </w:rPr>
        <w:t xml:space="preserve">How two transformer halves connect to transform one sequence into another</w:t>
      </w:r>
    </w:p>
    <w:p>
      <w:pPr>
        <w:pStyle w:val="Heading1"/>
      </w:pPr>
      <w:r>
        <w:rPr>
          <w:rFonts w:ascii="Arial" w:cs="Arial" w:eastAsia="Arial" w:hAnsi="Arial"/>
        </w:rPr>
        <w:t xml:space="preserve">Step 1: The Big Picture</w:t>
      </w:r>
    </w:p>
    <w:p>
      <w:pPr>
        <w:pStyle w:val="Heading2"/>
      </w:pPr>
      <w:r>
        <w:rPr>
          <w:rFonts w:ascii="Arial" w:cs="Arial" w:eastAsia="Arial" w:hAnsi="Arial"/>
        </w:rPr>
        <w:t xml:space="preserve">1.1 Introduction</w:t>
      </w:r>
    </w:p>
    <w:p>
      <w:pPr>
        <w:spacing w:after="100" w:line="276"/>
      </w:pPr>
      <w:r>
        <w:rPr>
          <w:rFonts w:ascii="Arial" w:cs="Arial" w:eastAsia="Arial" w:hAnsi="Arial"/>
          <w:color w:val="1A1A2E"/>
          <w:sz w:val="20"/>
          <w:szCs w:val="20"/>
        </w:rPr>
        <w:t xml:space="preserve">The encoder-decoder is the original transformer architecture from "Attention Is All You Need" (Vaswani et al., 2017). It was designed for sequence-to-sequence tasks: take an input sequence (e.g., English sentence) and produce a different output sequence (e.g., French translation). The key insight is separating the understanding of input (encoder) from the generation of output (decoder), connected by cross-attention.</w:t>
      </w:r>
    </w:p>
    <w:p>
      <w:pPr>
        <w:spacing w:after="100" w:line="276"/>
      </w:pPr>
      <w:r>
        <w:rPr>
          <w:rFonts w:ascii="Arial" w:cs="Arial" w:eastAsia="Arial" w:hAnsi="Arial"/>
          <w:color w:val="1A1A2E"/>
          <w:sz w:val="20"/>
          <w:szCs w:val="20"/>
        </w:rPr>
        <w:t xml:space="preserve">The encoder reads the full input bidirectionally — every token can attend to every other token. It builds a rich contextual representation of the input. The decoder generates output one token at a time, left-to-right. It can only attend to previously generated tokens (causal masking) plus the full encoder output (cross-attention). This asymmetry is fundamental: the encoder comprehends, the decoder generates.</w:t>
      </w:r>
    </w:p>
    <w:p>
      <w:pPr>
        <w:pStyle w:val="Heading2"/>
      </w:pPr>
      <w:r>
        <w:rPr>
          <w:rFonts w:ascii="Arial" w:cs="Arial" w:eastAsia="Arial" w:hAnsi="Arial"/>
        </w:rPr>
        <w:t xml:space="preserve">1.2 Data Flow Overview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E</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 = Encoder(X</w:t>
            </w:r>
            <w:r>
              <w:rPr>
                <w:rFonts w:ascii="Cambria Math" w:cs="Cambria Math" w:eastAsia="Cambria Math" w:hAnsi="Cambria Math"/>
                <w:color w:val="1A1A2E"/>
                <w:sz w:val="18"/>
                <w:szCs w:val="18"/>
              </w:rPr>
              <w:t xml:space="preserve">source</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Encoder: [B, n_src, d_model] → [B, n_src, d_model]  — full bidirectional processing</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Y = Decoder(X</w:t>
            </w:r>
            <w:r>
              <w:rPr>
                <w:rFonts w:ascii="Cambria Math" w:cs="Cambria Math" w:eastAsia="Cambria Math" w:hAnsi="Cambria Math"/>
                <w:color w:val="1A1A2E"/>
                <w:sz w:val="18"/>
                <w:szCs w:val="18"/>
              </w:rPr>
              <w:t xml:space="preserve">target</w:t>
            </w:r>
            <w:r>
              <w:rPr>
                <w:rFonts w:ascii="Cambria Math" w:cs="Cambria Math" w:eastAsia="Cambria Math" w:hAnsi="Cambria Math"/>
                <w:color w:val="1A1A2E"/>
                <w:sz w:val="22"/>
                <w:szCs w:val="22"/>
              </w:rPr>
              <w:t xml:space="preserve">, E</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Decoder: [B, n_tgt, d_model] + [B, n_src, d_model] → [B, n_tgt, d_model]</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P = softmax(Y · W</w:t>
            </w:r>
            <w:r>
              <w:rPr>
                <w:rFonts w:ascii="Cambria Math" w:cs="Cambria Math" w:eastAsia="Cambria Math" w:hAnsi="Cambria Math"/>
                <w:color w:val="1A1A2E"/>
                <w:sz w:val="18"/>
                <w:szCs w:val="18"/>
              </w:rPr>
              <w:t xml:space="preserve">vocab</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Output: [B, n_tgt, V] — probability over vocabulary at each target position</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CONCEPT: Why Two Halves?</w:t>
            </w:r>
          </w:p>
          <w:p>
            <w:pPr>
              <w:spacing w:after="20" w:line="264"/>
            </w:pPr>
            <w:r>
              <w:rPr>
                <w:rFonts w:ascii="Arial" w:cs="Arial" w:eastAsia="Arial" w:hAnsi="Arial"/>
                <w:color w:val="1A1A2E"/>
                <w:sz w:val="19"/>
                <w:szCs w:val="19"/>
              </w:rPr>
              <w:t xml:space="preserve">A single transformer stack (encoder-only or decoder-only) can either understand input OR generate output well, but not both optimally in the same model. The encoder uses full bidirectional attention (every token sees every other token) which is ideal for comprehension but would allow "cheating" during generation. The decoder uses causal masking which is correct for generation but limits comprehension (each token only sees previous tokens). The encoder-decoder splits these concerns: encoder comprehends fully, decoder generates correctly, cross-attention transfers the understanding.</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r>
      <w:br w:type="page"/>
    </w:r>
    <w:p>
      <w:pPr>
        <w:pStyle w:val="Heading1"/>
      </w:pPr>
      <w:r>
        <w:rPr>
          <w:rFonts w:ascii="Arial" w:cs="Arial" w:eastAsia="Arial" w:hAnsi="Arial"/>
        </w:rPr>
        <w:t xml:space="preserve">Step 2: The Encoder Stack</w:t>
      </w:r>
    </w:p>
    <w:p>
      <w:pPr>
        <w:pStyle w:val="Heading2"/>
      </w:pPr>
      <w:r>
        <w:rPr>
          <w:rFonts w:ascii="Arial" w:cs="Arial" w:eastAsia="Arial" w:hAnsi="Arial"/>
        </w:rPr>
        <w:t xml:space="preserve">2.1 Introduction</w:t>
      </w:r>
    </w:p>
    <w:p>
      <w:pPr>
        <w:spacing w:after="100" w:line="276"/>
      </w:pPr>
      <w:r>
        <w:rPr>
          <w:rFonts w:ascii="Arial" w:cs="Arial" w:eastAsia="Arial" w:hAnsi="Arial"/>
          <w:color w:val="1A1A2E"/>
          <w:sz w:val="20"/>
          <w:szCs w:val="20"/>
        </w:rPr>
        <w:t xml:space="preserve">The encoder is a stack of N identical blocks (typically N=6). Each block contains: (1) multi-head self-attention with full bidirectional access, and (2) a feed-forward network. Both are wrapped in layer norm + residual connections. The encoder takes the embedded + positionally-encoded source sequence and produces a contextualized representation where each token's vector has been enriched by information from all other tokens.</w:t>
      </w:r>
    </w:p>
    <w:p>
      <w:pPr>
        <w:pStyle w:val="Heading2"/>
      </w:pPr>
      <w:r>
        <w:rPr>
          <w:rFonts w:ascii="Arial" w:cs="Arial" w:eastAsia="Arial" w:hAnsi="Arial"/>
        </w:rPr>
        <w:t xml:space="preserve">2.2 Mathematical Operation</w:t>
      </w:r>
    </w:p>
    <w:p>
      <w:pPr>
        <w:spacing w:after="100" w:line="276"/>
      </w:pPr>
      <w:r>
        <w:rPr>
          <w:rFonts w:ascii="Arial" w:cs="Arial" w:eastAsia="Arial" w:hAnsi="Arial"/>
          <w:color w:val="1A1A2E"/>
          <w:sz w:val="20"/>
          <w:szCs w:val="20"/>
        </w:rPr>
        <w:t xml:space="preserve">For each encoder block i = 1, ..., 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 = LayerNorm(X)</w:t>
            </w:r>
          </w:p>
          <w:p>
            <w:pPr>
              <w:spacing w:after="60"/>
              <w:jc w:val="center"/>
            </w:pPr>
            <w:r>
              <w:rPr>
                <w:rFonts w:ascii="Courier New" w:cs="Courier New" w:eastAsia="Courier New" w:hAnsi="Courier New"/>
                <w:i/>
                <w:iCs/>
                <w:color w:val="666666"/>
                <w:sz w:val="17"/>
                <w:szCs w:val="17"/>
              </w:rPr>
              <w:t xml:space="preserve">Normalize before attention  |  [B, n_src, d_model]</w:t>
            </w:r>
          </w:p>
        </w:tc>
      </w:tr>
    </w:tbl>
    <w:p>
      <w:pPr>
        <w:spacing w:after="3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A</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 = MultiHead(Q=X̂, K=X̂, V=X̂)</w:t>
            </w:r>
          </w:p>
          <w:p>
            <w:pPr>
              <w:spacing w:after="60"/>
              <w:jc w:val="center"/>
            </w:pPr>
            <w:r>
              <w:rPr>
                <w:rFonts w:ascii="Courier New" w:cs="Courier New" w:eastAsia="Courier New" w:hAnsi="Courier New"/>
                <w:i/>
                <w:iCs/>
                <w:color w:val="666666"/>
                <w:sz w:val="17"/>
                <w:szCs w:val="17"/>
              </w:rPr>
              <w:t xml:space="preserve">Self-attention: Q, K, V all come from the SAME source  |  NO mask applied</w:t>
            </w:r>
          </w:p>
        </w:tc>
      </w:tr>
    </w:tbl>
    <w:p>
      <w:pPr>
        <w:spacing w:after="3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18"/>
                <w:szCs w:val="18"/>
              </w:rPr>
              <w:t xml:space="preserve">mid</w:t>
            </w:r>
            <w:r>
              <w:rPr>
                <w:rFonts w:ascii="Cambria Math" w:cs="Cambria Math" w:eastAsia="Cambria Math" w:hAnsi="Cambria Math"/>
                <w:color w:val="1A1A2E"/>
                <w:sz w:val="22"/>
                <w:szCs w:val="22"/>
              </w:rPr>
              <w:t xml:space="preserve"> = X + A</w:t>
            </w:r>
            <w:r>
              <w:rPr>
                <w:rFonts w:ascii="Cambria Math" w:cs="Cambria Math" w:eastAsia="Cambria Math" w:hAnsi="Cambria Math"/>
                <w:color w:val="1A1A2E"/>
                <w:sz w:val="18"/>
                <w:szCs w:val="18"/>
              </w:rPr>
              <w:t xml:space="preserve">enc</w:t>
            </w:r>
          </w:p>
          <w:p>
            <w:pPr>
              <w:spacing w:after="60"/>
              <w:jc w:val="center"/>
            </w:pPr>
            <w:r>
              <w:rPr>
                <w:rFonts w:ascii="Courier New" w:cs="Courier New" w:eastAsia="Courier New" w:hAnsi="Courier New"/>
                <w:i/>
                <w:iCs/>
                <w:color w:val="666666"/>
                <w:sz w:val="17"/>
                <w:szCs w:val="17"/>
              </w:rPr>
              <w:t xml:space="preserve">Residual connection  |  [B, n_src, d_model]</w:t>
            </w:r>
          </w:p>
        </w:tc>
      </w:tr>
    </w:tbl>
    <w:p>
      <w:pPr>
        <w:spacing w:after="3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18"/>
                <w:szCs w:val="18"/>
              </w:rPr>
              <w:t xml:space="preserve">out</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18"/>
                <w:szCs w:val="18"/>
              </w:rPr>
              <w:t xml:space="preserve">mid</w:t>
            </w:r>
            <w:r>
              <w:rPr>
                <w:rFonts w:ascii="Cambria Math" w:cs="Cambria Math" w:eastAsia="Cambria Math" w:hAnsi="Cambria Math"/>
                <w:color w:val="1A1A2E"/>
                <w:sz w:val="22"/>
                <w:szCs w:val="22"/>
              </w:rPr>
              <w:t xml:space="preserve"> + FFN(LayerNorm(X</w:t>
            </w:r>
            <w:r>
              <w:rPr>
                <w:rFonts w:ascii="Cambria Math" w:cs="Cambria Math" w:eastAsia="Cambria Math" w:hAnsi="Cambria Math"/>
                <w:color w:val="1A1A2E"/>
                <w:sz w:val="18"/>
                <w:szCs w:val="18"/>
              </w:rPr>
              <w:t xml:space="preserve">mid</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FFN + residual  |  [B, n_src, d_model]  — This X_out becomes input to next block</w:t>
            </w:r>
          </w:p>
        </w:tc>
      </w:tr>
    </w:tbl>
    <w:p>
      <w:pPr>
        <w:pStyle w:val="Heading2"/>
      </w:pPr>
      <w:r>
        <w:rPr>
          <w:rFonts w:ascii="Arial" w:cs="Arial" w:eastAsia="Arial" w:hAnsi="Arial"/>
        </w:rPr>
        <w:t xml:space="preserve">2.3 Numerical Example</w:t>
      </w:r>
    </w:p>
    <w:p>
      <w:pPr>
        <w:spacing w:after="100" w:line="276"/>
      </w:pPr>
      <w:r>
        <w:rPr>
          <w:rFonts w:ascii="Arial" w:cs="Arial" w:eastAsia="Arial" w:hAnsi="Arial"/>
          <w:color w:val="1A1A2E"/>
          <w:sz w:val="20"/>
          <w:szCs w:val="20"/>
        </w:rPr>
        <w:t xml:space="preserve">Consider encoding the sentence "The cat sat" (3 tokens, d_model=4). After embedding + PE:</w:t>
      </w:r>
    </w:p>
    <w:p>
      <w:pPr>
        <w:spacing w:before="80" w:after="40"/>
        <w:jc w:val="center"/>
      </w:pPr>
      <w:r>
        <w:rPr>
          <w:rFonts w:ascii="Arial" w:cs="Arial" w:eastAsia="Arial" w:hAnsi="Arial"/>
          <w:i/>
          <w:iCs/>
          <w:color w:val="666666"/>
          <w:sz w:val="17"/>
          <w:szCs w:val="17"/>
        </w:rPr>
        <w:t xml:space="preserve">Input to encoder</w:t>
      </w:r>
      <w:r>
        <w:rPr>
          <w:rFonts w:ascii="Courier New" w:cs="Courier New" w:eastAsia="Courier New" w:hAnsi="Courier New"/>
          <w:color w:val="666666"/>
          <w:sz w:val="16"/>
          <w:szCs w:val="16"/>
        </w:rPr>
        <w:t xml:space="preserve">  [B=1, n=3, d_model=4]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tblGrid>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Token</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d₁</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d₂</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d₃</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d₄</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The</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0.82</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-0.31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0.54</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0.12</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cat</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-0.15</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0.93</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0.27</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-0.68</w:t>
            </w:r>
          </w:p>
        </w:tc>
      </w:tr>
      <w:tr>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sat</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0.41</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0.08</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-0.76</w:t>
            </w:r>
          </w:p>
        </w:tc>
        <w:tc>
          <w:tcPr>
            <w:tcW w:type="dxa" w:w="14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0.55</w:t>
            </w:r>
          </w:p>
        </w:tc>
      </w:tr>
    </w:tbl>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Self-attention score matrix (after scaling, before softmax). Note: FULL matrix, no masking. Every token can attend to every other token:</w:t>
      </w:r>
    </w:p>
    <w:p>
      <w:pPr>
        <w:spacing w:before="80" w:after="40"/>
        <w:jc w:val="center"/>
      </w:pPr>
      <w:r>
        <w:rPr>
          <w:rFonts w:ascii="Arial" w:cs="Arial" w:eastAsia="Arial" w:hAnsi="Arial"/>
          <w:i/>
          <w:iCs/>
          <w:color w:val="666666"/>
          <w:sz w:val="17"/>
          <w:szCs w:val="17"/>
        </w:rPr>
        <w:t xml:space="preserve">Attention weights (one head)</w:t>
      </w:r>
      <w:r>
        <w:rPr>
          <w:rFonts w:ascii="Courier New" w:cs="Courier New" w:eastAsia="Courier New" w:hAnsi="Courier New"/>
          <w:color w:val="666666"/>
          <w:sz w:val="16"/>
          <w:szCs w:val="16"/>
        </w:rPr>
        <w:t xml:space="preserve">  [n=3, n=3] — each row sums to 1.0</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Scores</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The</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sat</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The</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0.25</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0.38</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0.14</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0.31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0.52</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0.42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0.55</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0.18</w:t>
            </w:r>
          </w:p>
        </w:tc>
      </w:tr>
    </w:tbl>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Key observation: "sat" attends strongly to "cat" (0.55) — the model is learning the subject-verb relationship. "The" attends most to "sat" (0.38) — possibly learning that determiners scope over their clause. After N=6 blocks of this, each token's representation is deeply contextual.</w:t>
      </w:r>
    </w:p>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The final encoder output E_enc has the same shape [B, n_src, d_model] but each vector now encodes the meaning of that token in context of the full sentence. This entire tensor is passed to every decoder block's cross-attention.</w:t>
      </w:r>
    </w:p>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CONCEPT: Bidirectional = Full Context</w:t>
            </w:r>
          </w:p>
          <w:p>
            <w:pPr>
              <w:spacing w:after="20" w:line="264"/>
            </w:pPr>
            <w:r>
              <w:rPr>
                <w:rFonts w:ascii="Arial" w:cs="Arial" w:eastAsia="Arial" w:hAnsi="Arial"/>
                <w:color w:val="1A1A2E"/>
                <w:sz w:val="19"/>
                <w:szCs w:val="19"/>
              </w:rPr>
              <w:t xml:space="preserve">The encoder sees everything simultaneously. Token 1 knows about token 3 and vice versa. This is why encoder-based models (BERT, sentence transformers) are excellent for understanding tasks: classification, similarity, information retrieval. The bidirectional context creates richer representations than a causal (left-to-right) model can achieve for the same input.</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2D6A4F" w:sz="4"/>
              <w:bottom w:val="none" w:sz="0"/>
              <w:right w:val="none" w:sz="0"/>
            </w:tcBorders>
            <w:shd w:fill="E8F5E9" w:val="clear"/>
            <w:tcMar>
              <w:top w:type="dxa" w:w="40"/>
              <w:left w:type="dxa" w:w="160"/>
              <w:bottom w:type="dxa" w:w="40"/>
              <w:right w:type="dxa" w:w="160"/>
            </w:tcMar>
          </w:tcPr>
          <w:p>
            <w:pPr>
              <w:spacing w:after="20" w:line="264"/>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After N encoder blocks, the representations form a "semantic geometry" where similar meanings are close. Monitor: the cosine similarity matrix between all encoder output vectors. For a well-trained model, tokens with related meanings should cluster. Also track the rank of E_enc — if representations collapse (low rank), the encoder is losing information.</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C75000" w:sz="4"/>
              <w:bottom w:val="none" w:sz="0"/>
              <w:right w:val="none" w:sz="0"/>
            </w:tcBorders>
            <w:shd w:fill="FFF3E0" w:val="clear"/>
            <w:tcMar>
              <w:top w:type="dxa" w:w="40"/>
              <w:left w:type="dxa" w:w="160"/>
              <w:bottom w:type="dxa" w:w="40"/>
              <w:right w:type="dxa" w:w="160"/>
            </w:tcMar>
          </w:tcPr>
          <w:p>
            <w:pPr>
              <w:spacing w:after="20" w:line="264"/>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Monitor per block: (1) attention entropy — should vary across heads (some broad, some focused). (2) Residual stream norm ||X|| after each block — should grow gradually. (3) The contribution of each block (measure ||delta|| per block) — earlier blocks typically contribute more to the final representation.</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E94560" w:sz="4"/>
              <w:bottom w:val="none" w:sz="0"/>
              <w:right w:val="none" w:sz="0"/>
            </w:tcBorders>
            <w:shd w:fill="FDE8EC" w:val="clear"/>
            <w:tcMar>
              <w:top w:type="dxa" w:w="40"/>
              <w:left w:type="dxa" w:w="160"/>
              <w:bottom w:type="dxa" w:w="40"/>
              <w:right w:type="dxa" w:w="160"/>
            </w:tcMar>
          </w:tcPr>
          <w:p>
            <w:pPr>
              <w:spacing w:after="20" w:line="264"/>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Encoder processes the full source once. Computation per block: O(n_src² · d_k) for attention + O(n_src · d_model · d_ff) for FFN. For N=6 blocks, total encoder cost scales linearly with N. Memory: must store E_enc for all decoder cross-attention layers — this is [B, n_src, d_model] kept in memory throughout decoding.</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r>
      <w:br w:type="page"/>
    </w:r>
    <w:p>
      <w:pPr>
        <w:pStyle w:val="Heading1"/>
      </w:pPr>
      <w:r>
        <w:rPr>
          <w:rFonts w:ascii="Arial" w:cs="Arial" w:eastAsia="Arial" w:hAnsi="Arial"/>
        </w:rPr>
        <w:t xml:space="preserve">Step 3: The Decoder Stack</w:t>
      </w:r>
    </w:p>
    <w:p>
      <w:pPr>
        <w:pStyle w:val="Heading2"/>
      </w:pPr>
      <w:r>
        <w:rPr>
          <w:rFonts w:ascii="Arial" w:cs="Arial" w:eastAsia="Arial" w:hAnsi="Arial"/>
        </w:rPr>
        <w:t xml:space="preserve">3.1 Introduction</w:t>
      </w:r>
    </w:p>
    <w:p>
      <w:pPr>
        <w:spacing w:after="100" w:line="276"/>
      </w:pPr>
      <w:r>
        <w:rPr>
          <w:rFonts w:ascii="Arial" w:cs="Arial" w:eastAsia="Arial" w:hAnsi="Arial"/>
          <w:color w:val="1A1A2E"/>
          <w:sz w:val="20"/>
          <w:szCs w:val="20"/>
        </w:rPr>
        <w:t xml:space="preserve">The decoder is also a stack of N identical blocks, but each block has THREE sub-layers instead of two: (1) masked multi-head self-attention, (2) multi-head cross-attention over encoder output, and (3) feed-forward network. All three are wrapped in layer norm + residual connections.</w:t>
      </w:r>
    </w:p>
    <w:p>
      <w:pPr>
        <w:spacing w:after="100" w:line="276"/>
      </w:pPr>
      <w:r>
        <w:rPr>
          <w:rFonts w:ascii="Arial" w:cs="Arial" w:eastAsia="Arial" w:hAnsi="Arial"/>
          <w:color w:val="1A1A2E"/>
          <w:sz w:val="20"/>
          <w:szCs w:val="20"/>
        </w:rPr>
        <w:t xml:space="preserve">The decoder generates output autoregressively: one token at a time, left to right. At each step, it sees only the previously generated tokens (enforced by causal masking in self-attention) plus the full encoder output (accessed via cross-attention). This is where the model decides what to output based on what it has generated so far and what the input means.</w:t>
      </w:r>
    </w:p>
    <w:p>
      <w:pPr>
        <w:pStyle w:val="Heading2"/>
      </w:pPr>
      <w:r>
        <w:rPr>
          <w:rFonts w:ascii="Arial" w:cs="Arial" w:eastAsia="Arial" w:hAnsi="Arial"/>
        </w:rPr>
        <w:t xml:space="preserve">3.2 Mathematical Operation</w:t>
      </w:r>
    </w:p>
    <w:p>
      <w:pPr>
        <w:spacing w:after="100" w:line="276"/>
      </w:pPr>
      <w:r>
        <w:rPr>
          <w:rFonts w:ascii="Arial" w:cs="Arial" w:eastAsia="Arial" w:hAnsi="Arial"/>
          <w:color w:val="1A1A2E"/>
          <w:sz w:val="20"/>
          <w:szCs w:val="20"/>
        </w:rPr>
        <w:t xml:space="preserve">For each decoder block i = 1, ..., N:</w:t>
      </w:r>
    </w:p>
    <w:p>
      <w:pPr>
        <w:spacing w:after="100" w:line="276"/>
      </w:pPr>
      <w:r>
        <w:rPr>
          <w:rFonts w:ascii="Arial" w:cs="Arial" w:eastAsia="Arial" w:hAnsi="Arial"/>
          <w:b/>
          <w:bCs/>
          <w:color w:val="E94560"/>
          <w:sz w:val="20"/>
          <w:szCs w:val="20"/>
        </w:rPr>
        <w:t xml:space="preserve">Sub-layer 1: Masked Self-Attention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Q = K = V = LayerNorm(X</w:t>
            </w:r>
            <w:r>
              <w:rPr>
                <w:rFonts w:ascii="Cambria Math" w:cs="Cambria Math" w:eastAsia="Cambria Math" w:hAnsi="Cambria Math"/>
                <w:color w:val="1A1A2E"/>
                <w:sz w:val="18"/>
                <w:szCs w:val="18"/>
              </w:rPr>
              <w:t xml:space="preserve">dec</w:t>
            </w:r>
            <w:r>
              <w:rPr>
                <w:rFonts w:ascii="Cambria Math" w:cs="Cambria Math" w:eastAsia="Cambria Math" w:hAnsi="Cambria Math"/>
                <w:color w:val="1A1A2E"/>
                <w:sz w:val="22"/>
                <w:szCs w:val="22"/>
              </w:rPr>
              <w:t xml:space="preserve">)      with causal mask applied</w:t>
            </w:r>
          </w:p>
          <w:p>
            <w:pPr>
              <w:spacing w:after="60"/>
              <w:jc w:val="center"/>
            </w:pPr>
            <w:r>
              <w:rPr>
                <w:rFonts w:ascii="Courier New" w:cs="Courier New" w:eastAsia="Courier New" w:hAnsi="Courier New"/>
                <w:i/>
                <w:iCs/>
                <w:color w:val="666666"/>
                <w:sz w:val="17"/>
                <w:szCs w:val="17"/>
              </w:rPr>
              <w:t xml:space="preserve">Self-attention over decoder tokens only  |  [B, n_tgt, d_model]</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18"/>
                <w:szCs w:val="18"/>
              </w:rPr>
              <w:t xml:space="preserve">mid1</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18"/>
                <w:szCs w:val="18"/>
              </w:rPr>
              <w:t xml:space="preserve">dec</w:t>
            </w:r>
            <w:r>
              <w:rPr>
                <w:rFonts w:ascii="Cambria Math" w:cs="Cambria Math" w:eastAsia="Cambria Math" w:hAnsi="Cambria Math"/>
                <w:color w:val="1A1A2E"/>
                <w:sz w:val="22"/>
                <w:szCs w:val="22"/>
              </w:rPr>
              <w:t xml:space="preserve"> + MaskedMultiHead(X</w:t>
            </w:r>
            <w:r>
              <w:rPr>
                <w:rFonts w:ascii="Cambria Math" w:cs="Cambria Math" w:eastAsia="Cambria Math" w:hAnsi="Cambria Math"/>
                <w:color w:val="1A1A2E"/>
                <w:sz w:val="18"/>
                <w:szCs w:val="18"/>
              </w:rPr>
              <w:t xml:space="preserve">dec</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Residual  |  [B, n_tgt, d_model]</w:t>
            </w:r>
          </w:p>
        </w:tc>
      </w:tr>
    </w:tbl>
    <w:p>
      <w:pPr>
        <w:spacing w:after="40"/>
      </w:pPr>
      <w:r>
        <w:rPr>
          <w:rFonts w:ascii="Arial" w:cs="Arial" w:eastAsia="Arial" w:hAnsi="Arial"/>
          <w:sz w:val="2"/>
          <w:szCs w:val="2"/>
        </w:rPr>
        <w:t xml:space="preserve"/>
      </w:r>
    </w:p>
    <w:p>
      <w:pPr>
        <w:spacing w:after="100" w:line="276"/>
      </w:pPr>
      <w:r>
        <w:rPr>
          <w:rFonts w:ascii="Arial" w:cs="Arial" w:eastAsia="Arial" w:hAnsi="Arial"/>
          <w:b/>
          <w:bCs/>
          <w:color w:val="E94560"/>
          <w:sz w:val="20"/>
          <w:szCs w:val="20"/>
        </w:rPr>
        <w:t xml:space="preserve">Sub-layer 2: Cross-Attention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Q = LayerNorm(X</w:t>
            </w:r>
            <w:r>
              <w:rPr>
                <w:rFonts w:ascii="Cambria Math" w:cs="Cambria Math" w:eastAsia="Cambria Math" w:hAnsi="Cambria Math"/>
                <w:color w:val="1A1A2E"/>
                <w:sz w:val="18"/>
                <w:szCs w:val="18"/>
              </w:rPr>
              <w:t xml:space="preserve">mid1</w:t>
            </w:r>
            <w:r>
              <w:rPr>
                <w:rFonts w:ascii="Cambria Math" w:cs="Cambria Math" w:eastAsia="Cambria Math" w:hAnsi="Cambria Math"/>
                <w:color w:val="1A1A2E"/>
                <w:sz w:val="22"/>
                <w:szCs w:val="22"/>
              </w:rPr>
              <w:t xml:space="preserve">)      K = V = E</w:t>
            </w:r>
            <w:r>
              <w:rPr>
                <w:rFonts w:ascii="Cambria Math" w:cs="Cambria Math" w:eastAsia="Cambria Math" w:hAnsi="Cambria Math"/>
                <w:color w:val="1A1A2E"/>
                <w:sz w:val="18"/>
                <w:szCs w:val="18"/>
              </w:rPr>
              <w:t xml:space="preserve">enc</w:t>
            </w:r>
          </w:p>
          <w:p>
            <w:pPr>
              <w:spacing w:after="60"/>
              <w:jc w:val="center"/>
            </w:pPr>
            <w:r>
              <w:rPr>
                <w:rFonts w:ascii="Courier New" w:cs="Courier New" w:eastAsia="Courier New" w:hAnsi="Courier New"/>
                <w:i/>
                <w:iCs/>
                <w:color w:val="666666"/>
                <w:sz w:val="17"/>
                <w:szCs w:val="17"/>
              </w:rPr>
              <w:t xml:space="preserve">Q from decoder, K/V from encoder  |  Q: [B, n_tgt, d_model], K/V: [B, n_src, d_model]</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18"/>
                <w:szCs w:val="18"/>
              </w:rPr>
              <w:t xml:space="preserve">mid2</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18"/>
                <w:szCs w:val="18"/>
              </w:rPr>
              <w:t xml:space="preserve">mid1</w:t>
            </w:r>
            <w:r>
              <w:rPr>
                <w:rFonts w:ascii="Cambria Math" w:cs="Cambria Math" w:eastAsia="Cambria Math" w:hAnsi="Cambria Math"/>
                <w:color w:val="1A1A2E"/>
                <w:sz w:val="22"/>
                <w:szCs w:val="22"/>
              </w:rPr>
              <w:t xml:space="preserve"> + CrossAttention(Q</w:t>
            </w:r>
            <w:r>
              <w:rPr>
                <w:rFonts w:ascii="Cambria Math" w:cs="Cambria Math" w:eastAsia="Cambria Math" w:hAnsi="Cambria Math"/>
                <w:color w:val="1A1A2E"/>
                <w:sz w:val="18"/>
                <w:szCs w:val="18"/>
              </w:rPr>
              <w:t xml:space="preserve">dec</w:t>
            </w:r>
            <w:r>
              <w:rPr>
                <w:rFonts w:ascii="Cambria Math" w:cs="Cambria Math" w:eastAsia="Cambria Math" w:hAnsi="Cambria Math"/>
                <w:color w:val="1A1A2E"/>
                <w:sz w:val="22"/>
                <w:szCs w:val="22"/>
              </w:rPr>
              <w:t xml:space="preserve">, K</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 V</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Residual  |  [B, n_tgt, d_model]  |  NO mask on cross-attention</w:t>
            </w:r>
          </w:p>
        </w:tc>
      </w:tr>
    </w:tbl>
    <w:p>
      <w:pPr>
        <w:spacing w:after="40"/>
      </w:pPr>
      <w:r>
        <w:rPr>
          <w:rFonts w:ascii="Arial" w:cs="Arial" w:eastAsia="Arial" w:hAnsi="Arial"/>
          <w:sz w:val="2"/>
          <w:szCs w:val="2"/>
        </w:rPr>
        <w:t xml:space="preserve"/>
      </w:r>
    </w:p>
    <w:p>
      <w:pPr>
        <w:spacing w:after="100" w:line="276"/>
      </w:pPr>
      <w:r>
        <w:rPr>
          <w:rFonts w:ascii="Arial" w:cs="Arial" w:eastAsia="Arial" w:hAnsi="Arial"/>
          <w:b/>
          <w:bCs/>
          <w:color w:val="E94560"/>
          <w:sz w:val="20"/>
          <w:szCs w:val="20"/>
        </w:rPr>
        <w:t xml:space="preserve">Sub-layer 3: Feed-Forward Network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X</w:t>
            </w:r>
            <w:r>
              <w:rPr>
                <w:rFonts w:ascii="Cambria Math" w:cs="Cambria Math" w:eastAsia="Cambria Math" w:hAnsi="Cambria Math"/>
                <w:color w:val="1A1A2E"/>
                <w:sz w:val="18"/>
                <w:szCs w:val="18"/>
              </w:rPr>
              <w:t xml:space="preserve">out</w:t>
            </w:r>
            <w:r>
              <w:rPr>
                <w:rFonts w:ascii="Cambria Math" w:cs="Cambria Math" w:eastAsia="Cambria Math" w:hAnsi="Cambria Math"/>
                <w:color w:val="1A1A2E"/>
                <w:sz w:val="22"/>
                <w:szCs w:val="22"/>
              </w:rPr>
              <w:t xml:space="preserve"> = X</w:t>
            </w:r>
            <w:r>
              <w:rPr>
                <w:rFonts w:ascii="Cambria Math" w:cs="Cambria Math" w:eastAsia="Cambria Math" w:hAnsi="Cambria Math"/>
                <w:color w:val="1A1A2E"/>
                <w:sz w:val="18"/>
                <w:szCs w:val="18"/>
              </w:rPr>
              <w:t xml:space="preserve">mid2</w:t>
            </w:r>
            <w:r>
              <w:rPr>
                <w:rFonts w:ascii="Cambria Math" w:cs="Cambria Math" w:eastAsia="Cambria Math" w:hAnsi="Cambria Math"/>
                <w:color w:val="1A1A2E"/>
                <w:sz w:val="22"/>
                <w:szCs w:val="22"/>
              </w:rPr>
              <w:t xml:space="preserve"> + FFN(LayerNorm(X</w:t>
            </w:r>
            <w:r>
              <w:rPr>
                <w:rFonts w:ascii="Cambria Math" w:cs="Cambria Math" w:eastAsia="Cambria Math" w:hAnsi="Cambria Math"/>
                <w:color w:val="1A1A2E"/>
                <w:sz w:val="18"/>
                <w:szCs w:val="18"/>
              </w:rPr>
              <w:t xml:space="preserve">mid2</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Residual  |  [B, n_tgt, d_model]  — output to next decoder block</w:t>
            </w:r>
          </w:p>
        </w:tc>
      </w:tr>
    </w:tbl>
    <w:p>
      <w:pPr>
        <w:pStyle w:val="Heading2"/>
      </w:pPr>
      <w:r>
        <w:rPr>
          <w:rFonts w:ascii="Arial" w:cs="Arial" w:eastAsia="Arial" w:hAnsi="Arial"/>
        </w:rPr>
        <w:t xml:space="preserve">3.3 Numerical Example</w:t>
      </w:r>
    </w:p>
    <w:p>
      <w:pPr>
        <w:spacing w:after="100" w:line="276"/>
      </w:pPr>
      <w:r>
        <w:rPr>
          <w:rFonts w:ascii="Arial" w:cs="Arial" w:eastAsia="Arial" w:hAnsi="Arial"/>
          <w:color w:val="1A1A2E"/>
          <w:sz w:val="20"/>
          <w:szCs w:val="20"/>
        </w:rPr>
        <w:t xml:space="preserve">Translating "The cat sat" → "Le chat assis". Decoder has generated "Le chat" so far (2 tokens). It must predict the next token.</w:t>
      </w:r>
    </w:p>
    <w:p>
      <w:pPr>
        <w:spacing w:after="100" w:line="276"/>
      </w:pPr>
      <w:r>
        <w:rPr>
          <w:rFonts w:ascii="Arial" w:cs="Arial" w:eastAsia="Arial" w:hAnsi="Arial"/>
          <w:b/>
          <w:bCs/>
          <w:i/>
          <w:iCs/>
          <w:color w:val="1A1A2E"/>
          <w:sz w:val="19"/>
          <w:szCs w:val="19"/>
        </w:rPr>
        <w:t xml:space="preserve">Sub-layer 1: Masked Self-Attention</w:t>
      </w:r>
    </w:p>
    <w:p>
      <w:pPr>
        <w:spacing w:after="100" w:line="276"/>
      </w:pPr>
      <w:r>
        <w:rPr>
          <w:rFonts w:ascii="Arial" w:cs="Arial" w:eastAsia="Arial" w:hAnsi="Arial"/>
          <w:color w:val="1A1A2E"/>
          <w:sz w:val="20"/>
          <w:szCs w:val="20"/>
        </w:rPr>
        <w:t xml:space="preserve">The decoder self-attention matrix with causal mask:</w:t>
      </w:r>
    </w:p>
    <w:p>
      <w:pPr>
        <w:spacing w:before="80" w:after="40"/>
        <w:jc w:val="center"/>
      </w:pPr>
      <w:r>
        <w:rPr>
          <w:rFonts w:ascii="Arial" w:cs="Arial" w:eastAsia="Arial" w:hAnsi="Arial"/>
          <w:i/>
          <w:iCs/>
          <w:color w:val="666666"/>
          <w:sz w:val="17"/>
          <w:szCs w:val="17"/>
        </w:rPr>
        <w:t xml:space="preserve">Masked self-attention</w:t>
      </w:r>
      <w:r>
        <w:rPr>
          <w:rFonts w:ascii="Courier New" w:cs="Courier New" w:eastAsia="Courier New" w:hAnsi="Courier New"/>
          <w:color w:val="666666"/>
          <w:sz w:val="16"/>
          <w:szCs w:val="16"/>
        </w:rPr>
        <w:t xml:space="preserve">  [n_tgt=2, n_tgt=2] — "Le" can only see itself, "chat" sees both</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Le</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chat</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Le</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1.00</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0.00</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chat</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0.35</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0.65</w:t>
            </w:r>
          </w:p>
        </w:tc>
      </w:tr>
    </w:tbl>
    <w:p>
      <w:pPr>
        <w:spacing w:after="60"/>
      </w:pPr>
      <w:r>
        <w:rPr>
          <w:rFonts w:ascii="Arial" w:cs="Arial" w:eastAsia="Arial" w:hAnsi="Arial"/>
          <w:sz w:val="2"/>
          <w:szCs w:val="2"/>
        </w:rPr>
        <w:t xml:space="preserve"/>
      </w:r>
    </w:p>
    <w:p>
      <w:pPr>
        <w:spacing w:after="100" w:line="276"/>
      </w:pPr>
      <w:r>
        <w:rPr>
          <w:rFonts w:ascii="Arial" w:cs="Arial" w:eastAsia="Arial" w:hAnsi="Arial"/>
          <w:b/>
          <w:bCs/>
          <w:i/>
          <w:iCs/>
          <w:color w:val="1A1A2E"/>
          <w:sz w:val="19"/>
          <w:szCs w:val="19"/>
        </w:rPr>
        <w:t xml:space="preserve">Sub-layer 2: Cross-Attention over Encoder Output</w:t>
      </w:r>
    </w:p>
    <w:p>
      <w:pPr>
        <w:spacing w:after="100" w:line="276"/>
      </w:pPr>
      <w:r>
        <w:rPr>
          <w:rFonts w:ascii="Arial" w:cs="Arial" w:eastAsia="Arial" w:hAnsi="Arial"/>
          <w:color w:val="1A1A2E"/>
          <w:sz w:val="20"/>
          <w:szCs w:val="20"/>
        </w:rPr>
        <w:t xml:space="preserve">Now the decoder attends to the encoder output. This is where translation happens — each decoder token queries the source sentence:</w:t>
      </w:r>
    </w:p>
    <w:p>
      <w:pPr>
        <w:spacing w:before="80" w:after="40"/>
        <w:jc w:val="center"/>
      </w:pPr>
      <w:r>
        <w:rPr>
          <w:rFonts w:ascii="Arial" w:cs="Arial" w:eastAsia="Arial" w:hAnsi="Arial"/>
          <w:i/>
          <w:iCs/>
          <w:color w:val="666666"/>
          <w:sz w:val="17"/>
          <w:szCs w:val="17"/>
        </w:rPr>
        <w:t xml:space="preserve">Cross-attention weights</w:t>
      </w:r>
      <w:r>
        <w:rPr>
          <w:rFonts w:ascii="Courier New" w:cs="Courier New" w:eastAsia="Courier New" w:hAnsi="Courier New"/>
          <w:color w:val="666666"/>
          <w:sz w:val="16"/>
          <w:szCs w:val="16"/>
        </w:rPr>
        <w:t xml:space="preserve">  [n_tgt=2, n_src=3] — RECTANGULAR, not square!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Q ← Dec / K ← Enc</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The</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sat</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Le</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0.71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0.18</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0.11</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chat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0.08</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0.82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0.10</w:t>
            </w:r>
          </w:p>
        </w:tc>
      </w:tr>
    </w:tbl>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Key observations: "Le" strongly attends to "The" (0.71) — the model learned article-to-article alignment. "chat" strongly attends to "cat" (0.82) — direct word translation alignment. The next token prediction (position 3) will attend to "sat" to generate "assis".</w:t>
      </w:r>
    </w:p>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Attention dimensions are critical here. Self-attention is [n_tgt × n_tgt] (square). Cross-attention is [n_tgt × n_src] (rectangular). The source and target can have completely different lengths.</w:t>
      </w:r>
    </w:p>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CONCEPT: Three Sub-Layers = Three Different Roles</w:t>
            </w:r>
          </w:p>
          <w:p>
            <w:pPr>
              <w:spacing w:after="20" w:line="264"/>
            </w:pPr>
            <w:r>
              <w:rPr>
                <w:rFonts w:ascii="Arial" w:cs="Arial" w:eastAsia="Arial" w:hAnsi="Arial"/>
                <w:color w:val="1A1A2E"/>
                <w:sz w:val="19"/>
                <w:szCs w:val="19"/>
              </w:rPr>
              <w:t xml:space="preserve">Each decoder sub-layer has a distinct function. Masked self-attention: lets generated tokens communicate with each other ("chat" knows "Le" was generated). Cross-attention: retrieves relevant information from the source ("chat" finds "cat" in the encoder). FFN: transforms the combined information into a representation suitable for predicting the next token. This three-stage pipeline repeats N times, progressively refining the decoder's understanding.</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2D6A4F" w:sz="4"/>
              <w:bottom w:val="none" w:sz="0"/>
              <w:right w:val="none" w:sz="0"/>
            </w:tcBorders>
            <w:shd w:fill="E8F5E9" w:val="clear"/>
            <w:tcMar>
              <w:top w:type="dxa" w:w="40"/>
              <w:left w:type="dxa" w:w="160"/>
              <w:bottom w:type="dxa" w:w="40"/>
              <w:right w:type="dxa" w:w="160"/>
            </w:tcMar>
          </w:tcPr>
          <w:p>
            <w:pPr>
              <w:spacing w:after="20" w:line="264"/>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Cross-attention creates an alignment manifold between source and target spaces. For translation, this manifold approximates a word-alignment function. Monitor: visualize cross-attention as a heatmap over source × target — for translation, you expect a roughly diagonal pattern (with deviations for word-order changes). For your applications (sensor-to-diagnosis, data-to-insight), the pattern reveals how the model maps between your two data sources.</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C75000" w:sz="4"/>
              <w:bottom w:val="none" w:sz="0"/>
              <w:right w:val="none" w:sz="0"/>
            </w:tcBorders>
            <w:shd w:fill="FFF3E0" w:val="clear"/>
            <w:tcMar>
              <w:top w:type="dxa" w:w="40"/>
              <w:left w:type="dxa" w:w="160"/>
              <w:bottom w:type="dxa" w:w="40"/>
              <w:right w:type="dxa" w:w="160"/>
            </w:tcMar>
          </w:tcPr>
          <w:p>
            <w:pPr>
              <w:spacing w:after="20" w:line="264"/>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Track per decoder layer: (1) self-attention entropy — should be low (peaked) since each token has few valid predecessors. (2) cross-attention entropy — varies by task; translation is peaked, summarization is broader. (3) The relative magnitude of the three sub-layer contributions to the residual stream: ||self-attn delta||, ||cross-attn delta||, ||FFN delta||. If one consistently dominates, the other sub-layers may be underutilized.</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E94560" w:sz="4"/>
              <w:bottom w:val="none" w:sz="0"/>
              <w:right w:val="none" w:sz="0"/>
            </w:tcBorders>
            <w:shd w:fill="FDE8EC" w:val="clear"/>
            <w:tcMar>
              <w:top w:type="dxa" w:w="40"/>
              <w:left w:type="dxa" w:w="160"/>
              <w:bottom w:type="dxa" w:w="40"/>
              <w:right w:type="dxa" w:w="160"/>
            </w:tcMar>
          </w:tcPr>
          <w:p>
            <w:pPr>
              <w:spacing w:after="20" w:line="264"/>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Decoder has 50% more parameters per block than encoder (3 sub-layers vs 2). Cross-attention adds d_model² × 4 parameters (W^Q, W^K, W^V, W^O). At inference, the decoder runs autoregressively: for a target of length T, it runs T forward passes. Each pass is O(n_tgt × n_src) for cross-attention. Total inference: O(T² + T × n_src) with KV-caching, or O(T² × n_src) without.</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r>
      <w:br w:type="page"/>
    </w:r>
    <w:p>
      <w:pPr>
        <w:pStyle w:val="Heading1"/>
      </w:pPr>
      <w:r>
        <w:rPr>
          <w:rFonts w:ascii="Arial" w:cs="Arial" w:eastAsia="Arial" w:hAnsi="Arial"/>
        </w:rPr>
        <w:t xml:space="preserve">Step 4: The Encoder-Decoder Connection</w:t>
      </w:r>
    </w:p>
    <w:p>
      <w:pPr>
        <w:pStyle w:val="Heading2"/>
      </w:pPr>
      <w:r>
        <w:rPr>
          <w:rFonts w:ascii="Arial" w:cs="Arial" w:eastAsia="Arial" w:hAnsi="Arial"/>
        </w:rPr>
        <w:t xml:space="preserve">4.1 Introduction</w:t>
      </w:r>
    </w:p>
    <w:p>
      <w:pPr>
        <w:spacing w:after="100" w:line="276"/>
      </w:pPr>
      <w:r>
        <w:rPr>
          <w:rFonts w:ascii="Arial" w:cs="Arial" w:eastAsia="Arial" w:hAnsi="Arial"/>
          <w:color w:val="1A1A2E"/>
          <w:sz w:val="20"/>
          <w:szCs w:val="20"/>
        </w:rPr>
        <w:t xml:space="preserve">The connection between encoder and decoder is surprisingly simple: the encoder runs once and its final output E_enc is fed as K and V to every cross-attention layer in every decoder block. The decoder's own representations generate Q. This means every decoder block can access the full source representation independently.</w:t>
      </w:r>
    </w:p>
    <w:p>
      <w:pPr>
        <w:pStyle w:val="Heading2"/>
      </w:pPr>
      <w:r>
        <w:rPr>
          <w:rFonts w:ascii="Arial" w:cs="Arial" w:eastAsia="Arial" w:hAnsi="Arial"/>
        </w:rPr>
        <w:t xml:space="preserve">4.2 Mathematical Operation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E</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 = EncoderBlock</w:t>
            </w:r>
            <w:r>
              <w:rPr>
                <w:rFonts w:ascii="Cambria Math" w:cs="Cambria Math" w:eastAsia="Cambria Math" w:hAnsi="Cambria Math"/>
                <w:color w:val="1A1A2E"/>
                <w:sz w:val="18"/>
                <w:szCs w:val="18"/>
              </w:rPr>
              <w:t xml:space="preserve">N</w:t>
            </w:r>
            <w:r>
              <w:rPr>
                <w:rFonts w:ascii="Cambria Math" w:cs="Cambria Math" w:eastAsia="Cambria Math" w:hAnsi="Cambria Math"/>
                <w:color w:val="1A1A2E"/>
                <w:sz w:val="22"/>
                <w:szCs w:val="22"/>
              </w:rPr>
              <w:t xml:space="preserve">( ... EncoderBlock</w:t>
            </w:r>
            <w:r>
              <w:rPr>
                <w:rFonts w:ascii="Cambria Math" w:cs="Cambria Math" w:eastAsia="Cambria Math" w:hAnsi="Cambria Math"/>
                <w:color w:val="1A1A2E"/>
                <w:sz w:val="18"/>
                <w:szCs w:val="18"/>
              </w:rPr>
              <w:t xml:space="preserve">1</w:t>
            </w:r>
            <w:r>
              <w:rPr>
                <w:rFonts w:ascii="Cambria Math" w:cs="Cambria Math" w:eastAsia="Cambria Math" w:hAnsi="Cambria Math"/>
                <w:color w:val="1A1A2E"/>
                <w:sz w:val="22"/>
                <w:szCs w:val="22"/>
              </w:rPr>
              <w:t xml:space="preserve">(Embed(X</w:t>
            </w:r>
            <w:r>
              <w:rPr>
                <w:rFonts w:ascii="Cambria Math" w:cs="Cambria Math" w:eastAsia="Cambria Math" w:hAnsi="Cambria Math"/>
                <w:color w:val="1A1A2E"/>
                <w:sz w:val="18"/>
                <w:szCs w:val="18"/>
              </w:rPr>
              <w:t xml:space="preserve">src</w:t>
            </w:r>
            <w:r>
              <w:rPr>
                <w:rFonts w:ascii="Cambria Math" w:cs="Cambria Math" w:eastAsia="Cambria Math" w:hAnsi="Cambria Math"/>
                <w:color w:val="1A1A2E"/>
                <w:sz w:val="22"/>
                <w:szCs w:val="22"/>
              </w:rPr>
              <w:t xml:space="preserve">) + PE) ... )</w:t>
            </w:r>
          </w:p>
          <w:p>
            <w:pPr>
              <w:spacing w:after="60"/>
              <w:jc w:val="center"/>
            </w:pPr>
            <w:r>
              <w:rPr>
                <w:rFonts w:ascii="Courier New" w:cs="Courier New" w:eastAsia="Courier New" w:hAnsi="Courier New"/>
                <w:i/>
                <w:iCs/>
                <w:color w:val="666666"/>
                <w:sz w:val="17"/>
                <w:szCs w:val="17"/>
              </w:rPr>
              <w:t xml:space="preserve">Encoder runs once  |  Output: [B, n_src, d_model]</w:t>
            </w:r>
          </w:p>
        </w:tc>
      </w:tr>
    </w:tbl>
    <w:p>
      <w:pPr>
        <w:spacing w:after="3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For each decoder block i = 1, ..., 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CrossAttn</w:t>
            </w:r>
            <w:r>
              <w:rPr>
                <w:rFonts w:ascii="Cambria Math" w:cs="Cambria Math" w:eastAsia="Cambria Math" w:hAnsi="Cambria Math"/>
                <w:color w:val="1A1A2E"/>
                <w:sz w:val="18"/>
                <w:szCs w:val="18"/>
              </w:rPr>
              <w:t xml:space="preserve">i</w:t>
            </w:r>
            <w:r>
              <w:rPr>
                <w:rFonts w:ascii="Cambria Math" w:cs="Cambria Math" w:eastAsia="Cambria Math" w:hAnsi="Cambria Math"/>
                <w:color w:val="1A1A2E"/>
                <w:sz w:val="22"/>
                <w:szCs w:val="22"/>
              </w:rPr>
              <w:t xml:space="preserve">: Q</w:t>
            </w:r>
            <w:r>
              <w:rPr>
                <w:rFonts w:ascii="Cambria Math" w:cs="Cambria Math" w:eastAsia="Cambria Math" w:hAnsi="Cambria Math"/>
                <w:color w:val="1A1A2E"/>
                <w:sz w:val="18"/>
                <w:szCs w:val="18"/>
              </w:rPr>
              <w:t xml:space="preserve">i</w:t>
            </w:r>
            <w:r>
              <w:rPr>
                <w:rFonts w:ascii="Cambria Math" w:cs="Cambria Math" w:eastAsia="Cambria Math" w:hAnsi="Cambria Math"/>
                <w:color w:val="1A1A2E"/>
                <w:sz w:val="22"/>
                <w:szCs w:val="22"/>
              </w:rPr>
              <w:t xml:space="preserve"> = f(X</w:t>
            </w:r>
            <w:r>
              <w:rPr>
                <w:rFonts w:ascii="Cambria Math" w:cs="Cambria Math" w:eastAsia="Cambria Math" w:hAnsi="Cambria Math"/>
                <w:color w:val="1A1A2E"/>
                <w:sz w:val="18"/>
                <w:szCs w:val="18"/>
              </w:rPr>
              <w:t xml:space="preserve">dec,i</w:t>
            </w:r>
            <w:r>
              <w:rPr>
                <w:rFonts w:ascii="Cambria Math" w:cs="Cambria Math" w:eastAsia="Cambria Math" w:hAnsi="Cambria Math"/>
                <w:color w:val="1A1A2E"/>
                <w:sz w:val="22"/>
                <w:szCs w:val="22"/>
              </w:rPr>
              <w:t xml:space="preserve">),  K</w:t>
            </w:r>
            <w:r>
              <w:rPr>
                <w:rFonts w:ascii="Cambria Math" w:cs="Cambria Math" w:eastAsia="Cambria Math" w:hAnsi="Cambria Math"/>
                <w:color w:val="1A1A2E"/>
                <w:sz w:val="18"/>
                <w:szCs w:val="18"/>
              </w:rPr>
              <w:t xml:space="preserve">i</w:t>
            </w:r>
            <w:r>
              <w:rPr>
                <w:rFonts w:ascii="Cambria Math" w:cs="Cambria Math" w:eastAsia="Cambria Math" w:hAnsi="Cambria Math"/>
                <w:color w:val="1A1A2E"/>
                <w:sz w:val="22"/>
                <w:szCs w:val="22"/>
              </w:rPr>
              <w:t xml:space="preserve"> = E</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18"/>
                <w:szCs w:val="18"/>
              </w:rPr>
              <w:t xml:space="preserve">K,i</w:t>
            </w:r>
            <w:r>
              <w:rPr>
                <w:rFonts w:ascii="Cambria Math" w:cs="Cambria Math" w:eastAsia="Cambria Math" w:hAnsi="Cambria Math"/>
                <w:color w:val="1A1A2E"/>
                <w:sz w:val="17"/>
                <w:szCs w:val="17"/>
              </w:rPr>
              <w:t xml:space="preserve"/>
            </w:r>
            <w:r>
              <w:rPr>
                <w:rFonts w:ascii="Cambria Math" w:cs="Cambria Math" w:eastAsia="Cambria Math" w:hAnsi="Cambria Math"/>
                <w:color w:val="1A1A2E"/>
                <w:sz w:val="22"/>
                <w:szCs w:val="22"/>
              </w:rPr>
              <w:t xml:space="preserve">,  V</w:t>
            </w:r>
            <w:r>
              <w:rPr>
                <w:rFonts w:ascii="Cambria Math" w:cs="Cambria Math" w:eastAsia="Cambria Math" w:hAnsi="Cambria Math"/>
                <w:color w:val="1A1A2E"/>
                <w:sz w:val="18"/>
                <w:szCs w:val="18"/>
              </w:rPr>
              <w:t xml:space="preserve">i</w:t>
            </w:r>
            <w:r>
              <w:rPr>
                <w:rFonts w:ascii="Cambria Math" w:cs="Cambria Math" w:eastAsia="Cambria Math" w:hAnsi="Cambria Math"/>
                <w:color w:val="1A1A2E"/>
                <w:sz w:val="22"/>
                <w:szCs w:val="22"/>
              </w:rPr>
              <w:t xml:space="preserve"> = E</w:t>
            </w:r>
            <w:r>
              <w:rPr>
                <w:rFonts w:ascii="Cambria Math" w:cs="Cambria Math" w:eastAsia="Cambria Math" w:hAnsi="Cambria Math"/>
                <w:color w:val="1A1A2E"/>
                <w:sz w:val="18"/>
                <w:szCs w:val="18"/>
              </w:rPr>
              <w:t xml:space="preserve">enc</w:t>
            </w:r>
            <w:r>
              <w:rPr>
                <w:rFonts w:ascii="Cambria Math" w:cs="Cambria Math" w:eastAsia="Cambria Math" w:hAnsi="Cambria Math"/>
                <w:color w:val="1A1A2E"/>
                <w:sz w:val="22"/>
                <w:szCs w:val="22"/>
              </w:rPr>
              <w:t xml:space="preserve"> · W</w:t>
            </w:r>
            <w:r>
              <w:rPr>
                <w:rFonts w:ascii="Cambria Math" w:cs="Cambria Math" w:eastAsia="Cambria Math" w:hAnsi="Cambria Math"/>
                <w:color w:val="1A1A2E"/>
                <w:sz w:val="18"/>
                <w:szCs w:val="18"/>
              </w:rPr>
              <w:t xml:space="preserve">V,i</w:t>
            </w:r>
          </w:p>
          <w:p>
            <w:pPr>
              <w:spacing w:after="60"/>
              <w:jc w:val="center"/>
            </w:pPr>
            <w:r>
              <w:rPr>
                <w:rFonts w:ascii="Courier New" w:cs="Courier New" w:eastAsia="Courier New" w:hAnsi="Courier New"/>
                <w:i/>
                <w:iCs/>
                <w:color w:val="666666"/>
                <w:sz w:val="17"/>
                <w:szCs w:val="17"/>
              </w:rPr>
              <w:t xml:space="preserve">Each decoder block has its OWN W^K, W^V projections of E_enc</w:t>
            </w:r>
          </w:p>
        </w:tc>
      </w:tr>
    </w:tbl>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Important: although E_enc is the same tensor fed to all decoder blocks, each block's cross-attention has its own learned projection matrices. This means each block can "ask different questions" of the encoder output. Early decoder blocks might extract word-level alignments while later blocks extract semantic relationships.</w:t>
      </w:r>
    </w:p>
    <w:p>
      <w:pPr>
        <w:pStyle w:val="Heading2"/>
      </w:pPr>
      <w:r>
        <w:rPr>
          <w:rFonts w:ascii="Arial" w:cs="Arial" w:eastAsia="Arial" w:hAnsi="Arial"/>
        </w:rPr>
        <w:t xml:space="preserve">4.3 Numerical Example</w:t>
      </w:r>
    </w:p>
    <w:p>
      <w:pPr>
        <w:spacing w:after="100" w:line="276"/>
      </w:pPr>
      <w:r>
        <w:rPr>
          <w:rFonts w:ascii="Arial" w:cs="Arial" w:eastAsia="Arial" w:hAnsi="Arial"/>
          <w:color w:val="1A1A2E"/>
          <w:sz w:val="20"/>
          <w:szCs w:val="20"/>
        </w:rPr>
        <w:t xml:space="preserve">The dimension flow through the full encoder-decoder for our translation example:</w:t>
      </w:r>
    </w:p>
    <w:p>
      <w:pPr>
        <w:spacing w:before="80" w:after="40"/>
        <w:jc w:val="center"/>
      </w:pPr>
      <w:r>
        <w:rPr>
          <w:rFonts w:ascii="Arial" w:cs="Arial" w:eastAsia="Arial" w:hAnsi="Arial"/>
          <w:i/>
          <w:iCs/>
          <w:color w:val="666666"/>
          <w:sz w:val="17"/>
          <w:szCs w:val="17"/>
        </w:rPr>
        <w:t xml:space="preserve">Full dimension trace</w:t>
      </w:r>
      <w:r>
        <w:rPr>
          <w:rFonts w:ascii="Courier New" w:cs="Courier New" w:eastAsia="Courier New" w:hAnsi="Courier New"/>
          <w:color w:val="666666"/>
          <w:sz w:val="16"/>
          <w:szCs w:val="16"/>
        </w:rPr>
        <w:t xml:space="preserve">  *Here n_src = n_tgt = 3, but they can differ</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Stage</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Tensor</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Shape</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Source tokens</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"The cat sat"</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Source embed + PE</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X_src</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 d_model]</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Encoder output</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E_enc</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 d_model]</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Target tokens (so far)</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"&lt;start&gt; Le chat"</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Target embed + PE</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X_tgt</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 d_model]</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Dec self-attn scores</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A_self</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h, 3, 3] ← square</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Dec cross-attn scores</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A_cross</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h, 3, 3] ← rectangular*</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Decoder output</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Y</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 d_model]</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Logits</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Y · W_vocab</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 3, V]</w:t>
            </w:r>
          </w:p>
        </w:tc>
      </w:tr>
      <w:tr>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Next token pred</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argmax(logits[2])</w:t>
            </w:r>
          </w:p>
        </w:tc>
        <w:tc>
          <w:tcPr>
            <w:tcW w:type="dxa" w:w="180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"assis"</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CONCEPT: Encoder Runs Once, Decoder Runs Many Times</w:t>
            </w:r>
          </w:p>
          <w:p>
            <w:pPr>
              <w:spacing w:after="20" w:line="264"/>
            </w:pPr>
            <w:r>
              <w:rPr>
                <w:rFonts w:ascii="Arial" w:cs="Arial" w:eastAsia="Arial" w:hAnsi="Arial"/>
                <w:color w:val="1A1A2E"/>
                <w:sz w:val="19"/>
                <w:szCs w:val="19"/>
              </w:rPr>
              <w:t xml:space="preserve">At inference, the encoder processes the source exactly once. The decoder then runs autoregressively: generate token 1, then tokens 1–2, then 1–3, etc. Each run accesses the same E_enc. This asymmetry is important for efficiency: the expensive encoder computation happens once, and only the cheaper decoder runs repeatedly. With KV-caching (storing previous decoder self-attention keys/values), each autoregressive step only computes attention for the new token against all previous ones.</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2D6A4F" w:sz="4"/>
              <w:bottom w:val="none" w:sz="0"/>
              <w:right w:val="none" w:sz="0"/>
            </w:tcBorders>
            <w:shd w:fill="E8F5E9" w:val="clear"/>
            <w:tcMar>
              <w:top w:type="dxa" w:w="40"/>
              <w:left w:type="dxa" w:w="160"/>
              <w:bottom w:type="dxa" w:w="40"/>
              <w:right w:type="dxa" w:w="160"/>
            </w:tcMar>
          </w:tcPr>
          <w:p>
            <w:pPr>
              <w:spacing w:after="20" w:line="264"/>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The encoder and decoder operate in the same d_model dimensional space, but they develop different internal geometries because they have different objectives (comprehension vs generation). The cross-attention W^K and W^V projections bridge these two geometries. Monitor: the alignment between encoder and decoder representations — the average cross-attention entropy measures how easily the decoder can find relevant encoder information. If entropy is very high across all heads, the two spaces may be poorly aligned.</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C75000" w:sz="4"/>
              <w:bottom w:val="none" w:sz="0"/>
              <w:right w:val="none" w:sz="0"/>
            </w:tcBorders>
            <w:shd w:fill="FFF3E0" w:val="clear"/>
            <w:tcMar>
              <w:top w:type="dxa" w:w="40"/>
              <w:left w:type="dxa" w:w="160"/>
              <w:bottom w:type="dxa" w:w="40"/>
              <w:right w:type="dxa" w:w="160"/>
            </w:tcMar>
          </w:tcPr>
          <w:p>
            <w:pPr>
              <w:spacing w:after="20" w:line="264"/>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Monitor at inference: (1) cross-attention weight stability — as the decoder generates more tokens, do earlier tokens' cross-attention patterns remain stable? (If they shift dramatically, the model is uncertain.) (2) Does the attention to the encoder's end-of-sequence or padding tokens increase? (This often signals the model is "running out of information" to decode.)</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E94560" w:sz="4"/>
              <w:bottom w:val="none" w:sz="0"/>
              <w:right w:val="none" w:sz="0"/>
            </w:tcBorders>
            <w:shd w:fill="FDE8EC" w:val="clear"/>
            <w:tcMar>
              <w:top w:type="dxa" w:w="40"/>
              <w:left w:type="dxa" w:w="160"/>
              <w:bottom w:type="dxa" w:w="40"/>
              <w:right w:type="dxa" w:w="160"/>
            </w:tcMar>
          </w:tcPr>
          <w:p>
            <w:pPr>
              <w:spacing w:after="20" w:line="264"/>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Memory at inference: E_enc must be stored for the entire decoding process: B × n_src × d_model × 4 bytes. For a batch of 32, source length 512, d_model=512: 32 × 512 × 512 × 4 = 33.5MB. Plus N decoder blocks each cache their K/V projections of E_enc: add N × 2 × B × h × n_src × d_k × 4 bytes. This is why long source sequences are expensive — cross-attention memory scales linearly with n_src.</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r>
      <w:br w:type="page"/>
    </w:r>
    <w:p>
      <w:pPr>
        <w:pStyle w:val="Heading1"/>
      </w:pPr>
      <w:r>
        <w:rPr>
          <w:rFonts w:ascii="Arial" w:cs="Arial" w:eastAsia="Arial" w:hAnsi="Arial"/>
        </w:rPr>
        <w:t xml:space="preserve">Step 5: Architecture Variants &amp; When to Use Each</w:t>
      </w:r>
    </w:p>
    <w:p>
      <w:pPr>
        <w:pStyle w:val="Heading2"/>
      </w:pPr>
      <w:r>
        <w:rPr>
          <w:rFonts w:ascii="Arial" w:cs="Arial" w:eastAsia="Arial" w:hAnsi="Arial"/>
        </w:rPr>
        <w:t xml:space="preserve">5.1 Introduction</w:t>
      </w:r>
    </w:p>
    <w:p>
      <w:pPr>
        <w:spacing w:after="100" w:line="276"/>
      </w:pPr>
      <w:r>
        <w:rPr>
          <w:rFonts w:ascii="Arial" w:cs="Arial" w:eastAsia="Arial" w:hAnsi="Arial"/>
          <w:color w:val="1A1A2E"/>
          <w:sz w:val="20"/>
          <w:szCs w:val="20"/>
        </w:rPr>
        <w:t xml:space="preserve">The full encoder-decoder is one of three transformer variants. Each variant drops or keeps different components, making them suited for different task types. Understanding when to use which variant is the core architectural selection skill.</w:t>
      </w:r>
    </w:p>
    <w:p>
      <w:pPr>
        <w:pStyle w:val="Heading2"/>
      </w:pPr>
      <w:r>
        <w:rPr>
          <w:rFonts w:ascii="Arial" w:cs="Arial" w:eastAsia="Arial" w:hAnsi="Arial"/>
        </w:rPr>
        <w:t xml:space="preserve">5.2 The Three Variants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71"/>
      </w:tblGrid>
      <w:tr>
        <w:tc>
          <w:tcPr>
            <w:tcW w:type="dxa" w:w="160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pPr>
              <w:spacing w:after="20" w:line="252"/>
            </w:pPr>
            <w:r>
              <w:rPr>
                <w:rFonts w:ascii="Arial" w:cs="Arial" w:eastAsia="Arial" w:hAnsi="Arial"/>
                <w:b/>
                <w:bCs/>
                <w:color w:val="FFFFFF"/>
                <w:sz w:val="16"/>
                <w:szCs w:val="16"/>
              </w:rPr>
              <w:t xml:space="preserve"/>
            </w:r>
          </w:p>
        </w:tc>
        <w:tc>
          <w:tcPr>
            <w:tcW w:type="dxa" w:w="240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pPr>
              <w:spacing w:after="20" w:line="252"/>
            </w:pPr>
            <w:r>
              <w:rPr>
                <w:rFonts w:ascii="Arial" w:cs="Arial" w:eastAsia="Arial" w:hAnsi="Arial"/>
                <w:b/>
                <w:bCs/>
                <w:color w:val="FFFFFF"/>
                <w:sz w:val="16"/>
                <w:szCs w:val="16"/>
              </w:rPr>
              <w:t xml:space="preserve">Encoder-Only</w:t>
            </w:r>
          </w:p>
        </w:tc>
        <w:tc>
          <w:tcPr>
            <w:tcW w:type="dxa" w:w="2400"/>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pPr>
              <w:spacing w:after="20" w:line="252"/>
            </w:pPr>
            <w:r>
              <w:rPr>
                <w:rFonts w:ascii="Arial" w:cs="Arial" w:eastAsia="Arial" w:hAnsi="Arial"/>
                <w:b/>
                <w:bCs/>
                <w:color w:val="FFFFFF"/>
                <w:sz w:val="16"/>
                <w:szCs w:val="16"/>
              </w:rPr>
              <w:t xml:space="preserve">Decoder-Only</w:t>
            </w:r>
          </w:p>
        </w:tc>
        <w:tc>
          <w:tcPr>
            <w:tcW w:type="dxa" w:w="2671"/>
            <w:tcBorders>
              <w:top w:val="single" w:color="CCCCCC" w:sz="1"/>
              <w:left w:val="single" w:color="CCCCCC" w:sz="1"/>
              <w:bottom w:val="single" w:color="CCCCCC" w:sz="1"/>
              <w:right w:val="single" w:color="CCCCCC" w:sz="1"/>
            </w:tcBorders>
            <w:shd w:fill="0F3460" w:val="clear"/>
            <w:tcMar>
              <w:top w:type="dxa" w:w="50"/>
              <w:left w:type="dxa" w:w="80"/>
              <w:bottom w:type="dxa" w:w="50"/>
              <w:right w:type="dxa" w:w="80"/>
            </w:tcMar>
          </w:tcPr>
          <w:p>
            <w:pPr>
              <w:spacing w:after="20" w:line="252"/>
            </w:pPr>
            <w:r>
              <w:rPr>
                <w:rFonts w:ascii="Arial" w:cs="Arial" w:eastAsia="Arial" w:hAnsi="Arial"/>
                <w:b/>
                <w:bCs/>
                <w:color w:val="FFFFFF"/>
                <w:sz w:val="16"/>
                <w:szCs w:val="16"/>
              </w:rPr>
              <w:t xml:space="preserve">Encoder-Decoder</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Examples</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BERT, RoBERTa, sentence-transformers</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GPT, LLaMA, Claude</w:t>
            </w:r>
          </w:p>
        </w:tc>
        <w:tc>
          <w:tcPr>
            <w:tcW w:type="dxa" w:w="267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T5, BART, Whisper</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Attention type</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Full bidirectional self-attention</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Causal (masked) self-attention</w:t>
            </w:r>
          </w:p>
        </w:tc>
        <w:tc>
          <w:tcPr>
            <w:tcW w:type="dxa" w:w="267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Encoder: bidirectional
Decoder: causal + cross</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Input</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Full sequence at once</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Sequence prefix (prompt)</w:t>
            </w:r>
          </w:p>
        </w:tc>
        <w:tc>
          <w:tcPr>
            <w:tcW w:type="dxa" w:w="267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Source sequence</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Output</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Representation per token</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Next token probability</w:t>
            </w:r>
          </w:p>
        </w:tc>
        <w:tc>
          <w:tcPr>
            <w:tcW w:type="dxa" w:w="267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Target sequence</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Strength</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Deep understanding of input</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Flexible generation</w:t>
            </w:r>
          </w:p>
        </w:tc>
        <w:tc>
          <w:tcPr>
            <w:tcW w:type="dxa" w:w="267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Input→Output transformation</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Weakness</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Cannot generate</w:t>
            </w:r>
          </w:p>
        </w:tc>
        <w:tc>
          <w:tcPr>
            <w:tcW w:type="dxa" w:w="24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Limited input comprehension</w:t>
            </w:r>
          </w:p>
        </w:tc>
        <w:tc>
          <w:tcPr>
            <w:tcW w:type="dxa" w:w="267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More complex, slower training</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line="252"/>
            </w:pPr>
            <w:r>
              <w:rPr>
                <w:rFonts w:ascii="Arial" w:cs="Arial" w:eastAsia="Arial" w:hAnsi="Arial"/>
                <w:b/>
                <w:bCs/>
                <w:color w:val="1A1A2E"/>
                <w:sz w:val="16"/>
                <w:szCs w:val="16"/>
              </w:rPr>
              <w:t xml:space="preserve">Task fit</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Classification, retrieval, similarity, NER</w:t>
            </w:r>
          </w:p>
        </w:tc>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Text generation, code, chat, reasoning</w:t>
            </w:r>
          </w:p>
        </w:tc>
        <w:tc>
          <w:tcPr>
            <w:tcW w:type="dxa" w:w="267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line="252"/>
            </w:pPr>
            <w:r>
              <w:rPr>
                <w:rFonts w:ascii="Arial" w:cs="Arial" w:eastAsia="Arial" w:hAnsi="Arial"/>
                <w:b w:val="false"/>
                <w:bCs w:val="false"/>
                <w:color w:val="1A1A2E"/>
                <w:sz w:val="16"/>
                <w:szCs w:val="16"/>
              </w:rPr>
              <w:t xml:space="preserve">Translation, summarization, conversion</w:t>
            </w:r>
          </w:p>
        </w:tc>
      </w:tr>
    </w:tbl>
    <w:p>
      <w:pPr>
        <w:pStyle w:val="Heading2"/>
      </w:pPr>
      <w:r>
        <w:rPr>
          <w:rFonts w:ascii="Arial" w:cs="Arial" w:eastAsia="Arial" w:hAnsi="Arial"/>
        </w:rPr>
        <w:t xml:space="preserve">5.3 Selection Decision Tree</w:t>
      </w:r>
    </w:p>
    <w:p>
      <w:pPr>
        <w:spacing w:after="100" w:line="276"/>
      </w:pPr>
      <w:r>
        <w:rPr>
          <w:rFonts w:ascii="Arial" w:cs="Arial" w:eastAsia="Arial" w:hAnsi="Arial"/>
          <w:color w:val="1A1A2E"/>
          <w:sz w:val="20"/>
          <w:szCs w:val="20"/>
        </w:rPr>
        <w:t xml:space="preserve">When choosing a variant for your application, ask these questions in order:</w:t>
      </w:r>
    </w:p>
    <w:p>
      <w:pPr>
        <w:spacing w:after="100" w:line="276"/>
      </w:pPr>
      <w:r>
        <w:rPr>
          <w:rFonts w:ascii="Arial" w:cs="Arial" w:eastAsia="Arial" w:hAnsi="Arial"/>
          <w:b/>
          <w:bCs/>
          <w:color w:val="1A1A2E"/>
          <w:sz w:val="20"/>
          <w:szCs w:val="20"/>
        </w:rPr>
        <w:t xml:space="preserve">1. Does the task require generating a new sequence? </w:t>
      </w:r>
      <w:r>
        <w:rPr>
          <w:rFonts w:ascii="Arial" w:cs="Arial" w:eastAsia="Arial" w:hAnsi="Arial"/>
          <w:color w:val="1A1A2E"/>
          <w:sz w:val="20"/>
          <w:szCs w:val="20"/>
        </w:rPr>
        <w:t xml:space="preserve">If no → Encoder-Only. If yes, continue.</w:t>
      </w:r>
    </w:p>
    <w:p>
      <w:pPr>
        <w:spacing w:after="100" w:line="276"/>
      </w:pPr>
      <w:r>
        <w:rPr>
          <w:rFonts w:ascii="Arial" w:cs="Arial" w:eastAsia="Arial" w:hAnsi="Arial"/>
          <w:b/>
          <w:bCs/>
          <w:color w:val="1A1A2E"/>
          <w:sz w:val="20"/>
          <w:szCs w:val="20"/>
        </w:rPr>
        <w:t xml:space="preserve">2. Is there a distinct input that gets transformed into the output? </w:t>
      </w:r>
      <w:r>
        <w:rPr>
          <w:rFonts w:ascii="Arial" w:cs="Arial" w:eastAsia="Arial" w:hAnsi="Arial"/>
          <w:color w:val="1A1A2E"/>
          <w:sz w:val="20"/>
          <w:szCs w:val="20"/>
        </w:rPr>
        <w:t xml:space="preserve">If yes (translation, summarization, sensor→diagnosis) → Encoder-Decoder. If the input and output are the same stream (conversation, code completion) → Decoder-Only.</w:t>
      </w:r>
    </w:p>
    <w:p>
      <w:pPr>
        <w:spacing w:after="100" w:line="276"/>
      </w:pPr>
      <w:r>
        <w:rPr>
          <w:rFonts w:ascii="Arial" w:cs="Arial" w:eastAsia="Arial" w:hAnsi="Arial"/>
          <w:b/>
          <w:bCs/>
          <w:color w:val="1A1A2E"/>
          <w:sz w:val="20"/>
          <w:szCs w:val="20"/>
        </w:rPr>
        <w:t xml:space="preserve">3. How different are input and output? </w:t>
      </w:r>
      <w:r>
        <w:rPr>
          <w:rFonts w:ascii="Arial" w:cs="Arial" w:eastAsia="Arial" w:hAnsi="Arial"/>
          <w:color w:val="1A1A2E"/>
          <w:sz w:val="20"/>
          <w:szCs w:val="20"/>
        </w:rPr>
        <w:t xml:space="preserve">Very different (different languages, different modalities) → Encoder-Decoder. Similar continuation of the same content → Decoder-Only.</w:t>
      </w:r>
    </w:p>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CONCEPT: For Your Applications</w:t>
            </w:r>
          </w:p>
          <w:p>
            <w:pPr>
              <w:spacing w:after="20" w:line="264"/>
            </w:pPr>
            <w:r>
              <w:rPr>
                <w:rFonts w:ascii="Arial" w:cs="Arial" w:eastAsia="Arial" w:hAnsi="Arial"/>
                <w:color w:val="1A1A2E"/>
                <w:sz w:val="19"/>
                <w:szCs w:val="19"/>
              </w:rPr>
              <w:t xml:space="preserve">Sensor anomaly detection (classify normal vs fault): Encoder-Only — you need to understand the input, not generate output. Sensor readings → maintenance instructions: Encoder-Decoder — distinct input and output. Customer query + knowledge base → answer: Encoder-Decoder with cross-attention (query encodes into decoder Q, knowledge base encodes into encoder K/V). Feature relationship discovery: Encoder-Only — self-attention weights reveal relationships. These choices are architectural decisions that directly affect product design.</w:t>
            </w:r>
          </w:p>
        </w:tc>
      </w:tr>
    </w:tbl>
    <w:p>
      <w:pPr>
        <w:spacing w:after="100"/>
      </w:pPr>
      <w:r>
        <w:rPr>
          <w:rFonts w:ascii="Arial" w:cs="Arial" w:eastAsia="Arial" w:hAnsi="Arial"/>
          <w:sz w:val="2"/>
          <w:szCs w:val="2"/>
        </w:rPr>
        <w:t xml:space="preserve"/>
      </w:r>
    </w:p>
    <w:p>
      <w:pPr>
        <w:pStyle w:val="Heading2"/>
      </w:pPr>
      <w:r>
        <w:rPr>
          <w:rFonts w:ascii="Arial" w:cs="Arial" w:eastAsia="Arial" w:hAnsi="Arial"/>
        </w:rPr>
        <w:t xml:space="preserve">5.4 Parameter Count Comparison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71"/>
      </w:tblGrid>
      <w:tr>
        <w:tc>
          <w:tcPr>
            <w:tcW w:type="dxa" w:w="1800"/>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7"/>
                <w:szCs w:val="17"/>
              </w:rPr>
              <w:t xml:space="preserve">Component</w:t>
            </w:r>
          </w:p>
        </w:tc>
        <w:tc>
          <w:tcPr>
            <w:tcW w:type="dxa" w:w="2200"/>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7"/>
                <w:szCs w:val="17"/>
              </w:rPr>
              <w:t xml:space="preserve">Encoder-Only</w:t>
            </w:r>
          </w:p>
        </w:tc>
        <w:tc>
          <w:tcPr>
            <w:tcW w:type="dxa" w:w="2200"/>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7"/>
                <w:szCs w:val="17"/>
              </w:rPr>
              <w:t xml:space="preserve">Decoder-Only</w:t>
            </w:r>
          </w:p>
        </w:tc>
        <w:tc>
          <w:tcPr>
            <w:tcW w:type="dxa" w:w="2871"/>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7"/>
                <w:szCs w:val="17"/>
              </w:rPr>
              <w:t xml:space="preserve">Encoder-Decoder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Self-attention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4d² × 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4d² × N</w:t>
            </w:r>
          </w:p>
        </w:tc>
        <w:tc>
          <w:tcPr>
            <w:tcW w:type="dxa" w:w="287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4d² × 2N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2E"/>
                <w:sz w:val="17"/>
                <w:szCs w:val="17"/>
              </w:rPr>
              <w:t xml:space="preserve">Cross-attention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w:t>
            </w:r>
          </w:p>
        </w:tc>
        <w:tc>
          <w:tcPr>
            <w:tcW w:type="dxa" w:w="287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4d² × 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FFN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8d² × 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8d² × N</w:t>
            </w:r>
          </w:p>
        </w:tc>
        <w:tc>
          <w:tcPr>
            <w:tcW w:type="dxa" w:w="287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8d² × 2N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2E"/>
                <w:sz w:val="17"/>
                <w:szCs w:val="17"/>
              </w:rPr>
              <w:t xml:space="preserve">LayerNorm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 × 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 × N</w:t>
            </w:r>
          </w:p>
        </w:tc>
        <w:tc>
          <w:tcPr>
            <w:tcW w:type="dxa" w:w="287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4d × 2N + 2d × 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Embedding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V × 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V × d</w:t>
            </w:r>
          </w:p>
        </w:tc>
        <w:tc>
          <w:tcPr>
            <w:tcW w:type="dxa" w:w="287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V_src × d + V_tgt × 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2E"/>
                <w:sz w:val="17"/>
                <w:szCs w:val="17"/>
              </w:rPr>
              <w:t xml:space="preserve">Total per block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~12d²</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~12d²</w:t>
            </w:r>
          </w:p>
        </w:tc>
        <w:tc>
          <w:tcPr>
            <w:tcW w:type="dxa" w:w="287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ambria Math" w:cs="Cambria Math" w:eastAsia="Cambria Math" w:hAnsi="Cambria Math"/>
                <w:b w:val="false"/>
                <w:bCs w:val="false"/>
                <w:color w:val="1A1A2E"/>
                <w:sz w:val="17"/>
                <w:szCs w:val="17"/>
              </w:rPr>
              <w:t xml:space="preserve">Enc: ~12d², Dec: ~16d²</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2D6A4F" w:sz="4"/>
              <w:bottom w:val="none" w:sz="0"/>
              <w:right w:val="none" w:sz="0"/>
            </w:tcBorders>
            <w:shd w:fill="E8F5E9" w:val="clear"/>
            <w:tcMar>
              <w:top w:type="dxa" w:w="40"/>
              <w:left w:type="dxa" w:w="160"/>
              <w:bottom w:type="dxa" w:w="40"/>
              <w:right w:type="dxa" w:w="160"/>
            </w:tcMar>
          </w:tcPr>
          <w:p>
            <w:pPr>
              <w:spacing w:after="20" w:line="264"/>
            </w:pPr>
            <w:r>
              <w:rPr>
                <w:rFonts w:ascii="Arial" w:cs="Arial" w:eastAsia="Arial" w:hAnsi="Arial"/>
                <w:b/>
                <w:bCs/>
                <w:color w:val="2D6A4F"/>
                <w:sz w:val="18"/>
                <w:szCs w:val="18"/>
              </w:rPr>
              <w:t xml:space="preserve">▲ GEOMETRIC: </w:t>
            </w:r>
            <w:r>
              <w:rPr>
                <w:rFonts w:ascii="Arial" w:cs="Arial" w:eastAsia="Arial" w:hAnsi="Arial"/>
                <w:color w:val="1A1A2E"/>
                <w:sz w:val="18"/>
                <w:szCs w:val="18"/>
              </w:rPr>
              <w:t xml:space="preserve">Encoder-decoder creates two representation spaces that must be aligned via cross-attention. The quality of this alignment determines translation/conversion quality. Monitor: the singular values of the cross-attention weight matrices across layers. If alignment degrades in deeper layers, the encoder-decoder connection is weakening.</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C75000" w:sz="4"/>
              <w:bottom w:val="none" w:sz="0"/>
              <w:right w:val="none" w:sz="0"/>
            </w:tcBorders>
            <w:shd w:fill="FFF3E0" w:val="clear"/>
            <w:tcMar>
              <w:top w:type="dxa" w:w="40"/>
              <w:left w:type="dxa" w:w="160"/>
              <w:bottom w:type="dxa" w:w="40"/>
              <w:right w:type="dxa" w:w="160"/>
            </w:tcMar>
          </w:tcPr>
          <w:p>
            <w:pPr>
              <w:spacing w:after="20" w:line="264"/>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Encoder-decoder models train with teacher forcing: during training, the decoder sees the actual target tokens (not its own predictions) as input. This creates a train/inference mismatch called "exposure bias" — at inference, the decoder sees its own (possibly wrong) predictions. Monitor: the gap between teacher-forced validation loss and autoregressive validation loss. A large gap suggests exposure bias.</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E94560" w:sz="4"/>
              <w:bottom w:val="none" w:sz="0"/>
              <w:right w:val="none" w:sz="0"/>
            </w:tcBorders>
            <w:shd w:fill="FDE8EC" w:val="clear"/>
            <w:tcMar>
              <w:top w:type="dxa" w:w="40"/>
              <w:left w:type="dxa" w:w="160"/>
              <w:bottom w:type="dxa" w:w="40"/>
              <w:right w:type="dxa" w:w="160"/>
            </w:tcMar>
          </w:tcPr>
          <w:p>
            <w:pPr>
              <w:spacing w:after="20" w:line="264"/>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Encoder-decoder has ~1.33× the parameters of encoder-only or decoder-only with the same block count (due to additional cross-attention). Training is also slower: the decoder's autoregressive nature requires causal masking at every step, and cross-attention adds O(n_tgt × n_src) computation per block. For most applications, the encoder or decoder runs dominate the wall-clock time, not the parameter count.</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r>
      <w:br w:type="page"/>
    </w:r>
    <w:p>
      <w:pPr>
        <w:pStyle w:val="Heading1"/>
      </w:pPr>
      <w:r>
        <w:rPr>
          <w:rFonts w:ascii="Arial" w:cs="Arial" w:eastAsia="Arial" w:hAnsi="Arial"/>
        </w:rPr>
        <w:t xml:space="preserve">Step 6: Training the Encoder-Decoder</w:t>
      </w:r>
    </w:p>
    <w:p>
      <w:pPr>
        <w:pStyle w:val="Heading2"/>
      </w:pPr>
      <w:r>
        <w:rPr>
          <w:rFonts w:ascii="Arial" w:cs="Arial" w:eastAsia="Arial" w:hAnsi="Arial"/>
        </w:rPr>
        <w:t xml:space="preserve">6.1 Introduction</w:t>
      </w:r>
    </w:p>
    <w:p>
      <w:pPr>
        <w:spacing w:after="100" w:line="276"/>
      </w:pPr>
      <w:r>
        <w:rPr>
          <w:rFonts w:ascii="Arial" w:cs="Arial" w:eastAsia="Arial" w:hAnsi="Arial"/>
          <w:color w:val="1A1A2E"/>
          <w:sz w:val="20"/>
          <w:szCs w:val="20"/>
        </w:rPr>
        <w:t xml:space="preserve">Training an encoder-decoder uses teacher forcing: at each training step, the decoder receives the actual target tokens (shifted right by one position) as input, and the loss is computed over the predicted next tokens. This is identical to how a decoder-only model trains, except the decoder also receives encoder output via cross-attention.</w:t>
      </w:r>
    </w:p>
    <w:p>
      <w:pPr>
        <w:pStyle w:val="Heading2"/>
      </w:pPr>
      <w:r>
        <w:rPr>
          <w:rFonts w:ascii="Arial" w:cs="Arial" w:eastAsia="Arial" w:hAnsi="Arial"/>
        </w:rPr>
        <w:t xml:space="preserve">6.2 Mathematical Operation</w:t>
      </w:r>
    </w:p>
    <w:p>
      <w:pPr>
        <w:spacing w:after="100" w:line="276"/>
      </w:pPr>
      <w:r>
        <w:rPr>
          <w:rFonts w:ascii="Arial" w:cs="Arial" w:eastAsia="Arial" w:hAnsi="Arial"/>
          <w:color w:val="1A1A2E"/>
          <w:sz w:val="20"/>
          <w:szCs w:val="20"/>
        </w:rPr>
        <w:t xml:space="preserve">Target sequence: [&lt;start&gt;, y₁, y₂, ..., yₜ]. The decoder input is the target shifted right: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60"/>
              <w:jc w:val="center"/>
            </w:pPr>
            <w:r>
              <w:rPr>
                <w:rFonts w:ascii="Cambria Math" w:cs="Cambria Math" w:eastAsia="Cambria Math" w:hAnsi="Cambria Math"/>
                <w:color w:val="1A1A2E"/>
                <w:sz w:val="22"/>
                <w:szCs w:val="22"/>
              </w:rPr>
              <w:t xml:space="preserve">Decoder input: [&lt;start&gt;, y₁, y₂, ..., y</w:t>
            </w:r>
            <w:r>
              <w:rPr>
                <w:rFonts w:ascii="Cambria Math" w:cs="Cambria Math" w:eastAsia="Cambria Math" w:hAnsi="Cambria Math"/>
                <w:color w:val="1A1A2E"/>
                <w:sz w:val="18"/>
                <w:szCs w:val="18"/>
              </w:rPr>
              <w:t xml:space="preserve">T-1</w:t>
            </w:r>
            <w:r>
              <w:rPr>
                <w:rFonts w:ascii="Cambria Math" w:cs="Cambria Math" w:eastAsia="Cambria Math" w:hAnsi="Cambria Math"/>
                <w:color w:val="1A1A2E"/>
                <w:sz w:val="22"/>
                <w:szCs w:val="22"/>
              </w:rPr>
              <w:t xml:space="preserve">]</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Expected output: [y₁, y₂, y₃, ..., y</w:t>
            </w:r>
            <w:r>
              <w:rPr>
                <w:rFonts w:ascii="Cambria Math" w:cs="Cambria Math" w:eastAsia="Cambria Math" w:hAnsi="Cambria Math"/>
                <w:color w:val="1A1A2E"/>
                <w:sz w:val="18"/>
                <w:szCs w:val="18"/>
              </w:rPr>
              <w:t xml:space="preserve">T</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At each position, predict the next token</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0C4F0" w:sz="1"/>
              <w:left w:val="single" w:color="7C5CFC" w:sz="4"/>
              <w:bottom w:val="single" w:color="D0C4F0" w:sz="1"/>
              <w:right w:val="single" w:color="D0C4F0" w:sz="1"/>
            </w:tcBorders>
            <w:shd w:fill="F8F6FF" w:val="clear"/>
            <w:tcMar>
              <w:top w:type="dxa" w:w="40"/>
              <w:left w:type="dxa" w:w="200"/>
              <w:bottom w:type="dxa" w:w="40"/>
              <w:right w:type="dxa" w:w="200"/>
            </w:tcMar>
          </w:tcPr>
          <w:p>
            <w:pPr>
              <w:spacing w:before="60" w:after="40"/>
              <w:jc w:val="center"/>
            </w:pPr>
            <w:r>
              <w:rPr>
                <w:rFonts w:ascii="Cambria Math" w:cs="Cambria Math" w:eastAsia="Cambria Math" w:hAnsi="Cambria Math"/>
                <w:color w:val="1A1A2E"/>
                <w:sz w:val="22"/>
                <w:szCs w:val="22"/>
              </w:rPr>
              <w:t xml:space="preserve">L = −(1/T) ∑</w:t>
            </w:r>
            <w:r>
              <w:rPr>
                <w:rFonts w:ascii="Cambria Math" w:cs="Cambria Math" w:eastAsia="Cambria Math" w:hAnsi="Cambria Math"/>
                <w:color w:val="1A1A2E"/>
                <w:sz w:val="18"/>
                <w:szCs w:val="18"/>
              </w:rPr>
              <w:t xml:space="preserve">t=1..T</w:t>
            </w:r>
            <w:r>
              <w:rPr>
                <w:rFonts w:ascii="Cambria Math" w:cs="Cambria Math" w:eastAsia="Cambria Math" w:hAnsi="Cambria Math"/>
                <w:color w:val="1A1A2E"/>
                <w:sz w:val="22"/>
                <w:szCs w:val="22"/>
              </w:rPr>
              <w:t xml:space="preserve"> log P(y</w:t>
            </w:r>
            <w:r>
              <w:rPr>
                <w:rFonts w:ascii="Cambria Math" w:cs="Cambria Math" w:eastAsia="Cambria Math" w:hAnsi="Cambria Math"/>
                <w:color w:val="1A1A2E"/>
                <w:sz w:val="18"/>
                <w:szCs w:val="18"/>
              </w:rPr>
              <w:t xml:space="preserve">t</w:t>
            </w:r>
            <w:r>
              <w:rPr>
                <w:rFonts w:ascii="Cambria Math" w:cs="Cambria Math" w:eastAsia="Cambria Math" w:hAnsi="Cambria Math"/>
                <w:color w:val="1A1A2E"/>
                <w:sz w:val="22"/>
                <w:szCs w:val="22"/>
              </w:rPr>
              <w:t xml:space="preserve"> | y</w:t>
            </w:r>
            <w:r>
              <w:rPr>
                <w:rFonts w:ascii="Cambria Math" w:cs="Cambria Math" w:eastAsia="Cambria Math" w:hAnsi="Cambria Math"/>
                <w:color w:val="1A1A2E"/>
                <w:sz w:val="18"/>
                <w:szCs w:val="18"/>
              </w:rPr>
              <w:t xml:space="preserve">&lt;t</w:t>
            </w:r>
            <w:r>
              <w:rPr>
                <w:rFonts w:ascii="Cambria Math" w:cs="Cambria Math" w:eastAsia="Cambria Math" w:hAnsi="Cambria Math"/>
                <w:color w:val="1A1A2E"/>
                <w:sz w:val="22"/>
                <w:szCs w:val="22"/>
              </w:rPr>
              <w:t xml:space="preserve">, X</w:t>
            </w:r>
            <w:r>
              <w:rPr>
                <w:rFonts w:ascii="Cambria Math" w:cs="Cambria Math" w:eastAsia="Cambria Math" w:hAnsi="Cambria Math"/>
                <w:color w:val="1A1A2E"/>
                <w:sz w:val="18"/>
                <w:szCs w:val="18"/>
              </w:rPr>
              <w:t xml:space="preserve">src</w:t>
            </w:r>
            <w:r>
              <w:rPr>
                <w:rFonts w:ascii="Cambria Math" w:cs="Cambria Math" w:eastAsia="Cambria Math" w:hAnsi="Cambria Math"/>
                <w:color w:val="1A1A2E"/>
                <w:sz w:val="22"/>
                <w:szCs w:val="22"/>
              </w:rPr>
              <w:t xml:space="preserve">)</w:t>
            </w:r>
          </w:p>
          <w:p>
            <w:pPr>
              <w:spacing w:after="60"/>
              <w:jc w:val="center"/>
            </w:pPr>
            <w:r>
              <w:rPr>
                <w:rFonts w:ascii="Courier New" w:cs="Courier New" w:eastAsia="Courier New" w:hAnsi="Courier New"/>
                <w:i/>
                <w:iCs/>
                <w:color w:val="666666"/>
                <w:sz w:val="17"/>
                <w:szCs w:val="17"/>
              </w:rPr>
              <w:t xml:space="preserve">Cross-entropy loss averaged over all target positions</w:t>
            </w:r>
          </w:p>
        </w:tc>
      </w:tr>
    </w:tbl>
    <w:p>
      <w:pPr>
        <w:pStyle w:val="Heading2"/>
      </w:pPr>
      <w:r>
        <w:rPr>
          <w:rFonts w:ascii="Arial" w:cs="Arial" w:eastAsia="Arial" w:hAnsi="Arial"/>
        </w:rPr>
        <w:t xml:space="preserve">6.3 Numerical Example</w:t>
      </w:r>
    </w:p>
    <w:p>
      <w:pPr>
        <w:spacing w:after="100" w:line="276"/>
      </w:pPr>
      <w:r>
        <w:rPr>
          <w:rFonts w:ascii="Arial" w:cs="Arial" w:eastAsia="Arial" w:hAnsi="Arial"/>
          <w:color w:val="1A1A2E"/>
          <w:sz w:val="20"/>
          <w:szCs w:val="20"/>
        </w:rPr>
        <w:t xml:space="preserve">Training on the pair: source = "The cat sat", target = "Le chat assis":</w:t>
      </w:r>
    </w:p>
    <w:p>
      <w:pPr>
        <w:spacing w:before="80" w:after="40"/>
        <w:jc w:val="center"/>
      </w:pPr>
      <w:r>
        <w:rPr>
          <w:rFonts w:ascii="Arial" w:cs="Arial" w:eastAsia="Arial" w:hAnsi="Arial"/>
          <w:i/>
          <w:iCs/>
          <w:color w:val="666666"/>
          <w:sz w:val="17"/>
          <w:szCs w:val="17"/>
        </w:rPr>
        <w:t xml:space="preserve">Teacher forcing: decoder gets actual target tokens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Position</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Decoder input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Expected output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Decoder sees</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1</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&lt;start&gt;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Le</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Only &lt;start&gt;</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2</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Le</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chat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&lt;start&gt;, Le</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3</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chat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assis</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&lt;start&gt;, Le, chat</w:t>
            </w:r>
          </w:p>
        </w:tc>
      </w:tr>
      <w:tr>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4</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assis</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&lt;end&gt;</w:t>
            </w:r>
          </w:p>
        </w:tc>
        <w:tc>
          <w:tcPr>
            <w:tcW w:type="dxa" w:w="1750"/>
            <w:tcBorders>
              <w:top w:val="single" w:color="DDDDDD" w:sz="1"/>
              <w:left w:val="single" w:color="DDDDDD" w:sz="1"/>
              <w:bottom w:val="single" w:color="DDDDDD" w:sz="1"/>
              <w:right w:val="single" w:color="DDDDDD" w:sz="1"/>
            </w:tcBorders>
            <w:shd w:fill="FAFAFA" w:val="clear"/>
            <w:tcMar>
              <w:top w:type="dxa" w:w="30"/>
              <w:left w:type="dxa" w:w="60"/>
              <w:bottom w:type="dxa" w:w="30"/>
              <w:right w:type="dxa" w:w="60"/>
            </w:tcMar>
          </w:tcPr>
          <w:p>
            <w:pPr>
              <w:jc w:val="center"/>
            </w:pPr>
            <w:r>
              <w:rPr>
                <w:rFonts w:ascii="Courier New" w:cs="Courier New" w:eastAsia="Courier New" w:hAnsi="Courier New"/>
                <w:color w:val="1A1A2E"/>
                <w:sz w:val="17"/>
                <w:szCs w:val="17"/>
              </w:rPr>
              <w:t xml:space="preserve">&lt;start&gt;, Le, chat, assis</w:t>
            </w:r>
          </w:p>
        </w:tc>
      </w:tr>
    </w:tbl>
    <w:p>
      <w:pPr>
        <w:spacing w:after="6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All four positions are computed in a single forward pass (not sequentially) using the causal mask. The mask ensures position 2 cannot see the answer at position 3, even though all tokens are present in the batch. The loss is the average cross-entropy across all positions.</w:t>
      </w:r>
    </w:p>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8D4E8" w:sz="1"/>
              <w:left w:val="single" w:color="0F3460" w:sz="4"/>
              <w:bottom w:val="single" w:color="B8D4E8" w:sz="1"/>
              <w:right w:val="single" w:color="B8D4E8" w:sz="1"/>
            </w:tcBorders>
            <w:shd w:fill="E8F0FE" w:val="clear"/>
            <w:tcMar>
              <w:top w:type="dxa" w:w="60"/>
              <w:left w:type="dxa" w:w="160"/>
              <w:bottom w:type="dxa" w:w="60"/>
              <w:right w:type="dxa" w:w="160"/>
            </w:tcMar>
          </w:tcPr>
          <w:p>
            <w:pPr>
              <w:spacing w:after="40"/>
            </w:pPr>
            <w:r>
              <w:rPr>
                <w:rFonts w:ascii="Arial" w:cs="Arial" w:eastAsia="Arial" w:hAnsi="Arial"/>
                <w:b/>
                <w:bCs/>
                <w:color w:val="0F3460"/>
                <w:sz w:val="18"/>
                <w:szCs w:val="18"/>
              </w:rPr>
              <w:t>CONCEPT: Teacher Forcing vs Autoregressive Inference</w:t>
            </w:r>
          </w:p>
          <w:p>
            <w:pPr>
              <w:spacing w:after="20" w:line="264"/>
            </w:pPr>
            <w:r>
              <w:rPr>
                <w:rFonts w:ascii="Arial" w:cs="Arial" w:eastAsia="Arial" w:hAnsi="Arial"/>
                <w:color w:val="1A1A2E"/>
                <w:sz w:val="19"/>
                <w:szCs w:val="19"/>
              </w:rPr>
              <w:t xml:space="preserve">Training: the decoder always sees the correct previous tokens (teacher forcing). This is efficient (one forward pass for the whole sequence) and provides stable gradients. Inference: the decoder sees its own previous predictions, which may be wrong. If the model predicts a wrong token early, all subsequent predictions are conditioned on this mistake (error accumulation). Techniques like beam search (keeping top-k candidates) or scheduled sampling (mixing teacher forcing with own predictions during training) help mitigate this gap.</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C75000" w:sz="4"/>
              <w:bottom w:val="none" w:sz="0"/>
              <w:right w:val="none" w:sz="0"/>
            </w:tcBorders>
            <w:shd w:fill="FFF3E0" w:val="clear"/>
            <w:tcMar>
              <w:top w:type="dxa" w:w="40"/>
              <w:left w:type="dxa" w:w="160"/>
              <w:bottom w:type="dxa" w:w="40"/>
              <w:right w:type="dxa" w:w="160"/>
            </w:tcMar>
          </w:tcPr>
          <w:p>
            <w:pPr>
              <w:spacing w:after="20" w:line="264"/>
            </w:pPr>
            <w:r>
              <w:rPr>
                <w:rFonts w:ascii="Arial" w:cs="Arial" w:eastAsia="Arial" w:hAnsi="Arial"/>
                <w:b/>
                <w:bCs/>
                <w:color w:val="C75000"/>
                <w:sz w:val="18"/>
                <w:szCs w:val="18"/>
              </w:rPr>
              <w:t xml:space="preserve">● STATISTICAL: </w:t>
            </w:r>
            <w:r>
              <w:rPr>
                <w:rFonts w:ascii="Arial" w:cs="Arial" w:eastAsia="Arial" w:hAnsi="Arial"/>
                <w:color w:val="1A1A2E"/>
                <w:sz w:val="18"/>
                <w:szCs w:val="18"/>
              </w:rPr>
              <w:t xml:space="preserve">Monitor during training: (1) per-position loss — first token is hardest (least context), later tokens should have lower loss. If not, cross-attention may not be effectively transferring encoder information. (2) Gradient norms for encoder vs decoder parameters — if encoder gradients vanish while decoder gradients are healthy, the cross-attention bridge is not propagating gradients back to the encoder effectively.</w:t>
            </w:r>
          </w:p>
        </w:tc>
      </w:tr>
    </w:tbl>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sz="0"/>
              <w:left w:val="single" w:color="E94560" w:sz="4"/>
              <w:bottom w:val="none" w:sz="0"/>
              <w:right w:val="none" w:sz="0"/>
            </w:tcBorders>
            <w:shd w:fill="FDE8EC" w:val="clear"/>
            <w:tcMar>
              <w:top w:type="dxa" w:w="40"/>
              <w:left w:type="dxa" w:w="160"/>
              <w:bottom w:type="dxa" w:w="40"/>
              <w:right w:type="dxa" w:w="160"/>
            </w:tcMar>
          </w:tcPr>
          <w:p>
            <w:pPr>
              <w:spacing w:after="20" w:line="264"/>
            </w:pPr>
            <w:r>
              <w:rPr>
                <w:rFonts w:ascii="Arial" w:cs="Arial" w:eastAsia="Arial" w:hAnsi="Arial"/>
                <w:b/>
                <w:bCs/>
                <w:color w:val="E94560"/>
                <w:sz w:val="18"/>
                <w:szCs w:val="18"/>
              </w:rPr>
              <w:t xml:space="preserve">■ NUMERICAL: </w:t>
            </w:r>
            <w:r>
              <w:rPr>
                <w:rFonts w:ascii="Arial" w:cs="Arial" w:eastAsia="Arial" w:hAnsi="Arial"/>
                <w:color w:val="1A1A2E"/>
                <w:sz w:val="18"/>
                <w:szCs w:val="18"/>
              </w:rPr>
              <w:t xml:space="preserve">Teacher forcing allows full parallelization during training: all T target positions are computed simultaneously using the causal mask. Training FLOPs per step: O(N × (n_src² + n_tgt² + n_tgt × n_src) × d). Memory: both source and target sequences plus all intermediate activations must fit in GPU memory. For long sequences, gradient checkpointing trades compute for memory.</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r>
      <w:br w:type="page"/>
    </w:r>
    <w:p>
      <w:pPr>
        <w:pStyle w:val="Heading1"/>
      </w:pPr>
      <w:r>
        <w:rPr>
          <w:rFonts w:ascii="Arial" w:cs="Arial" w:eastAsia="Arial" w:hAnsi="Arial"/>
        </w:rPr>
        <w:t xml:space="preserve">Diagnostic Monitor Summary: Encoder-Decoder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471"/>
      </w:tblGrid>
      <w:tr>
        <w:tc>
          <w:tcPr>
            <w:tcW w:type="dxa" w:w="1600"/>
            <w:tcBorders>
              <w:top w:val="single" w:color="CCCCCC" w:sz="1"/>
              <w:left w:val="single" w:color="CCCCCC" w:sz="1"/>
              <w:bottom w:val="single" w:color="CCCCCC" w:sz="1"/>
              <w:right w:val="single" w:color="CCCCCC" w:sz="1"/>
            </w:tcBorders>
            <w:shd w:fill="0F3460" w:val="clear"/>
            <w:tcMar>
              <w:top w:type="dxa" w:w="50"/>
              <w:left w:type="dxa" w:w="70"/>
              <w:bottom w:type="dxa" w:w="50"/>
              <w:right w:type="dxa" w:w="70"/>
            </w:tcMar>
          </w:tcPr>
          <w:p>
            <w:pPr>
              <w:spacing w:after="10" w:line="252"/>
            </w:pPr>
            <w:r>
              <w:rPr>
                <w:rFonts w:ascii="Arial" w:cs="Arial" w:eastAsia="Arial" w:hAnsi="Arial"/>
                <w:b/>
                <w:bCs/>
                <w:color w:val="FFFFFF"/>
                <w:sz w:val="15"/>
                <w:szCs w:val="15"/>
              </w:rPr>
              <w:t xml:space="preserve">Component</w:t>
            </w:r>
          </w:p>
        </w:tc>
        <w:tc>
          <w:tcPr>
            <w:tcW w:type="dxa" w:w="2500"/>
            <w:tcBorders>
              <w:top w:val="single" w:color="CCCCCC" w:sz="1"/>
              <w:left w:val="single" w:color="CCCCCC" w:sz="1"/>
              <w:bottom w:val="single" w:color="CCCCCC" w:sz="1"/>
              <w:right w:val="single" w:color="CCCCCC" w:sz="1"/>
            </w:tcBorders>
            <w:shd w:fill="0F3460" w:val="clear"/>
            <w:tcMar>
              <w:top w:type="dxa" w:w="50"/>
              <w:left w:type="dxa" w:w="70"/>
              <w:bottom w:type="dxa" w:w="50"/>
              <w:right w:type="dxa" w:w="70"/>
            </w:tcMar>
          </w:tcPr>
          <w:p>
            <w:pPr>
              <w:spacing w:after="10" w:line="252"/>
            </w:pPr>
            <w:r>
              <w:rPr>
                <w:rFonts w:ascii="Arial" w:cs="Arial" w:eastAsia="Arial" w:hAnsi="Arial"/>
                <w:b/>
                <w:bCs/>
                <w:color w:val="FFFFFF"/>
                <w:sz w:val="15"/>
                <w:szCs w:val="15"/>
              </w:rPr>
              <w:t xml:space="preserve">Geometric</w:t>
            </w:r>
          </w:p>
        </w:tc>
        <w:tc>
          <w:tcPr>
            <w:tcW w:type="dxa" w:w="2500"/>
            <w:tcBorders>
              <w:top w:val="single" w:color="CCCCCC" w:sz="1"/>
              <w:left w:val="single" w:color="CCCCCC" w:sz="1"/>
              <w:bottom w:val="single" w:color="CCCCCC" w:sz="1"/>
              <w:right w:val="single" w:color="CCCCCC" w:sz="1"/>
            </w:tcBorders>
            <w:shd w:fill="0F3460" w:val="clear"/>
            <w:tcMar>
              <w:top w:type="dxa" w:w="50"/>
              <w:left w:type="dxa" w:w="70"/>
              <w:bottom w:type="dxa" w:w="50"/>
              <w:right w:type="dxa" w:w="70"/>
            </w:tcMar>
          </w:tcPr>
          <w:p>
            <w:pPr>
              <w:spacing w:after="10" w:line="252"/>
            </w:pPr>
            <w:r>
              <w:rPr>
                <w:rFonts w:ascii="Arial" w:cs="Arial" w:eastAsia="Arial" w:hAnsi="Arial"/>
                <w:b/>
                <w:bCs/>
                <w:color w:val="FFFFFF"/>
                <w:sz w:val="15"/>
                <w:szCs w:val="15"/>
              </w:rPr>
              <w:t xml:space="preserve">Statistical</w:t>
            </w:r>
          </w:p>
        </w:tc>
        <w:tc>
          <w:tcPr>
            <w:tcW w:type="dxa" w:w="2471"/>
            <w:tcBorders>
              <w:top w:val="single" w:color="CCCCCC" w:sz="1"/>
              <w:left w:val="single" w:color="CCCCCC" w:sz="1"/>
              <w:bottom w:val="single" w:color="CCCCCC" w:sz="1"/>
              <w:right w:val="single" w:color="CCCCCC" w:sz="1"/>
            </w:tcBorders>
            <w:shd w:fill="0F3460" w:val="clear"/>
            <w:tcMar>
              <w:top w:type="dxa" w:w="50"/>
              <w:left w:type="dxa" w:w="70"/>
              <w:bottom w:type="dxa" w:w="50"/>
              <w:right w:type="dxa" w:w="70"/>
            </w:tcMar>
          </w:tcPr>
          <w:p>
            <w:pPr>
              <w:spacing w:after="10" w:line="252"/>
            </w:pPr>
            <w:r>
              <w:rPr>
                <w:rFonts w:ascii="Arial" w:cs="Arial" w:eastAsia="Arial" w:hAnsi="Arial"/>
                <w:b/>
                <w:bCs/>
                <w:color w:val="FFFFFF"/>
                <w:sz w:val="15"/>
                <w:szCs w:val="15"/>
              </w:rPr>
              <w:t xml:space="preserve">Numerical</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bCs/>
                <w:color w:val="1A1A2E"/>
                <w:sz w:val="15"/>
                <w:szCs w:val="15"/>
              </w:rPr>
              <w:t xml:space="preserve">Encoder self-attn</w:t>
            </w:r>
          </w:p>
        </w:tc>
        <w:tc>
          <w:tcPr>
            <w:tcW w:type="dxa" w:w="25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Attention entropy per head, representation rank</w:t>
            </w:r>
          </w:p>
        </w:tc>
        <w:tc>
          <w:tcPr>
            <w:tcW w:type="dxa" w:w="25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Cross-token similarity distribution</w:t>
            </w:r>
          </w:p>
        </w:tc>
        <w:tc>
          <w:tcPr>
            <w:tcW w:type="dxa" w:w="2471"/>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O(n_src² · d_k) per head</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bCs/>
                <w:color w:val="1A1A2E"/>
                <w:sz w:val="15"/>
                <w:szCs w:val="15"/>
              </w:rPr>
              <w:t xml:space="preserve">Encoder output</w:t>
            </w:r>
          </w:p>
        </w:tc>
        <w:tc>
          <w:tcPr>
            <w:tcW w:type="dxa" w:w="25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Semantic clustering quality, E_enc rank</w:t>
            </w:r>
          </w:p>
        </w:tc>
        <w:tc>
          <w:tcPr>
            <w:tcW w:type="dxa" w:w="25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Norm distribution, mean/var stability</w:t>
            </w:r>
          </w:p>
        </w:tc>
        <w:tc>
          <w:tcPr>
            <w:tcW w:type="dxa" w:w="2471"/>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Memory: B·n_src·d·4 bytes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bCs/>
                <w:color w:val="1A1A2E"/>
                <w:sz w:val="15"/>
                <w:szCs w:val="15"/>
              </w:rPr>
              <w:t xml:space="preserve">Decoder self-attn</w:t>
            </w:r>
          </w:p>
        </w:tc>
        <w:tc>
          <w:tcPr>
            <w:tcW w:type="dxa" w:w="25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Causal attention pattern, peaked vs broad</w:t>
            </w:r>
          </w:p>
        </w:tc>
        <w:tc>
          <w:tcPr>
            <w:tcW w:type="dxa" w:w="25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Entropy of masked attention rows</w:t>
            </w:r>
          </w:p>
        </w:tc>
        <w:tc>
          <w:tcPr>
            <w:tcW w:type="dxa" w:w="2471"/>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O(n_tgt² · d_k) per head</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bCs/>
                <w:color w:val="1A1A2E"/>
                <w:sz w:val="15"/>
                <w:szCs w:val="15"/>
              </w:rPr>
              <w:t xml:space="preserve">Cross-attention</w:t>
            </w:r>
          </w:p>
        </w:tc>
        <w:tc>
          <w:tcPr>
            <w:tcW w:type="dxa" w:w="25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Alignment manifold quality</w:t>
            </w:r>
          </w:p>
        </w:tc>
        <w:tc>
          <w:tcPr>
            <w:tcW w:type="dxa" w:w="25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Source coverage, attention diversity</w:t>
            </w:r>
          </w:p>
        </w:tc>
        <w:tc>
          <w:tcPr>
            <w:tcW w:type="dxa" w:w="2471"/>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O(n_tgt·n_src·d_k)</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bCs/>
                <w:color w:val="1A1A2E"/>
                <w:sz w:val="15"/>
                <w:szCs w:val="15"/>
              </w:rPr>
              <w:t xml:space="preserve">Encoder-decoder bridge</w:t>
            </w:r>
          </w:p>
        </w:tc>
        <w:tc>
          <w:tcPr>
            <w:tcW w:type="dxa" w:w="25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Space alignment (SVD of cross-attn W)</w:t>
            </w:r>
          </w:p>
        </w:tc>
        <w:tc>
          <w:tcPr>
            <w:tcW w:type="dxa" w:w="2500"/>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Cross-attn entropy across layers</w:t>
            </w:r>
          </w:p>
        </w:tc>
        <w:tc>
          <w:tcPr>
            <w:tcW w:type="dxa" w:w="2471"/>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4d² extra params per block</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bCs/>
                <w:color w:val="1A1A2E"/>
                <w:sz w:val="15"/>
                <w:szCs w:val="15"/>
              </w:rPr>
              <w:t xml:space="preserve">Training</w:t>
            </w:r>
          </w:p>
        </w:tc>
        <w:tc>
          <w:tcPr>
            <w:tcW w:type="dxa" w:w="25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Error accumulation at inference</w:t>
            </w:r>
          </w:p>
        </w:tc>
        <w:tc>
          <w:tcPr>
            <w:tcW w:type="dxa" w:w="2500"/>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Per-position loss, gradient norms</w:t>
            </w:r>
          </w:p>
        </w:tc>
        <w:tc>
          <w:tcPr>
            <w:tcW w:type="dxa" w:w="2471"/>
            <w:tcBorders>
              <w:top w:val="single" w:color="CCCCCC" w:sz="1"/>
              <w:left w:val="single" w:color="CCCCCC" w:sz="1"/>
              <w:bottom w:val="single" w:color="CCCCCC" w:sz="1"/>
              <w:right w:val="single" w:color="CCCCCC" w:sz="1"/>
            </w:tcBorders>
            <w:shd w:fill="F5F5F5" w:val="clear"/>
            <w:tcMar>
              <w:top w:type="dxa" w:w="50"/>
              <w:left w:type="dxa" w:w="70"/>
              <w:bottom w:type="dxa" w:w="50"/>
              <w:right w:type="dxa" w:w="70"/>
            </w:tcMar>
          </w:tcPr>
          <w:p>
            <w:pPr>
              <w:spacing w:after="10" w:line="252"/>
            </w:pPr>
            <w:r>
              <w:rPr>
                <w:rFonts w:ascii="Arial" w:cs="Arial" w:eastAsia="Arial" w:hAnsi="Arial"/>
                <w:b w:val="false"/>
                <w:bCs w:val="false"/>
                <w:color w:val="1A1A2E"/>
                <w:sz w:val="15"/>
                <w:szCs w:val="15"/>
              </w:rPr>
              <w:t xml:space="preserve">Teacher forcing parallelism</w:t>
            </w:r>
          </w:p>
        </w:tc>
      </w:tr>
    </w:tbl>
    <w:p>
      <w:pPr>
        <w:spacing w:after="200"/>
      </w:pPr>
      <w:r>
        <w:rPr>
          <w:rFonts w:ascii="Arial" w:cs="Arial" w:eastAsia="Arial" w:hAnsi="Arial"/>
          <w:sz w:val="2"/>
          <w:szCs w:val="2"/>
        </w:rPr>
        <w:t xml:space="preserve"/>
      </w:r>
    </w:p>
    <w:p>
      <w:pPr>
        <w:pStyle w:val="Heading1"/>
      </w:pPr>
      <w:r>
        <w:rPr>
          <w:rFonts w:ascii="Arial" w:cs="Arial" w:eastAsia="Arial" w:hAnsi="Arial"/>
        </w:rPr>
        <w:t xml:space="preserve">Knowledge Graph: Where This Topic Fits</w:t>
      </w:r>
    </w:p>
    <w:p>
      <w:pPr>
        <w:spacing w:after="40"/>
      </w:pPr>
      <w:r>
        <w:rPr>
          <w:rFonts w:ascii="Arial" w:cs="Arial" w:eastAsia="Arial" w:hAnsi="Arial"/>
          <w:sz w:val="2"/>
          <w:szCs w:val="2"/>
        </w:rPr>
        <w:t xml:space="preserve"/>
      </w:r>
    </w:p>
    <w:p>
      <w:pPr>
        <w:spacing w:after="100" w:line="276"/>
      </w:pPr>
      <w:r>
        <w:rPr>
          <w:rFonts w:ascii="Arial" w:cs="Arial" w:eastAsia="Arial" w:hAnsi="Arial"/>
          <w:color w:val="1A1A2E"/>
          <w:sz w:val="20"/>
          <w:szCs w:val="20"/>
        </w:rPr>
        <w:t xml:space="preserve">This topic sits within the Transformer architecture family. Below is its relationship to other topics in your learning path:</w:t>
      </w:r>
    </w:p>
    <w:p>
      <w:pPr>
        <w:spacing w:after="4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4071"/>
        <w:gridCol w:w="300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7"/>
                <w:szCs w:val="17"/>
              </w:rPr>
              <w:t xml:space="preserve">Relationship</w:t>
            </w:r>
          </w:p>
        </w:tc>
        <w:tc>
          <w:tcPr>
            <w:tcW w:type="dxa" w:w="4071"/>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7"/>
                <w:szCs w:val="17"/>
              </w:rPr>
              <w:t xml:space="preserve">Topic</w:t>
            </w:r>
          </w:p>
        </w:tc>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7"/>
                <w:szCs w:val="17"/>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PARENT</w:t>
            </w:r>
          </w:p>
        </w:tc>
        <w:tc>
          <w:tcPr>
            <w:tcW w:type="dxa" w:w="407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Transformer Architecture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Covered (calculation flow doc)</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7"/>
                <w:szCs w:val="17"/>
              </w:rPr>
              <w:t xml:space="preserve">PREREQUISITE</w:t>
            </w:r>
          </w:p>
        </w:tc>
        <w:tc>
          <w:tcPr>
            <w:tcW w:type="dxa" w:w="407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Self-Attention (Q/K/V)</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Solid</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7"/>
                <w:szCs w:val="17"/>
              </w:rPr>
              <w:t xml:space="preserve">PREREQUISITE</w:t>
            </w:r>
          </w:p>
        </w:tc>
        <w:tc>
          <w:tcPr>
            <w:tcW w:type="dxa" w:w="407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Multi-Head Attention</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Solid</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7"/>
                <w:szCs w:val="17"/>
              </w:rPr>
              <w:t xml:space="preserve">PREREQUISITE</w:t>
            </w:r>
          </w:p>
        </w:tc>
        <w:tc>
          <w:tcPr>
            <w:tcW w:type="dxa" w:w="407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Positional Encoding</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Solid</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7"/>
                <w:szCs w:val="17"/>
              </w:rPr>
              <w:t xml:space="preserve">PREREQUISITE</w:t>
            </w:r>
          </w:p>
        </w:tc>
        <w:tc>
          <w:tcPr>
            <w:tcW w:type="dxa" w:w="407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Feed-Forward Network</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Solid</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7"/>
                <w:szCs w:val="17"/>
              </w:rPr>
              <w:t xml:space="preserve">PREREQUISITE</w:t>
            </w:r>
          </w:p>
        </w:tc>
        <w:tc>
          <w:tcPr>
            <w:tcW w:type="dxa" w:w="407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Layer Norm &amp; Residual Connections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Gap → covered here</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1A2E"/>
                <w:sz w:val="17"/>
                <w:szCs w:val="17"/>
              </w:rPr>
              <w:t xml:space="preserve">PREREQUISITE</w:t>
            </w:r>
          </w:p>
        </w:tc>
        <w:tc>
          <w:tcPr>
            <w:tcW w:type="dxa" w:w="407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Masking (Causal &amp; Padding)</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A1A2E"/>
                <w:sz w:val="17"/>
                <w:szCs w:val="17"/>
              </w:rPr>
              <w:t xml:space="preserve">Gap → covered here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1A2E"/>
                <w:sz w:val="17"/>
                <w:szCs w:val="17"/>
              </w:rPr>
              <w:t xml:space="preserve">THIS TOPIC</w:t>
            </w:r>
          </w:p>
        </w:tc>
        <w:tc>
          <w:tcPr>
            <w:tcW w:type="dxa" w:w="407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1A2E"/>
                <w:sz w:val="17"/>
                <w:szCs w:val="17"/>
              </w:rPr>
              <w:t xml:space="preserve">Encoder-Decoder Structure</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color w:val="1A1A2E"/>
                <w:sz w:val="17"/>
                <w:szCs w:val="17"/>
              </w:rPr>
              <w:t xml:space="preserve">CURRENT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RELATED</w:t>
            </w:r>
          </w:p>
        </w:tc>
        <w:tc>
          <w:tcPr>
            <w:tcW w:type="dxa" w:w="407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Cross-Attention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Strong intuition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A1A2E"/>
                <w:sz w:val="17"/>
                <w:szCs w:val="17"/>
              </w:rPr>
              <w:t xml:space="preserve">RELATED</w:t>
            </w:r>
          </w:p>
        </w:tc>
        <w:tc>
          <w:tcPr>
            <w:tcW w:type="dxa" w:w="407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7"/>
                <w:szCs w:val="17"/>
              </w:rPr>
              <w:t xml:space="preserve">Teacher Forcing &amp; Exposure Bias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7"/>
                <w:szCs w:val="17"/>
              </w:rPr>
              <w:t xml:space="preserve">Introduced here</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1A1A2E"/>
                <w:sz w:val="17"/>
                <w:szCs w:val="17"/>
              </w:rPr>
              <w:t xml:space="preserve">NEXT</w:t>
            </w:r>
          </w:p>
        </w:tc>
        <w:tc>
          <w:tcPr>
            <w:tcW w:type="dxa" w:w="4071"/>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Variants (Encoder-Only, Decoder-Only)</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Introduced here</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1A1A2E"/>
                <w:sz w:val="17"/>
                <w:szCs w:val="17"/>
              </w:rPr>
              <w:t xml:space="preserve">NEXT</w:t>
            </w:r>
          </w:p>
        </w:tc>
        <w:tc>
          <w:tcPr>
            <w:tcW w:type="dxa" w:w="4071"/>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Architecture Selection for Applications</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Week 1 exercise</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1A1A2E"/>
                <w:sz w:val="17"/>
                <w:szCs w:val="17"/>
              </w:rPr>
              <w:t xml:space="preserve">NEXT</w:t>
            </w:r>
          </w:p>
        </w:tc>
        <w:tc>
          <w:tcPr>
            <w:tcW w:type="dxa" w:w="4071"/>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Efficient Attention</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Week 4</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1A1A2E"/>
                <w:sz w:val="17"/>
                <w:szCs w:val="17"/>
              </w:rPr>
              <w:t xml:space="preserve">NEXT</w:t>
            </w:r>
          </w:p>
        </w:tc>
        <w:tc>
          <w:tcPr>
            <w:tcW w:type="dxa" w:w="4071"/>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Knowledge Distillation</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color w:val="1A1A2E"/>
                <w:sz w:val="17"/>
                <w:szCs w:val="17"/>
              </w:rPr>
              <w:t xml:space="preserve">Week 4</w:t>
            </w:r>
          </w:p>
        </w:tc>
      </w:tr>
      <w:tr>
        <w:tc>
          <w:tcPr>
            <w:tcW w:type="dxa" w:w="2000"/>
            <w:tcBorders>
              <w:top w:val="single" w:color="CCCCCC" w:sz="1"/>
              <w:left w:val="single" w:color="CCCCCC" w:sz="1"/>
              <w:bottom w:val="single" w:color="CCCCCC" w:sz="1"/>
              <w:right w:val="single" w:color="CCCCCC" w:sz="1"/>
            </w:tcBorders>
            <w:shd w:fill="FDE8EC" w:val="clear"/>
            <w:tcMar>
              <w:top w:type="dxa" w:w="60"/>
              <w:left w:type="dxa" w:w="100"/>
              <w:bottom w:type="dxa" w:w="60"/>
              <w:right w:type="dxa" w:w="100"/>
            </w:tcMar>
          </w:tcPr>
          <w:p>
            <w:r>
              <w:rPr>
                <w:rFonts w:ascii="Arial" w:cs="Arial" w:eastAsia="Arial" w:hAnsi="Arial"/>
                <w:b/>
                <w:bCs/>
                <w:color w:val="1A1A2E"/>
                <w:sz w:val="17"/>
                <w:szCs w:val="17"/>
              </w:rPr>
              <w:t xml:space="preserve">FUTURE</w:t>
            </w:r>
          </w:p>
        </w:tc>
        <w:tc>
          <w:tcPr>
            <w:tcW w:type="dxa" w:w="4071"/>
            <w:tcBorders>
              <w:top w:val="single" w:color="CCCCCC" w:sz="1"/>
              <w:left w:val="single" w:color="CCCCCC" w:sz="1"/>
              <w:bottom w:val="single" w:color="CCCCCC" w:sz="1"/>
              <w:right w:val="single" w:color="CCCCCC" w:sz="1"/>
            </w:tcBorders>
            <w:shd w:fill="FDE8EC" w:val="clear"/>
            <w:tcMar>
              <w:top w:type="dxa" w:w="60"/>
              <w:left w:type="dxa" w:w="100"/>
              <w:bottom w:type="dxa" w:w="60"/>
              <w:right w:type="dxa" w:w="100"/>
            </w:tcMar>
          </w:tcPr>
          <w:p>
            <w:r>
              <w:rPr>
                <w:rFonts w:ascii="Arial" w:cs="Arial" w:eastAsia="Arial" w:hAnsi="Arial"/>
                <w:b w:val="false"/>
                <w:bCs w:val="false"/>
                <w:color w:val="1A1A2E"/>
                <w:sz w:val="17"/>
                <w:szCs w:val="17"/>
              </w:rPr>
              <w:t xml:space="preserve">Vision Transformer (ViT)</w:t>
            </w:r>
          </w:p>
        </w:tc>
        <w:tc>
          <w:tcPr>
            <w:tcW w:type="dxa" w:w="3000"/>
            <w:tcBorders>
              <w:top w:val="single" w:color="CCCCCC" w:sz="1"/>
              <w:left w:val="single" w:color="CCCCCC" w:sz="1"/>
              <w:bottom w:val="single" w:color="CCCCCC" w:sz="1"/>
              <w:right w:val="single" w:color="CCCCCC" w:sz="1"/>
            </w:tcBorders>
            <w:shd w:fill="FDE8EC" w:val="clear"/>
            <w:tcMar>
              <w:top w:type="dxa" w:w="60"/>
              <w:left w:type="dxa" w:w="100"/>
              <w:bottom w:type="dxa" w:w="60"/>
              <w:right w:type="dxa" w:w="100"/>
            </w:tcMar>
          </w:tcPr>
          <w:p>
            <w:r>
              <w:rPr>
                <w:rFonts w:ascii="Arial" w:cs="Arial" w:eastAsia="Arial" w:hAnsi="Arial"/>
                <w:b w:val="false"/>
                <w:bCs w:val="false"/>
                <w:color w:val="1A1A2E"/>
                <w:sz w:val="17"/>
                <w:szCs w:val="17"/>
              </w:rPr>
              <w:t xml:space="preserve">Week 5+</w:t>
            </w:r>
          </w:p>
        </w:tc>
      </w:tr>
      <w:tr>
        <w:tc>
          <w:tcPr>
            <w:tcW w:type="dxa" w:w="2000"/>
            <w:tcBorders>
              <w:top w:val="single" w:color="CCCCCC" w:sz="1"/>
              <w:left w:val="single" w:color="CCCCCC" w:sz="1"/>
              <w:bottom w:val="single" w:color="CCCCCC" w:sz="1"/>
              <w:right w:val="single" w:color="CCCCCC" w:sz="1"/>
            </w:tcBorders>
            <w:shd w:fill="FDE8EC" w:val="clear"/>
            <w:tcMar>
              <w:top w:type="dxa" w:w="60"/>
              <w:left w:type="dxa" w:w="100"/>
              <w:bottom w:type="dxa" w:w="60"/>
              <w:right w:type="dxa" w:w="100"/>
            </w:tcMar>
          </w:tcPr>
          <w:p>
            <w:r>
              <w:rPr>
                <w:rFonts w:ascii="Arial" w:cs="Arial" w:eastAsia="Arial" w:hAnsi="Arial"/>
                <w:b/>
                <w:bCs/>
                <w:color w:val="1A1A2E"/>
                <w:sz w:val="17"/>
                <w:szCs w:val="17"/>
              </w:rPr>
              <w:t xml:space="preserve">FUTURE</w:t>
            </w:r>
          </w:p>
        </w:tc>
        <w:tc>
          <w:tcPr>
            <w:tcW w:type="dxa" w:w="4071"/>
            <w:tcBorders>
              <w:top w:val="single" w:color="CCCCCC" w:sz="1"/>
              <w:left w:val="single" w:color="CCCCCC" w:sz="1"/>
              <w:bottom w:val="single" w:color="CCCCCC" w:sz="1"/>
              <w:right w:val="single" w:color="CCCCCC" w:sz="1"/>
            </w:tcBorders>
            <w:shd w:fill="FDE8EC" w:val="clear"/>
            <w:tcMar>
              <w:top w:type="dxa" w:w="60"/>
              <w:left w:type="dxa" w:w="100"/>
              <w:bottom w:type="dxa" w:w="60"/>
              <w:right w:type="dxa" w:w="100"/>
            </w:tcMar>
          </w:tcPr>
          <w:p>
            <w:r>
              <w:rPr>
                <w:rFonts w:ascii="Arial" w:cs="Arial" w:eastAsia="Arial" w:hAnsi="Arial"/>
                <w:b w:val="false"/>
                <w:bCs w:val="false"/>
                <w:color w:val="1A1A2E"/>
                <w:sz w:val="17"/>
                <w:szCs w:val="17"/>
              </w:rPr>
              <w:t xml:space="preserve">Graph Attention Networks</w:t>
            </w:r>
          </w:p>
        </w:tc>
        <w:tc>
          <w:tcPr>
            <w:tcW w:type="dxa" w:w="3000"/>
            <w:tcBorders>
              <w:top w:val="single" w:color="CCCCCC" w:sz="1"/>
              <w:left w:val="single" w:color="CCCCCC" w:sz="1"/>
              <w:bottom w:val="single" w:color="CCCCCC" w:sz="1"/>
              <w:right w:val="single" w:color="CCCCCC" w:sz="1"/>
            </w:tcBorders>
            <w:shd w:fill="FDE8EC" w:val="clear"/>
            <w:tcMar>
              <w:top w:type="dxa" w:w="60"/>
              <w:left w:type="dxa" w:w="100"/>
              <w:bottom w:type="dxa" w:w="60"/>
              <w:right w:type="dxa" w:w="100"/>
            </w:tcMar>
          </w:tcPr>
          <w:p>
            <w:r>
              <w:rPr>
                <w:rFonts w:ascii="Arial" w:cs="Arial" w:eastAsia="Arial" w:hAnsi="Arial"/>
                <w:b w:val="false"/>
                <w:bCs w:val="false"/>
                <w:color w:val="1A1A2E"/>
                <w:sz w:val="17"/>
                <w:szCs w:val="17"/>
              </w:rPr>
              <w:t xml:space="preserve">Week 8+</w:t>
            </w:r>
          </w:p>
        </w:tc>
      </w:tr>
    </w:tbl>
    <w:p>
      <w:pPr>
        <w:spacing w:after="100"/>
      </w:pPr>
      <w:r>
        <w:rPr>
          <w:rFonts w:ascii="Arial" w:cs="Arial" w:eastAsia="Arial" w:hAnsi="Arial"/>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0D87A" w:sz="1"/>
              <w:left w:val="single" w:color="E0D87A" w:sz="1"/>
              <w:bottom w:val="dotted" w:color="E0D87A" w:sz="1"/>
              <w:right w:val="single" w:color="E0D87A" w:sz="1"/>
            </w:tcBorders>
            <w:shd w:fill="FFFDE7" w:val="clear"/>
            <w:tcMar>
              <w:top w:type="dxa" w:w="40"/>
              <w:left w:type="dxa" w:w="120"/>
              <w:bottom w:type="dxa" w:w="40"/>
              <w:right w:type="dxa" w:w="120"/>
            </w:tcMar>
          </w:tcPr>
          <w:p>
            <w:pPr>
              <w:spacing w:after="20"/>
            </w:pPr>
            <w:r>
              <w:rPr>
                <w:rFonts w:ascii="Arial" w:cs="Arial" w:eastAsia="Arial" w:hAnsi="Arial"/>
                <w:b/>
                <w:bCs/>
                <w:color w:val="B8A000"/>
                <w:sz w:val="17"/>
                <w:szCs w:val="17"/>
              </w:rPr>
              <w:t xml:space="preserve">NOTES:</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r>
        <w:trPr>
          <w:trHeight w:val="400" w:hRule="exact"/>
        </w:trPr>
        <w:tc>
          <w:tcPr>
            <w:tcW w:type="dxa" w:w="9071"/>
            <w:tcBorders>
              <w:top w:val="dotted" w:color="E8E0B0" w:sz="1"/>
              <w:left w:val="single" w:color="E0D87A" w:sz="1"/>
              <w:bottom w:val="dotted" w:color="E8E0B0" w:sz="1"/>
              <w:right w:val="single" w:color="E0D87A" w:sz="1"/>
            </w:tcBorders>
            <w:shd w:fill="FFFDE7" w:val="clear"/>
            <w:tcMar>
              <w:top w:type="dxa" w:w="20"/>
              <w:left w:type="dxa" w:w="120"/>
              <w:bottom w:type="dxa" w:w="20"/>
              <w:right w:type="dxa" w:w="120"/>
            </w:tcMar>
          </w:tcPr>
          <w:p>
            <w:r>
              <w:rPr>
                <w:rFonts w:ascii="Arial" w:cs="Arial" w:eastAsia="Arial" w:hAnsi="Arial"/>
                <w:sz w:val="18"/>
                <w:szCs w:val="18"/>
              </w:rPr>
              <w:t xml:space="preserve"> </w:t>
            </w:r>
          </w:p>
        </w:tc>
      </w:tr>
    </w:tbl>
    <w:p/>
    <w:sectPr>
      <w:headerReference w:type="default" r:id="rId6"/>
      <w:footerReference w:type="default" r:id="rId7"/>
      <w:pgSz w:w="11906" w:h="16838" w:orient="portrait"/>
      <w:pgMar w:top="1134" w:right="170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66666"/>
        <w:sz w:val="15"/>
        <w:szCs w:val="15"/>
      </w:rPr>
      <w:t xml:space="preserve">TRANSFORMER </w:t>
    </w:r>
    <w:r>
      <w:rPr>
        <w:rFonts w:ascii="Arial" w:cs="Arial" w:eastAsia="Arial" w:hAnsi="Arial"/>
        <w:color w:val="E94560"/>
        <w:sz w:val="15"/>
        <w:szCs w:val="15"/>
      </w:rPr>
      <w:t xml:space="preserve">▶ </w:t>
    </w:r>
    <w:r>
      <w:rPr>
        <w:rFonts w:ascii="Arial" w:cs="Arial" w:eastAsia="Arial" w:hAnsi="Arial"/>
        <w:b/>
        <w:bCs/>
        <w:color w:val="0F3460"/>
        <w:sz w:val="15"/>
        <w:szCs w:val="15"/>
      </w:rPr>
      <w:t xml:space="preserve">ENCODER-DECODER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F3460"/>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A1A2E"/>
      <w:sz w:val="23"/>
      <w:szCs w:val="23"/>
    </w:rPr>
  </w:style>
  <w:style w:type="paragraph" w:styleId="Heading3">
    <w:name w:val="Heading 3"/>
    <w:basedOn w:val="Normal"/>
    <w:next w:val="Normal"/>
    <w:qFormat/>
    <w:pPr>
      <w:spacing w:before="160" w:after="80"/>
      <w:outlineLvl w:val="2"/>
    </w:pPr>
    <w:rPr>
      <w:rFonts w:ascii="Arial" w:cs="Arial" w:eastAsia="Arial" w:hAnsi="Arial"/>
      <w:b/>
      <w:bCs/>
      <w:color w:val="E9456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2026-03-14T12:18:34.913Z</dcterms:created>
  <dcterms:modified xsi:type="dcterms:W3CDTF">2026-03-14T12:18:34.913Z</dcterms:modified>
</cp:coreProperties>
</file>

<file path=docProps/custom.xml><?xml version="1.0" encoding="utf-8"?>
<Properties xmlns="http://schemas.openxmlformats.org/officeDocument/2006/custom-properties" xmlns:vt="http://schemas.openxmlformats.org/officeDocument/2006/docPropsVTypes"/>
</file>