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A2E"/>
          <w:sz w:val="40"/>
          <w:szCs w:val="40"/>
        </w:rPr>
        <w:t xml:space="preserve">The Transformer</w:t>
      </w:r>
    </w:p>
    <w:p>
      <w:pPr>
        <w:spacing w:after="60"/>
        <w:jc w:val="center"/>
      </w:pPr>
      <w:r>
        <w:rPr>
          <w:rFonts w:ascii="Arial" w:cs="Arial" w:eastAsia="Arial" w:hAnsi="Arial"/>
          <w:b/>
          <w:bCs/>
          <w:color w:val="0F3460"/>
          <w:sz w:val="32"/>
          <w:szCs w:val="32"/>
        </w:rPr>
        <w:t xml:space="preserve">Complete Calculation Flow</w:t>
      </w:r>
    </w:p>
    <w:p>
      <w:pPr>
        <w:spacing w:after="40"/>
        <w:jc w:val="center"/>
      </w:pPr>
      <w:r>
        <w:rPr>
          <w:rFonts w:ascii="Arial" w:cs="Arial" w:eastAsia="Arial" w:hAnsi="Arial"/>
          <w:i/>
          <w:iCs/>
          <w:color w:val="666666"/>
          <w:sz w:val="20"/>
          <w:szCs w:val="20"/>
        </w:rPr>
        <w:t xml:space="preserve">With Mathematical Formulae, Matrix Dimensions, Properties &amp; Diagnostic Monitors</w:t>
      </w:r>
    </w:p>
    <w:p>
      <w:pPr>
        <w:spacing w:after="300"/>
        <w:jc w:val="center"/>
      </w:pPr>
      <w:r>
        <w:rPr>
          <w:rFonts w:ascii="Arial" w:cs="Arial" w:eastAsia="Arial" w:hAnsi="Arial"/>
          <w:color w:val="666666"/>
          <w:sz w:val="19"/>
          <w:szCs w:val="19"/>
        </w:rPr>
        <w:t xml:space="preserve">Reference Document for Architecture Innovation</w:t>
      </w:r>
    </w:p>
    <w:sdt>
      <w:sdtPr>
        <w:alias w:val="Table of Contents"/>
      </w:sdtPr>
      <w:sdtContent>
        <w:p>
          <w:r>
            <w:fldChar w:fldCharType="begin" w:dirty="true"/>
            <w:instrText xml:space="preserve">TOC \h \o "1-3"</w:instrText>
            <w:fldChar w:fldCharType="separate"/>
          </w:r>
        </w:p>
        <w:p>
          <w:r>
            <w:fldChar w:fldCharType="end"/>
          </w:r>
        </w:p>
      </w:sdtContent>
    </w:sdt>
    <w:r>
      <w:br w:type="page"/>
    </w:r>
    <w:p>
      <w:pPr>
        <w:pStyle w:val="Heading1"/>
      </w:pPr>
      <w:r>
        <w:rPr>
          <w:rFonts w:ascii="Arial" w:cs="Arial" w:eastAsia="Arial" w:hAnsi="Arial"/>
        </w:rPr>
        <w:t xml:space="preserve">Notation &amp; Dimensions</w:t>
      </w:r>
    </w:p>
    <w:p>
      <w:pPr>
        <w:spacing w:after="100" w:line="276"/>
      </w:pPr>
      <w:r>
        <w:rPr>
          <w:rFonts w:ascii="Arial" w:cs="Arial" w:eastAsia="Arial" w:hAnsi="Arial"/>
          <w:color w:val="1A1A2E"/>
          <w:sz w:val="20"/>
          <w:szCs w:val="20"/>
        </w:rPr>
        <w:t xml:space="preserve">Throughout this document, we use consistent notation. All dimensions are tracked explicitly so you can verify tensor shapes at every step — a critical debugging skill when adapting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Symbol</w:t>
            </w:r>
          </w:p>
        </w:tc>
        <w:tc>
          <w:tcPr>
            <w:tcW w:type="dxa" w:w="4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Meaning</w:t>
            </w:r>
          </w:p>
        </w:tc>
        <w:tc>
          <w:tcPr>
            <w:tcW w:type="dxa" w:w="2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Typical Value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bCs/>
                <w:color w:val="1A1A2E"/>
                <w:sz w:val="18"/>
                <w:szCs w:val="18"/>
              </w:rPr>
              <w:t xml:space="preserve">B</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Batch size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32</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bCs/>
                <w:color w:val="1A1A2E"/>
                <w:sz w:val="18"/>
                <w:szCs w:val="18"/>
              </w:rPr>
              <w:t xml:space="preserve">n / seq_len</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Sequence length (number of tokens)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128, 512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bCs/>
                <w:color w:val="1A1A2E"/>
                <w:sz w:val="18"/>
                <w:szCs w:val="18"/>
              </w:rPr>
              <w:t xml:space="preserve">V</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Vocabulary size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30,000–100,000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bCs/>
                <w:color w:val="1A1A2E"/>
                <w:sz w:val="18"/>
                <w:szCs w:val="18"/>
              </w:rPr>
              <w:t xml:space="preserve">d_model</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Model/embedding dimension</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512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bCs/>
                <w:color w:val="1A1A2E"/>
                <w:sz w:val="18"/>
                <w:szCs w:val="18"/>
              </w:rPr>
              <w:t xml:space="preserve">d_k = d_v</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Key/Value dimension per head = d_model / 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64</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bCs/>
                <w:color w:val="1A1A2E"/>
                <w:sz w:val="18"/>
                <w:szCs w:val="18"/>
              </w:rPr>
              <w:t xml:space="preserve">d_ff</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FFN inner dimension (typically 4 × d_model)</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2048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bCs/>
                <w:color w:val="1A1A2E"/>
                <w:sz w:val="18"/>
                <w:szCs w:val="18"/>
              </w:rPr>
              <w:t xml:space="preserve">h</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Number of attention heads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8</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bCs/>
                <w:color w:val="1A1A2E"/>
                <w:sz w:val="18"/>
                <w:szCs w:val="18"/>
              </w:rPr>
              <w:t xml:space="preserve">N</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Number of encoder/decoder blocks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bCs/>
                <w:color w:val="1A1A2E"/>
                <w:sz w:val="18"/>
                <w:szCs w:val="18"/>
              </w:rPr>
              <w:t xml:space="preserve">L</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Number of layers in FFN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2</w:t>
            </w:r>
          </w:p>
        </w:tc>
      </w:tr>
    </w:tbl>
    <w:p>
      <w:pPr>
        <w:spacing w:after="200"/>
      </w:pPr>
    </w:p>
    <w:r>
      <w:br w:type="page"/>
    </w:r>
    <w:p>
      <w:pPr>
        <w:pStyle w:val="Heading1"/>
      </w:pPr>
      <w:r>
        <w:rPr>
          <w:rFonts w:ascii="Arial" w:cs="Arial" w:eastAsia="Arial" w:hAnsi="Arial"/>
        </w:rPr>
        <w:t xml:space="preserve">Step 1: Tokenization</w:t>
      </w:r>
    </w:p>
    <w:p>
      <w:pPr>
        <w:spacing w:after="100" w:line="276"/>
      </w:pPr>
      <w:r>
        <w:rPr>
          <w:rFonts w:ascii="Arial" w:cs="Arial" w:eastAsia="Arial" w:hAnsi="Arial"/>
          <w:color w:val="1A1A2E"/>
          <w:sz w:val="20"/>
          <w:szCs w:val="20"/>
        </w:rPr>
        <w:t xml:space="preserve">The raw input (text, sensor readings, tabular row) is converted into a sequence of integer token IDs. For text, this uses a subword algorithm (BPE, WordPiece). For non-text data, tokenization is an open design choice and often the most important architectural decision.</w:t>
      </w:r>
    </w:p>
    <w:p>
      <w:pPr>
        <w:pStyle w:val="Heading2"/>
      </w:pPr>
      <w:r>
        <w:rPr>
          <w:rFonts w:ascii="Arial" w:cs="Arial" w:eastAsia="Arial" w:hAnsi="Arial"/>
        </w:rPr>
        <w:t xml:space="preserve">1.1 Operation</w:t>
      </w:r>
    </w:p>
    <w:p>
      <w:pPr>
        <w:spacing w:after="100" w:line="276"/>
      </w:pPr>
      <w:r>
        <w:rPr>
          <w:rFonts w:ascii="Arial" w:cs="Arial" w:eastAsia="Arial" w:hAnsi="Arial"/>
          <w:color w:val="1A1A2E"/>
          <w:sz w:val="20"/>
          <w:szCs w:val="20"/>
        </w:rPr>
        <w:t xml:space="preserve">Input string → Tokenizer → Sequence of integer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"The cat sat" → Tokenizer → [412, 2368, 9821]</w:t>
            </w:r>
          </w:p>
          <w:p>
            <w:pPr>
              <w:spacing w:after="60"/>
              <w:jc w:val="center"/>
            </w:pPr>
            <w:r>
              <w:rPr>
                <w:rFonts w:ascii="Courier New" w:cs="Courier New" w:eastAsia="Courier New" w:hAnsi="Courier New"/>
                <w:i/>
                <w:iCs/>
                <w:color w:val="666666"/>
                <w:sz w:val="18"/>
                <w:szCs w:val="18"/>
              </w:rPr>
              <w:t xml:space="preserve">Input: string  →  Output: tensor of shape [B, n] with integer values in [0, V)</w:t>
            </w:r>
          </w:p>
        </w:tc>
      </w:tr>
    </w:tbl>
    <w:p>
      <w:pPr>
        <w:pStyle w:val="Heading2"/>
      </w:pPr>
      <w:r>
        <w:rPr>
          <w:rFonts w:ascii="Arial" w:cs="Arial" w:eastAsia="Arial" w:hAnsi="Arial"/>
        </w:rPr>
        <w:t xml:space="preserve">1.2 Matrix Example</w:t>
      </w:r>
    </w:p>
    <w:p>
      <w:pPr>
        <w:spacing w:after="100" w:line="276"/>
      </w:pPr>
      <w:r>
        <w:rPr>
          <w:rFonts w:ascii="Arial" w:cs="Arial" w:eastAsia="Arial" w:hAnsi="Arial"/>
          <w:color w:val="1A1A2E"/>
          <w:sz w:val="20"/>
          <w:szCs w:val="20"/>
        </w:rPr>
        <w:t xml:space="preserve">For a batch of 2 sentences, each tokenized to 4 tokens:</w:t>
      </w:r>
    </w:p>
    <w:p>
      <w:pPr>
        <w:spacing w:before="80" w:after="40"/>
        <w:jc w:val="center"/>
      </w:pPr>
      <w:r>
        <w:rPr>
          <w:rFonts w:ascii="Arial" w:cs="Arial" w:eastAsia="Arial" w:hAnsi="Arial"/>
          <w:i/>
          <w:iCs/>
          <w:color w:val="666666"/>
          <w:sz w:val="18"/>
          <w:szCs w:val="18"/>
        </w:rPr>
        <w:t xml:space="preserve">Token ID matrix X_tokens</w:t>
      </w:r>
      <w:r>
        <w:rPr>
          <w:rFonts w:ascii="Courier New" w:cs="Courier New" w:eastAsia="Courier New" w:hAnsi="Courier New"/>
          <w:color w:val="666666"/>
          <w:sz w:val="17"/>
          <w:szCs w:val="17"/>
        </w:rPr>
        <w:t xml:space="preserve">  [B=2, n=4]</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412</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2368</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9821</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7744</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553</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12</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9821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 CONCEPT: Tokenization as Architecture</w:t>
            </w:r>
          </w:p>
          <w:p>
            <w:pPr>
              <w:spacing w:after="20"/>
            </w:pPr>
            <w:r>
              <w:rPr>
                <w:rFonts w:ascii="Arial" w:cs="Arial" w:eastAsia="Arial" w:hAnsi="Arial"/>
                <w:color w:val="1A1A2E"/>
                <w:sz w:val="19"/>
                <w:szCs w:val="19"/>
              </w:rPr>
              <w:t xml:space="preserve">For non-text domains, how you tokenize determines what attention can learn. Time series: each timestep as a token (attention learns temporal patterns) vs patches of timesteps (attention learns inter-patch patterns). Tabular data: each feature as a token (attention learns feature interactions). Sensor arrays: each sensor at each timestep (attention learns spatio-temporal correlations). Your tokenization choice is the first architectural decision.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6A4F" w:sz="4"/>
              <w:bottom w:val="none" w:sz="0"/>
              <w:right w:val="none" w:sz="0"/>
            </w:tcBorders>
            <w:shd w:fill="E8F5E9" w:val="clear"/>
            <w:tcMar>
              <w:top w:type="dxa" w:w="40"/>
              <w:left w:type="dxa" w:w="160"/>
              <w:bottom w:type="dxa" w:w="40"/>
              <w:right w:type="dxa" w:w="160"/>
            </w:tcMar>
          </w:tcPr>
          <w:p>
            <w:pPr>
              <w:spacing w:after="20"/>
            </w:pPr>
            <w:r>
              <w:rPr>
                <w:rFonts w:ascii="Arial" w:cs="Arial" w:eastAsia="Arial" w:hAnsi="Arial"/>
                <w:b/>
                <w:bCs/>
                <w:color w:val="2D6A4F"/>
                <w:sz w:val="18"/>
                <w:szCs w:val="18"/>
              </w:rPr>
              <w:t xml:space="preserve">▲ GEOMETRIC: </w:t>
            </w:r>
            <w:r>
              <w:rPr>
                <w:rFonts w:ascii="Arial" w:cs="Arial" w:eastAsia="Arial" w:hAnsi="Arial"/>
                <w:color w:val="1A1A2E"/>
                <w:sz w:val="18"/>
                <w:szCs w:val="18"/>
              </w:rPr>
              <w:t xml:space="preserve">Token IDs are discrete integers with no inherent geometric relationship. The embedding step (next) must create a geometry where similar tokens are close. Before embedding, there is no meaningful distance between token IDs.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75000" w:sz="4"/>
              <w:bottom w:val="none" w:sz="0"/>
              <w:right w:val="none" w:sz="0"/>
            </w:tcBorders>
            <w:shd w:fill="FFF3E0" w:val="clear"/>
            <w:tcMar>
              <w:top w:type="dxa" w:w="40"/>
              <w:left w:type="dxa" w:w="160"/>
              <w:bottom w:type="dxa" w:w="40"/>
              <w:right w:type="dxa" w:w="160"/>
            </w:tcMar>
          </w:tcPr>
          <w:p>
            <w:pPr>
              <w:spacing w:after="20"/>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Vocabulary distribution: some tokens appear far more frequently than others (Zipf's law in language). Rare tokens will have less-trained embeddings. Monitor: histogram of token frequencies in your training data.</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4"/>
              <w:bottom w:val="none" w:sz="0"/>
              <w:right w:val="none" w:sz="0"/>
            </w:tcBorders>
            <w:shd w:fill="FDE8EC" w:val="clear"/>
            <w:tcMar>
              <w:top w:type="dxa" w:w="40"/>
              <w:left w:type="dxa" w:w="160"/>
              <w:bottom w:type="dxa" w:w="40"/>
              <w:right w:type="dxa" w:w="160"/>
            </w:tcMar>
          </w:tcPr>
          <w:p>
            <w:pPr>
              <w:spacing w:after="20"/>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Token IDs are bounded integers in [0, V). No overflow risk here, but V determines the size of the embedding matrix in the next step — large V means large memory footprint (V × d_model parameters).</w:t>
            </w:r>
          </w:p>
        </w:tc>
      </w:tr>
    </w:tbl>
    <w:r>
      <w:br w:type="page"/>
    </w:r>
    <w:p>
      <w:pPr>
        <w:pStyle w:val="Heading1"/>
      </w:pPr>
      <w:r>
        <w:rPr>
          <w:rFonts w:ascii="Arial" w:cs="Arial" w:eastAsia="Arial" w:hAnsi="Arial"/>
        </w:rPr>
        <w:t xml:space="preserve">Step 2: Token Embedding</w:t>
      </w:r>
    </w:p>
    <w:p>
      <w:pPr>
        <w:spacing w:after="100" w:line="276"/>
      </w:pPr>
      <w:r>
        <w:rPr>
          <w:rFonts w:ascii="Arial" w:cs="Arial" w:eastAsia="Arial" w:hAnsi="Arial"/>
          <w:color w:val="1A1A2E"/>
          <w:sz w:val="20"/>
          <w:szCs w:val="20"/>
        </w:rPr>
        <w:t xml:space="preserve">Each token ID is mapped to a dense vector of dimension d_model via a learned embedding matrix. This is a lookup operation (not a matrix multiply) — row i of the embedding matrix is the vector for token i.</w:t>
      </w:r>
    </w:p>
    <w:p>
      <w:pPr>
        <w:pStyle w:val="Heading2"/>
      </w:pPr>
      <w:r>
        <w:rPr>
          <w:rFonts w:ascii="Arial" w:cs="Arial" w:eastAsia="Arial" w:hAnsi="Arial"/>
        </w:rPr>
        <w:t xml:space="preserve">2.1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E</w:t>
            </w:r>
            <w:r>
              <w:rPr>
                <w:rFonts w:ascii="Cambria Math" w:cs="Cambria Math" w:eastAsia="Cambria Math" w:hAnsi="Cambria Math"/>
                <w:color w:val="1A1A2E"/>
                <w:sz w:val="20"/>
                <w:szCs w:val="20"/>
              </w:rPr>
              <w:t xml:space="preserve">token</w:t>
            </w:r>
            <w:r>
              <w:rPr>
                <w:rFonts w:ascii="Cambria Math" w:cs="Cambria Math" w:eastAsia="Cambria Math" w:hAnsi="Cambria Math"/>
                <w:color w:val="1A1A2E"/>
                <w:sz w:val="22"/>
                <w:szCs w:val="22"/>
              </w:rPr>
              <w:t xml:space="preserve"> = W</w:t>
            </w:r>
            <w:r>
              <w:rPr>
                <w:rFonts w:ascii="Cambria Math" w:cs="Cambria Math" w:eastAsia="Cambria Math" w:hAnsi="Cambria Math"/>
                <w:color w:val="1A1A2E"/>
                <w:sz w:val="20"/>
                <w:szCs w:val="20"/>
              </w:rPr>
              <w:t xml:space="preserve">embed</w:t>
            </w:r>
            <w:r>
              <w:rPr>
                <w:rFonts w:ascii="Cambria Math" w:cs="Cambria Math" w:eastAsia="Cambria Math" w:hAnsi="Cambria Math"/>
                <w:color w:val="1A1A2E"/>
                <w:sz w:val="22"/>
                <w:szCs w:val="22"/>
              </w:rPr>
              <w:t xml:space="preserve">[x]      where  W</w:t>
            </w:r>
            <w:r>
              <w:rPr>
                <w:rFonts w:ascii="Cambria Math" w:cs="Cambria Math" w:eastAsia="Cambria Math" w:hAnsi="Cambria Math"/>
                <w:color w:val="1A1A2E"/>
                <w:sz w:val="20"/>
                <w:szCs w:val="20"/>
              </w:rPr>
              <w:t xml:space="preserve">embed</w:t>
            </w:r>
            <w:r>
              <w:rPr>
                <w:rFonts w:ascii="Cambria Math" w:cs="Cambria Math" w:eastAsia="Cambria Math" w:hAnsi="Cambria Math"/>
                <w:color w:val="1A1A2E"/>
                <w:sz w:val="22"/>
                <w:szCs w:val="22"/>
              </w:rPr>
              <w:t xml:space="preserve"> ∈ ℝ</w:t>
            </w:r>
            <w:r>
              <w:rPr>
                <w:rFonts w:ascii="Cambria Math" w:cs="Cambria Math" w:eastAsia="Cambria Math" w:hAnsi="Cambria Math"/>
                <w:color w:val="1A1A2E"/>
                <w:sz w:val="17"/>
                <w:szCs w:val="17"/>
                <w:vertAlign w:val="superscript"/>
              </w:rPr>
              <w:t xml:space="preserve">V × d_model</w:t>
            </w:r>
          </w:p>
          <w:p>
            <w:pPr>
              <w:spacing w:after="60"/>
              <w:jc w:val="center"/>
            </w:pPr>
            <w:r>
              <w:rPr>
                <w:rFonts w:ascii="Courier New" w:cs="Courier New" w:eastAsia="Courier New" w:hAnsi="Courier New"/>
                <w:i/>
                <w:iCs/>
                <w:color w:val="666666"/>
                <w:sz w:val="18"/>
                <w:szCs w:val="18"/>
              </w:rPr>
              <w:t xml:space="preserve">Input: [B, n] integers  →  Output: [B, n, d_model] float tensors</w:t>
            </w:r>
          </w:p>
        </w:tc>
      </w:tr>
    </w:tbl>
    <w:p>
      <w:pPr>
        <w:pStyle w:val="Heading2"/>
      </w:pPr>
      <w:r>
        <w:rPr>
          <w:rFonts w:ascii="Arial" w:cs="Arial" w:eastAsia="Arial" w:hAnsi="Arial"/>
        </w:rPr>
        <w:t xml:space="preserve">2.2 Matrix Example</w:t>
      </w:r>
    </w:p>
    <w:p>
      <w:pPr>
        <w:spacing w:after="100" w:line="276"/>
      </w:pPr>
      <w:r>
        <w:rPr>
          <w:rFonts w:ascii="Arial" w:cs="Arial" w:eastAsia="Arial" w:hAnsi="Arial"/>
          <w:color w:val="1A1A2E"/>
          <w:sz w:val="20"/>
          <w:szCs w:val="20"/>
        </w:rPr>
        <w:t xml:space="preserve">Embedding matrix W_embed (showing first 4 rows of a V=30000, d_model=4 example):</w:t>
      </w:r>
    </w:p>
    <w:p>
      <w:pPr>
        <w:spacing w:before="80" w:after="40"/>
        <w:jc w:val="center"/>
      </w:pPr>
      <w:r>
        <w:rPr>
          <w:rFonts w:ascii="Arial" w:cs="Arial" w:eastAsia="Arial" w:hAnsi="Arial"/>
          <w:i/>
          <w:iCs/>
          <w:color w:val="666666"/>
          <w:sz w:val="18"/>
          <w:szCs w:val="18"/>
        </w:rPr>
        <w:t xml:space="preserve">W_embed</w:t>
      </w:r>
      <w:r>
        <w:rPr>
          <w:rFonts w:ascii="Courier New" w:cs="Courier New" w:eastAsia="Courier New" w:hAnsi="Courier New"/>
          <w:color w:val="666666"/>
          <w:sz w:val="17"/>
          <w:szCs w:val="17"/>
        </w:rPr>
        <w:t xml:space="preserve">  [V, d_model]</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tblGrid>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Token</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d₁</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d₂</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d₃</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d₄</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-0.34</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0.56</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0.01</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0.78</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0.44</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0.65</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0.92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-0.55</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t>
            </w:r>
          </w:p>
        </w:tc>
      </w:tr>
    </w:tbl>
    <w:p>
      <w:pPr>
        <w:spacing w:after="80"/>
      </w:pPr>
    </w:p>
    <w:p>
      <w:pPr>
        <w:spacing w:after="100" w:line="276"/>
      </w:pPr>
      <w:r>
        <w:rPr>
          <w:rFonts w:ascii="Arial" w:cs="Arial" w:eastAsia="Arial" w:hAnsi="Arial"/>
          <w:color w:val="1A1A2E"/>
          <w:sz w:val="20"/>
          <w:szCs w:val="20"/>
        </w:rPr>
        <w:t xml:space="preserve">For token ID 412, the output is row 412 of W_embed. For a sequence [412, 2368, 9821, 1]:</w:t>
      </w:r>
    </w:p>
    <w:p>
      <w:pPr>
        <w:spacing w:before="80" w:after="40"/>
        <w:jc w:val="center"/>
      </w:pPr>
      <w:r>
        <w:rPr>
          <w:rFonts w:ascii="Arial" w:cs="Arial" w:eastAsia="Arial" w:hAnsi="Arial"/>
          <w:i/>
          <w:iCs/>
          <w:color w:val="666666"/>
          <w:sz w:val="18"/>
          <w:szCs w:val="18"/>
        </w:rPr>
        <w:t xml:space="preserve">E_token for one sequence</w:t>
      </w:r>
      <w:r>
        <w:rPr>
          <w:rFonts w:ascii="Courier New" w:cs="Courier New" w:eastAsia="Courier New" w:hAnsi="Courier New"/>
          <w:color w:val="666666"/>
          <w:sz w:val="17"/>
          <w:szCs w:val="17"/>
        </w:rPr>
        <w:t xml:space="preserve">  [n=4, d_model=4]</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tblGrid>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Pos</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d₁</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d₂</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d₃</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d₄</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t₁ (412)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-0.71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0.15</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0.88</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t₂ (2368)</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-0.44</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0.67</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-0.31</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t₃ (9821)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0.91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0.05</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-0.83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0.42</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t₄ (1)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0.78</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0.44</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 CONCEPT: Embedding as Learned Geometry</w:t>
            </w:r>
          </w:p>
          <w:p>
            <w:pPr>
              <w:spacing w:after="20"/>
            </w:pPr>
            <w:r>
              <w:rPr>
                <w:rFonts w:ascii="Arial" w:cs="Arial" w:eastAsia="Arial" w:hAnsi="Arial"/>
                <w:color w:val="1A1A2E"/>
                <w:sz w:val="19"/>
                <w:szCs w:val="19"/>
              </w:rPr>
              <w:t xml:space="preserve">The embedding matrix creates a geometry over your vocabulary. During training, tokens that appear in similar contexts move closer together in this space. The quality of this geometry directly determines what the rest of the model can learn. For domain-specific applications (sensors, finance), consider whether pretrained embeddings exist or if you need to learn from scratch.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6A4F" w:sz="4"/>
              <w:bottom w:val="none" w:sz="0"/>
              <w:right w:val="none" w:sz="0"/>
            </w:tcBorders>
            <w:shd w:fill="E8F5E9" w:val="clear"/>
            <w:tcMar>
              <w:top w:type="dxa" w:w="40"/>
              <w:left w:type="dxa" w:w="160"/>
              <w:bottom w:type="dxa" w:w="40"/>
              <w:right w:type="dxa" w:w="160"/>
            </w:tcMar>
          </w:tcPr>
          <w:p>
            <w:pPr>
              <w:spacing w:after="20"/>
            </w:pPr>
            <w:r>
              <w:rPr>
                <w:rFonts w:ascii="Arial" w:cs="Arial" w:eastAsia="Arial" w:hAnsi="Arial"/>
                <w:b/>
                <w:bCs/>
                <w:color w:val="2D6A4F"/>
                <w:sz w:val="18"/>
                <w:szCs w:val="18"/>
              </w:rPr>
              <w:t xml:space="preserve">▲ GEOMETRIC: </w:t>
            </w:r>
            <w:r>
              <w:rPr>
                <w:rFonts w:ascii="Arial" w:cs="Arial" w:eastAsia="Arial" w:hAnsi="Arial"/>
                <w:color w:val="1A1A2E"/>
                <w:sz w:val="18"/>
                <w:szCs w:val="18"/>
              </w:rPr>
              <w:t xml:space="preserve">Embedding vectors should not collapse to a subspace. Monitor: the rank of the embedding matrix (should be close to d_model). Also monitor the average cosine similarity between random embedding pairs — if it's too high, embeddings are not well-distributed. Ideal: vectors roughly uniformly distributed on a hypersphere. Check by computing the average pairwise cosine similarity (should be near 0 for random pairs).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75000" w:sz="4"/>
              <w:bottom w:val="none" w:sz="0"/>
              <w:right w:val="none" w:sz="0"/>
            </w:tcBorders>
            <w:shd w:fill="FFF3E0" w:val="clear"/>
            <w:tcMar>
              <w:top w:type="dxa" w:w="40"/>
              <w:left w:type="dxa" w:w="160"/>
              <w:bottom w:type="dxa" w:w="40"/>
              <w:right w:type="dxa" w:w="160"/>
            </w:tcMar>
          </w:tcPr>
          <w:p>
            <w:pPr>
              <w:spacing w:after="20"/>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Monitor the norm distribution of embedding vectors: ||E_i||. If some embeddings have much larger norms, they will dominate attention scores. Initial embedding norms are typically ~√d_model due to random initialization. After training, check for outlier norms.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4"/>
              <w:bottom w:val="none" w:sz="0"/>
              <w:right w:val="none" w:sz="0"/>
            </w:tcBorders>
            <w:shd w:fill="FDE8EC" w:val="clear"/>
            <w:tcMar>
              <w:top w:type="dxa" w:w="40"/>
              <w:left w:type="dxa" w:w="160"/>
              <w:bottom w:type="dxa" w:w="40"/>
              <w:right w:type="dxa" w:w="160"/>
            </w:tcMar>
          </w:tcPr>
          <w:p>
            <w:pPr>
              <w:spacing w:after="20"/>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Embedding values are float32 (or float16/bfloat16 in mixed precision). Memory: V × d_model × 4 bytes. For V=50000, d_model=512: ~100MB. This is often the single largest parameter matrix in the model. With float16, it halves.</w:t>
            </w:r>
          </w:p>
        </w:tc>
      </w:tr>
    </w:tbl>
    <w:r>
      <w:br w:type="page"/>
    </w:r>
    <w:p>
      <w:pPr>
        <w:pStyle w:val="Heading1"/>
      </w:pPr>
      <w:r>
        <w:rPr>
          <w:rFonts w:ascii="Arial" w:cs="Arial" w:eastAsia="Arial" w:hAnsi="Arial"/>
        </w:rPr>
        <w:t xml:space="preserve">Step 3: Positional Encoding</w:t>
      </w:r>
    </w:p>
    <w:p>
      <w:pPr>
        <w:spacing w:after="100" w:line="276"/>
      </w:pPr>
      <w:r>
        <w:rPr>
          <w:rFonts w:ascii="Arial" w:cs="Arial" w:eastAsia="Arial" w:hAnsi="Arial"/>
          <w:color w:val="1A1A2E"/>
          <w:sz w:val="20"/>
          <w:szCs w:val="20"/>
        </w:rPr>
        <w:t xml:space="preserve">Self-attention is permutation-invariant — it has no notion of token order. Positional encoding injects position information by adding a position-dependent vector to each token embedding.</w:t>
      </w:r>
    </w:p>
    <w:p>
      <w:pPr>
        <w:pStyle w:val="Heading2"/>
      </w:pPr>
      <w:r>
        <w:rPr>
          <w:rFonts w:ascii="Arial" w:cs="Arial" w:eastAsia="Arial" w:hAnsi="Arial"/>
        </w:rPr>
        <w:t xml:space="preserve">3.1 Sinusoidal Formula (Original Transformer)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PE</w:t>
            </w:r>
            <w:r>
              <w:rPr>
                <w:rFonts w:ascii="Cambria Math" w:cs="Cambria Math" w:eastAsia="Cambria Math" w:hAnsi="Cambria Math"/>
                <w:color w:val="1A1A2E"/>
                <w:sz w:val="20"/>
                <w:szCs w:val="20"/>
              </w:rPr>
              <w:t xml:space="preserve">(pos, 2i)</w:t>
            </w:r>
            <w:r>
              <w:rPr>
                <w:rFonts w:ascii="Cambria Math" w:cs="Cambria Math" w:eastAsia="Cambria Math" w:hAnsi="Cambria Math"/>
                <w:color w:val="1A1A2E"/>
                <w:sz w:val="22"/>
                <w:szCs w:val="22"/>
              </w:rPr>
              <w:t xml:space="preserve"> = sin(pos / 10000</w:t>
            </w:r>
            <w:r>
              <w:rPr>
                <w:rFonts w:ascii="Cambria Math" w:cs="Cambria Math" w:eastAsia="Cambria Math" w:hAnsi="Cambria Math"/>
                <w:color w:val="1A1A2E"/>
                <w:sz w:val="17"/>
                <w:szCs w:val="17"/>
                <w:vertAlign w:val="superscript"/>
              </w:rPr>
              <w:t xml:space="preserve">2i/d_model</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8"/>
                <w:szCs w:val="18"/>
              </w:rPr>
              <w:t xml:space="preserve">For even dimensions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PE</w:t>
            </w:r>
            <w:r>
              <w:rPr>
                <w:rFonts w:ascii="Cambria Math" w:cs="Cambria Math" w:eastAsia="Cambria Math" w:hAnsi="Cambria Math"/>
                <w:color w:val="1A1A2E"/>
                <w:sz w:val="20"/>
                <w:szCs w:val="20"/>
              </w:rPr>
              <w:t xml:space="preserve">(pos, 2i+1)</w:t>
            </w:r>
            <w:r>
              <w:rPr>
                <w:rFonts w:ascii="Cambria Math" w:cs="Cambria Math" w:eastAsia="Cambria Math" w:hAnsi="Cambria Math"/>
                <w:color w:val="1A1A2E"/>
                <w:sz w:val="22"/>
                <w:szCs w:val="22"/>
              </w:rPr>
              <w:t xml:space="preserve"> = cos(pos / 10000</w:t>
            </w:r>
            <w:r>
              <w:rPr>
                <w:rFonts w:ascii="Cambria Math" w:cs="Cambria Math" w:eastAsia="Cambria Math" w:hAnsi="Cambria Math"/>
                <w:color w:val="1A1A2E"/>
                <w:sz w:val="17"/>
                <w:szCs w:val="17"/>
                <w:vertAlign w:val="superscript"/>
              </w:rPr>
              <w:t xml:space="preserve">2i/d_model</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8"/>
                <w:szCs w:val="18"/>
              </w:rPr>
              <w:t xml:space="preserve">For odd dimensions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X = E</w:t>
            </w:r>
            <w:r>
              <w:rPr>
                <w:rFonts w:ascii="Cambria Math" w:cs="Cambria Math" w:eastAsia="Cambria Math" w:hAnsi="Cambria Math"/>
                <w:color w:val="1A1A2E"/>
                <w:sz w:val="20"/>
                <w:szCs w:val="20"/>
              </w:rPr>
              <w:t xml:space="preserve">token</w:t>
            </w:r>
            <w:r>
              <w:rPr>
                <w:rFonts w:ascii="Cambria Math" w:cs="Cambria Math" w:eastAsia="Cambria Math" w:hAnsi="Cambria Math"/>
                <w:color w:val="1A1A2E"/>
                <w:sz w:val="22"/>
                <w:szCs w:val="22"/>
              </w:rPr>
              <w:t xml:space="preserve"> + PE</w:t>
            </w:r>
          </w:p>
          <w:p>
            <w:pPr>
              <w:spacing w:after="60"/>
              <w:jc w:val="center"/>
            </w:pPr>
            <w:r>
              <w:rPr>
                <w:rFonts w:ascii="Courier New" w:cs="Courier New" w:eastAsia="Courier New" w:hAnsi="Courier New"/>
                <w:i/>
                <w:iCs/>
                <w:color w:val="666666"/>
                <w:sz w:val="18"/>
                <w:szCs w:val="18"/>
              </w:rPr>
              <w:t xml:space="preserve">Input: [B, n, d_model] + [n, d_model]  →  Output: [B, n, d_model]</w:t>
            </w:r>
          </w:p>
        </w:tc>
      </w:tr>
    </w:tbl>
    <w:p>
      <w:pPr>
        <w:pStyle w:val="Heading2"/>
      </w:pPr>
      <w:r>
        <w:rPr>
          <w:rFonts w:ascii="Arial" w:cs="Arial" w:eastAsia="Arial" w:hAnsi="Arial"/>
        </w:rPr>
        <w:t xml:space="preserve">3.2 Matrix Example</w:t>
      </w:r>
    </w:p>
    <w:p>
      <w:pPr>
        <w:spacing w:after="100" w:line="276"/>
      </w:pPr>
      <w:r>
        <w:rPr>
          <w:rFonts w:ascii="Arial" w:cs="Arial" w:eastAsia="Arial" w:hAnsi="Arial"/>
          <w:color w:val="1A1A2E"/>
          <w:sz w:val="20"/>
          <w:szCs w:val="20"/>
        </w:rPr>
        <w:t xml:space="preserve">Positional encoding matrix for n=4 positions, d_model=4 (columns alternate sin/cos):</w:t>
      </w:r>
    </w:p>
    <w:p>
      <w:pPr>
        <w:spacing w:before="80" w:after="40"/>
        <w:jc w:val="center"/>
      </w:pPr>
      <w:r>
        <w:rPr>
          <w:rFonts w:ascii="Arial" w:cs="Arial" w:eastAsia="Arial" w:hAnsi="Arial"/>
          <w:i/>
          <w:iCs/>
          <w:color w:val="666666"/>
          <w:sz w:val="18"/>
          <w:szCs w:val="18"/>
        </w:rPr>
        <w:t xml:space="preserve">PE matrix</w:t>
      </w:r>
      <w:r>
        <w:rPr>
          <w:rFonts w:ascii="Courier New" w:cs="Courier New" w:eastAsia="Courier New" w:hAnsi="Courier New"/>
          <w:color w:val="666666"/>
          <w:sz w:val="17"/>
          <w:szCs w:val="17"/>
        </w:rPr>
        <w:t xml:space="preserve">  [n=4, d_model=4]</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tblGrid>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pos</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sin(f₁)</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cos(f₁)</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sin(f₂)</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cos(f₂)</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0.000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1.000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0.000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1.000</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0.841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0.540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0.010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0.999</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0.909</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-0.416</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0.020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0.999</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0.141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-0.990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0.030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0.999</w:t>
            </w:r>
          </w:p>
        </w:tc>
      </w:tr>
    </w:tbl>
    <w:p>
      <w:pPr>
        <w:spacing w:after="80"/>
      </w:pPr>
    </w:p>
    <w:p>
      <w:pPr>
        <w:spacing w:after="100" w:line="276"/>
      </w:pPr>
      <w:r>
        <w:rPr>
          <w:rFonts w:ascii="Arial" w:cs="Arial" w:eastAsia="Arial" w:hAnsi="Arial"/>
          <w:color w:val="1A1A2E"/>
          <w:sz w:val="20"/>
          <w:szCs w:val="20"/>
        </w:rPr>
        <w:t xml:space="preserve">The combined embedding (token + positional):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X = E</w:t>
            </w:r>
            <w:r>
              <w:rPr>
                <w:rFonts w:ascii="Cambria Math" w:cs="Cambria Math" w:eastAsia="Cambria Math" w:hAnsi="Cambria Math"/>
                <w:color w:val="1A1A2E"/>
                <w:sz w:val="20"/>
                <w:szCs w:val="20"/>
              </w:rPr>
              <w:t xml:space="preserve">token</w:t>
            </w:r>
            <w:r>
              <w:rPr>
                <w:rFonts w:ascii="Cambria Math" w:cs="Cambria Math" w:eastAsia="Cambria Math" w:hAnsi="Cambria Math"/>
                <w:color w:val="1A1A2E"/>
                <w:sz w:val="22"/>
                <w:szCs w:val="22"/>
              </w:rPr>
              <w:t xml:space="preserve"> + PE</w:t>
            </w:r>
          </w:p>
          <w:p>
            <w:pPr>
              <w:spacing w:after="60"/>
              <w:jc w:val="center"/>
            </w:pPr>
            <w:r>
              <w:rPr>
                <w:rFonts w:ascii="Courier New" w:cs="Courier New" w:eastAsia="Courier New" w:hAnsi="Courier New"/>
                <w:i/>
                <w:iCs/>
                <w:color w:val="666666"/>
                <w:sz w:val="18"/>
                <w:szCs w:val="18"/>
              </w:rPr>
              <w:t xml:space="preserve">[B, n, d_model] — each token now carries both content and position information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 CONCEPT: Why Sine/Cosine?</w:t>
            </w:r>
          </w:p>
          <w:p>
            <w:pPr>
              <w:spacing w:after="20"/>
            </w:pPr>
            <w:r>
              <w:rPr>
                <w:rFonts w:ascii="Arial" w:cs="Arial" w:eastAsia="Arial" w:hAnsi="Arial"/>
                <w:color w:val="1A1A2E"/>
                <w:sz w:val="19"/>
                <w:szCs w:val="19"/>
              </w:rPr>
              <w:t xml:space="preserve">Three key properties: (1) Each position gets a unique vector. (2) The dot product PE(pos) · PE(pos+k) depends only on k, not on pos — enabling the model to learn relative distances via linear operations. This is because sin(a+b) = sin(a)cos(b) + cos(a)sin(b), so relative offsets can be expressed as linear combinations. (3) The encoding generalizes to sequence lengths not seen during training (unlike learned embeddings which are fixed-size). For non-sequential data (tabular, graph), positional encoding may be unnecessary or even harmful — it imposes an ordering that doesn't exist.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6A4F" w:sz="4"/>
              <w:bottom w:val="none" w:sz="0"/>
              <w:right w:val="none" w:sz="0"/>
            </w:tcBorders>
            <w:shd w:fill="E8F5E9" w:val="clear"/>
            <w:tcMar>
              <w:top w:type="dxa" w:w="40"/>
              <w:left w:type="dxa" w:w="160"/>
              <w:bottom w:type="dxa" w:w="40"/>
              <w:right w:type="dxa" w:w="160"/>
            </w:tcMar>
          </w:tcPr>
          <w:p>
            <w:pPr>
              <w:spacing w:after="20"/>
            </w:pPr>
            <w:r>
              <w:rPr>
                <w:rFonts w:ascii="Arial" w:cs="Arial" w:eastAsia="Arial" w:hAnsi="Arial"/>
                <w:b/>
                <w:bCs/>
                <w:color w:val="2D6A4F"/>
                <w:sz w:val="18"/>
                <w:szCs w:val="18"/>
              </w:rPr>
              <w:t xml:space="preserve">▲ GEOMETRIC: </w:t>
            </w:r>
            <w:r>
              <w:rPr>
                <w:rFonts w:ascii="Arial" w:cs="Arial" w:eastAsia="Arial" w:hAnsi="Arial"/>
                <w:color w:val="1A1A2E"/>
                <w:sz w:val="18"/>
                <w:szCs w:val="18"/>
              </w:rPr>
              <w:t xml:space="preserve">PE vectors lie on a specific manifold determined by the sine/cosine functions. Their norms are constant: ||PE(pos)|| = √(d_model/2) for all positions. After addition, the combined X = E + PE should not dramatically change the norm distribution of embeddings. Monitor: ||X|| should be roughly √(||E||² + ||PE||²) if E and PE are uncorrelated. If ||PE|| ≫ ||E|| or vice versa, one signal drowns out the other. The smoothness of PE matters: adjacent positions should have similar PE vectors (high dot product), distant positions should have lower dot product.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75000" w:sz="4"/>
              <w:bottom w:val="none" w:sz="0"/>
              <w:right w:val="none" w:sz="0"/>
            </w:tcBorders>
            <w:shd w:fill="FFF3E0" w:val="clear"/>
            <w:tcMar>
              <w:top w:type="dxa" w:w="40"/>
              <w:left w:type="dxa" w:w="160"/>
              <w:bottom w:type="dxa" w:w="40"/>
              <w:right w:type="dxa" w:w="160"/>
            </w:tcMar>
          </w:tcPr>
          <w:p>
            <w:pPr>
              <w:spacing w:after="20"/>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After adding PE, check that the mean and variance of X across the embedding dimension are still reasonable. If PE shifts the mean significantly, it can affect the subsequent layer normalization. Monitor: mean(X) and var(X) per position — they should be roughly uniform across positions.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4"/>
              <w:bottom w:val="none" w:sz="0"/>
              <w:right w:val="none" w:sz="0"/>
            </w:tcBorders>
            <w:shd w:fill="FDE8EC" w:val="clear"/>
            <w:tcMar>
              <w:top w:type="dxa" w:w="40"/>
              <w:left w:type="dxa" w:w="160"/>
              <w:bottom w:type="dxa" w:w="40"/>
              <w:right w:type="dxa" w:w="160"/>
            </w:tcMar>
          </w:tcPr>
          <w:p>
            <w:pPr>
              <w:spacing w:after="20"/>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Sine/cosine values are bounded in [-1, 1], so PE itself never causes overflow. But the addition E + PE doubles memory bandwidth (reading both tensors). For very long sequences (n &gt; 10000), PE computation is cheap but storage is [n, d_model] floats. With learned PE, the matrix is [n_max, d_model] and cannot handle n &gt; n_max at inference.</w:t>
            </w:r>
          </w:p>
        </w:tc>
      </w:tr>
    </w:tbl>
    <w:r>
      <w:br w:type="page"/>
    </w:r>
    <w:p>
      <w:pPr>
        <w:pStyle w:val="Heading1"/>
      </w:pPr>
      <w:r>
        <w:rPr>
          <w:rFonts w:ascii="Arial" w:cs="Arial" w:eastAsia="Arial" w:hAnsi="Arial"/>
        </w:rPr>
        <w:t xml:space="preserve">Step 4: Layer Normalization (Pre-Norm)</w:t>
      </w:r>
    </w:p>
    <w:p>
      <w:pPr>
        <w:spacing w:after="100" w:line="276"/>
      </w:pPr>
      <w:r>
        <w:rPr>
          <w:rFonts w:ascii="Arial" w:cs="Arial" w:eastAsia="Arial" w:hAnsi="Arial"/>
          <w:color w:val="1A1A2E"/>
          <w:sz w:val="20"/>
          <w:szCs w:val="20"/>
        </w:rPr>
        <w:t xml:space="preserve">In the modern Pre-LN transformer, layer normalization is applied BEFORE each sub-layer (attention and FFN). It normalizes across the embedding dimension for each token independently, then applies learned scale (γ) and shift (β) parameters.</w:t>
      </w:r>
    </w:p>
    <w:p>
      <w:pPr>
        <w:pStyle w:val="Heading2"/>
      </w:pPr>
      <w:r>
        <w:rPr>
          <w:rFonts w:ascii="Arial" w:cs="Arial" w:eastAsia="Arial" w:hAnsi="Arial"/>
        </w:rPr>
        <w:t xml:space="preserve">4.1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μ = (1/d</w:t>
            </w:r>
            <w:r>
              <w:rPr>
                <w:rFonts w:ascii="Cambria Math" w:cs="Cambria Math" w:eastAsia="Cambria Math" w:hAnsi="Cambria Math"/>
                <w:color w:val="1A1A2E"/>
                <w:sz w:val="20"/>
                <w:szCs w:val="20"/>
              </w:rPr>
              <w:t xml:space="preserve">model</w:t>
            </w:r>
            <w:r>
              <w:rPr>
                <w:rFonts w:ascii="Cambria Math" w:cs="Cambria Math" w:eastAsia="Cambria Math" w:hAnsi="Cambria Math"/>
                <w:color w:val="1A1A2E"/>
                <w:sz w:val="22"/>
                <w:szCs w:val="22"/>
              </w:rPr>
              <w:t xml:space="preserve">) ∑</w:t>
            </w:r>
            <w:r>
              <w:rPr>
                <w:rFonts w:ascii="Cambria Math" w:cs="Cambria Math" w:eastAsia="Cambria Math" w:hAnsi="Cambria Math"/>
                <w:color w:val="1A1A2E"/>
                <w:sz w:val="20"/>
                <w:szCs w:val="20"/>
              </w:rPr>
              <w:t xml:space="preserve">i</w:t>
            </w:r>
            <w:r>
              <w:rPr>
                <w:rFonts w:ascii="Cambria Math" w:cs="Cambria Math" w:eastAsia="Cambria Math" w:hAnsi="Cambria Math"/>
                <w:color w:val="1A1A2E"/>
                <w:sz w:val="22"/>
                <w:szCs w:val="22"/>
              </w:rPr>
              <w:t xml:space="preserve"> x</w:t>
            </w:r>
            <w:r>
              <w:rPr>
                <w:rFonts w:ascii="Cambria Math" w:cs="Cambria Math" w:eastAsia="Cambria Math" w:hAnsi="Cambria Math"/>
                <w:color w:val="1A1A2E"/>
                <w:sz w:val="20"/>
                <w:szCs w:val="20"/>
              </w:rPr>
              <w:t xml:space="preserve">i</w:t>
            </w:r>
            <w:r>
              <w:rPr>
                <w:rFonts w:ascii="Cambria Math" w:cs="Cambria Math" w:eastAsia="Cambria Math" w:hAnsi="Cambria Math"/>
                <w:color w:val="1A1A2E"/>
                <w:sz w:val="22"/>
                <w:szCs w:val="22"/>
              </w:rPr>
              <w:t xml:space="preserve">          σ² = (1/d</w:t>
            </w:r>
            <w:r>
              <w:rPr>
                <w:rFonts w:ascii="Cambria Math" w:cs="Cambria Math" w:eastAsia="Cambria Math" w:hAnsi="Cambria Math"/>
                <w:color w:val="1A1A2E"/>
                <w:sz w:val="20"/>
                <w:szCs w:val="20"/>
              </w:rPr>
              <w:t xml:space="preserve">model</w:t>
            </w:r>
            <w:r>
              <w:rPr>
                <w:rFonts w:ascii="Cambria Math" w:cs="Cambria Math" w:eastAsia="Cambria Math" w:hAnsi="Cambria Math"/>
                <w:color w:val="1A1A2E"/>
                <w:sz w:val="22"/>
                <w:szCs w:val="22"/>
              </w:rPr>
              <w:t xml:space="preserve">) ∑</w:t>
            </w:r>
            <w:r>
              <w:rPr>
                <w:rFonts w:ascii="Cambria Math" w:cs="Cambria Math" w:eastAsia="Cambria Math" w:hAnsi="Cambria Math"/>
                <w:color w:val="1A1A2E"/>
                <w:sz w:val="20"/>
                <w:szCs w:val="20"/>
              </w:rPr>
              <w:t xml:space="preserve">i</w:t>
            </w:r>
            <w:r>
              <w:rPr>
                <w:rFonts w:ascii="Cambria Math" w:cs="Cambria Math" w:eastAsia="Cambria Math" w:hAnsi="Cambria Math"/>
                <w:color w:val="1A1A2E"/>
                <w:sz w:val="22"/>
                <w:szCs w:val="22"/>
              </w:rPr>
              <w:t xml:space="preserve"> (x</w:t>
            </w:r>
            <w:r>
              <w:rPr>
                <w:rFonts w:ascii="Cambria Math" w:cs="Cambria Math" w:eastAsia="Cambria Math" w:hAnsi="Cambria Math"/>
                <w:color w:val="1A1A2E"/>
                <w:sz w:val="20"/>
                <w:szCs w:val="20"/>
              </w:rPr>
              <w:t xml:space="preserve">i</w:t>
            </w:r>
            <w:r>
              <w:rPr>
                <w:rFonts w:ascii="Cambria Math" w:cs="Cambria Math" w:eastAsia="Cambria Math" w:hAnsi="Cambria Math"/>
                <w:color w:val="1A1A2E"/>
                <w:sz w:val="22"/>
                <w:szCs w:val="22"/>
              </w:rPr>
              <w:t xml:space="preserve"> − μ)²</w:t>
            </w:r>
          </w:p>
          <w:p>
            <w:pPr>
              <w:spacing w:after="60"/>
              <w:jc w:val="center"/>
            </w:pPr>
            <w:r>
              <w:rPr>
                <w:rFonts w:ascii="Courier New" w:cs="Courier New" w:eastAsia="Courier New" w:hAnsi="Courier New"/>
                <w:i/>
                <w:iCs/>
                <w:color w:val="666666"/>
                <w:sz w:val="18"/>
                <w:szCs w:val="18"/>
              </w:rPr>
              <w:t xml:space="preserve">Computed per token, across the d_model dimension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LayerNorm(x) = γ ⊙ (x − μ) / √(σ² + ε) + β</w:t>
            </w:r>
          </w:p>
          <w:p>
            <w:pPr>
              <w:spacing w:after="60"/>
              <w:jc w:val="center"/>
            </w:pPr>
            <w:r>
              <w:rPr>
                <w:rFonts w:ascii="Courier New" w:cs="Courier New" w:eastAsia="Courier New" w:hAnsi="Courier New"/>
                <w:i/>
                <w:iCs/>
                <w:color w:val="666666"/>
                <w:sz w:val="18"/>
                <w:szCs w:val="18"/>
              </w:rPr>
              <w:t xml:space="preserve">Input: [B, n, d_model]  →  Output: [B, n, d_model]   |   γ, β ∈ ℝ^d_model (learned)</w:t>
            </w:r>
          </w:p>
        </w:tc>
      </w:tr>
    </w:tbl>
    <w:p>
      <w:pPr>
        <w:pStyle w:val="Heading2"/>
      </w:pPr>
      <w:r>
        <w:rPr>
          <w:rFonts w:ascii="Arial" w:cs="Arial" w:eastAsia="Arial" w:hAnsi="Arial"/>
        </w:rPr>
        <w:t xml:space="preserve">4.2 Numerical Example</w:t>
      </w:r>
    </w:p>
    <w:p>
      <w:pPr>
        <w:spacing w:after="100" w:line="276"/>
      </w:pPr>
      <w:r>
        <w:rPr>
          <w:rFonts w:ascii="Arial" w:cs="Arial" w:eastAsia="Arial" w:hAnsi="Arial"/>
          <w:color w:val="1A1A2E"/>
          <w:sz w:val="20"/>
          <w:szCs w:val="20"/>
        </w:rPr>
        <w:t xml:space="preserve">For one token with d_model=4, values [2.0, -1.0, 0.5, 0.5]:</w:t>
      </w:r>
    </w:p>
    <w:p>
      <w:pPr>
        <w:spacing w:before="80" w:after="40"/>
        <w:jc w:val="center"/>
      </w:pPr>
      <w:r>
        <w:rPr>
          <w:rFonts w:ascii="Arial" w:cs="Arial" w:eastAsia="Arial" w:hAnsi="Arial"/>
          <w:i/>
          <w:iCs/>
          <w:color w:val="666666"/>
          <w:sz w:val="18"/>
          <w:szCs w:val="18"/>
        </w:rPr>
        <w:t xml:space="preserve">LayerNorm step by step</w:t>
      </w:r>
      <w:r>
        <w:rPr>
          <w:rFonts w:ascii="Courier New" w:cs="Courier New" w:eastAsia="Courier New" w:hAnsi="Courier New"/>
          <w:color w:val="666666"/>
          <w:sz w:val="17"/>
          <w:szCs w:val="17"/>
        </w:rPr>
        <w:t xml:space="preserve">  Per-token, across d_model</w:t>
      </w:r>
    </w:p>
    <w:tbl>
      <w:tblPr>
        <w:tblW w:type="dxa" w:w="6999"/>
        <w:jc w:val="center"/>
        <w:tblBorders>
          <w:top w:val="single" w:color="auto" w:sz="4"/>
          <w:left w:val="single" w:color="auto" w:sz="4"/>
          <w:bottom w:val="single" w:color="auto" w:sz="4"/>
          <w:right w:val="single" w:color="auto" w:sz="4"/>
          <w:insideH w:val="single" w:color="auto" w:sz="4"/>
          <w:insideV w:val="single" w:color="auto" w:sz="4"/>
        </w:tblBorders>
      </w:tblPr>
      <w:tblGrid>
        <w:gridCol w:w="2333"/>
        <w:gridCol w:w="2333"/>
        <w:gridCol w:w="2333"/>
      </w:tblGrid>
      <w:tr>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Step</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Calculation</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Result</w:t>
            </w:r>
          </w:p>
        </w:tc>
      </w:tr>
      <w:tr>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Input x</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[2.0, -1.0, 0.5, 0.5]</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t>
            </w:r>
          </w:p>
        </w:tc>
      </w:tr>
      <w:tr>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Mean μ</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(2.0 + (-1.0) + 0.5 + 0.5) / 4</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0.5</w:t>
            </w:r>
          </w:p>
        </w:tc>
      </w:tr>
      <w:tr>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x − μ</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[1.5, -1.5, 0.0, 0.0]</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t>
            </w:r>
          </w:p>
        </w:tc>
      </w:tr>
      <w:tr>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Var σ²</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(1.5² + 1.5² + 0² + 0²) / 4</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1.125</w:t>
            </w:r>
          </w:p>
        </w:tc>
      </w:tr>
      <w:tr>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√(σ²+ε)</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√(1.125 + 1e-5)</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1.0607</w:t>
            </w:r>
          </w:p>
        </w:tc>
      </w:tr>
      <w:tr>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Normalized</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[1.414, -1.414, 0.0, 0.0]</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t>
            </w:r>
          </w:p>
        </w:tc>
      </w:tr>
      <w:tr>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With γ=1,β=0</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[1.414, -1.414, 0.0, 0.0]</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final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 CONCEPT: Normalize Then Reparameterize</w:t>
            </w:r>
          </w:p>
          <w:p>
            <w:pPr>
              <w:spacing w:after="20"/>
            </w:pPr>
            <w:r>
              <w:rPr>
                <w:rFonts w:ascii="Arial" w:cs="Arial" w:eastAsia="Arial" w:hAnsi="Arial"/>
                <w:color w:val="1A1A2E"/>
                <w:sz w:val="19"/>
                <w:szCs w:val="19"/>
              </w:rPr>
              <w:t xml:space="preserve">LayerNorm has two distinct phases. First, normalization: subtract mean, divide by std. This removes the scale and offset of the raw activations, creating a standardized representation. Second, reparameterization: multiply by learned γ, add learned β. This lets the model learn the optimal scale and offset for each dimension. Without γ and β, normalization would constrain the representation too much. Without normalization first, different layers would operate at wildly different scales, making optimization unstable.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6A4F" w:sz="4"/>
              <w:bottom w:val="none" w:sz="0"/>
              <w:right w:val="none" w:sz="0"/>
            </w:tcBorders>
            <w:shd w:fill="E8F5E9" w:val="clear"/>
            <w:tcMar>
              <w:top w:type="dxa" w:w="40"/>
              <w:left w:type="dxa" w:w="160"/>
              <w:bottom w:type="dxa" w:w="40"/>
              <w:right w:type="dxa" w:w="160"/>
            </w:tcMar>
          </w:tcPr>
          <w:p>
            <w:pPr>
              <w:spacing w:after="20"/>
            </w:pPr>
            <w:r>
              <w:rPr>
                <w:rFonts w:ascii="Arial" w:cs="Arial" w:eastAsia="Arial" w:hAnsi="Arial"/>
                <w:b/>
                <w:bCs/>
                <w:color w:val="2D6A4F"/>
                <w:sz w:val="18"/>
                <w:szCs w:val="18"/>
              </w:rPr>
              <w:t xml:space="preserve">▲ GEOMETRIC: </w:t>
            </w:r>
            <w:r>
              <w:rPr>
                <w:rFonts w:ascii="Arial" w:cs="Arial" w:eastAsia="Arial" w:hAnsi="Arial"/>
                <w:color w:val="1A1A2E"/>
                <w:sz w:val="18"/>
                <w:szCs w:val="18"/>
              </w:rPr>
              <w:t xml:space="preserve">LayerNorm projects each token vector onto a hyperplane (by subtracting mean) and then normalizes its length (by dividing by std). This means post-norm vectors have constrained geometry: they lie near a (d_model - 1)-dimensional sphere. This is desirable — it prevents any single dimension from dominating. Monitor: the residual connection (Step 8) adds the pre-norm input back, which breaks this constraint. Check that the residual doesn't undo the normalization benefit by monitoring ||residual|| / ||normalized||.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75000" w:sz="4"/>
              <w:bottom w:val="none" w:sz="0"/>
              <w:right w:val="none" w:sz="0"/>
            </w:tcBorders>
            <w:shd w:fill="FFF3E0" w:val="clear"/>
            <w:tcMar>
              <w:top w:type="dxa" w:w="40"/>
              <w:left w:type="dxa" w:w="160"/>
              <w:bottom w:type="dxa" w:w="40"/>
              <w:right w:type="dxa" w:w="160"/>
            </w:tcMar>
          </w:tcPr>
          <w:p>
            <w:pPr>
              <w:spacing w:after="20"/>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After LayerNorm, each token should have mean ≈ β and std ≈ |γ| across dimensions. Monitor per-layer: (1) pre-norm mean and variance (should be stable across layers, not growing/shrinking). (2) Learned γ values — if they collapse toward 0, the layer is being suppressed. (3) Learned β values — large β means the layer is learning significant bias.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4"/>
              <w:bottom w:val="none" w:sz="0"/>
              <w:right w:val="none" w:sz="0"/>
            </w:tcBorders>
            <w:shd w:fill="FDE8EC" w:val="clear"/>
            <w:tcMar>
              <w:top w:type="dxa" w:w="40"/>
              <w:left w:type="dxa" w:w="160"/>
              <w:bottom w:type="dxa" w:w="40"/>
              <w:right w:type="dxa" w:w="160"/>
            </w:tcMar>
          </w:tcPr>
          <w:p>
            <w:pPr>
              <w:spacing w:after="20"/>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The ε = 1e-5 (or 1e-6) prevents division by zero when variance is tiny. In float16, ε = 1e-5 may underflow — use 1e-3 or compute LayerNorm in float32 even when the rest of the model uses float16. This is a common source of training instability in mixed-precision setups. Monitor: any NaN or Inf in post-norm activations is almost always a LayerNorm numerical issue.</w:t>
            </w:r>
          </w:p>
        </w:tc>
      </w:tr>
    </w:tbl>
    <w:r>
      <w:br w:type="page"/>
    </w:r>
    <w:p>
      <w:pPr>
        <w:pStyle w:val="Heading1"/>
      </w:pPr>
      <w:r>
        <w:rPr>
          <w:rFonts w:ascii="Arial" w:cs="Arial" w:eastAsia="Arial" w:hAnsi="Arial"/>
        </w:rPr>
        <w:t xml:space="preserve">Step 5: Q, K, V Linear Projections</w:t>
      </w:r>
    </w:p>
    <w:p>
      <w:pPr>
        <w:spacing w:after="100" w:line="276"/>
      </w:pPr>
      <w:r>
        <w:rPr>
          <w:rFonts w:ascii="Arial" w:cs="Arial" w:eastAsia="Arial" w:hAnsi="Arial"/>
          <w:color w:val="1A1A2E"/>
          <w:sz w:val="20"/>
          <w:szCs w:val="20"/>
        </w:rPr>
        <w:t xml:space="preserve">The normalized input is projected into three separate spaces: Queries (Q), Keys (K), and Values (V) via learned weight matrices. Each projection extracts a different "aspect" of the input — Q asks questions, K advertises content, V holds the content to be retrieved.</w:t>
      </w:r>
    </w:p>
    <w:p>
      <w:pPr>
        <w:pStyle w:val="Heading2"/>
      </w:pPr>
      <w:r>
        <w:rPr>
          <w:rFonts w:ascii="Arial" w:cs="Arial" w:eastAsia="Arial" w:hAnsi="Arial"/>
        </w:rPr>
        <w:t xml:space="preserve">5.1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Q = X̂ · W</w:t>
            </w:r>
            <w:r>
              <w:rPr>
                <w:rFonts w:ascii="Cambria Math" w:cs="Cambria Math" w:eastAsia="Cambria Math" w:hAnsi="Cambria Math"/>
                <w:color w:val="1A1A2E"/>
                <w:sz w:val="17"/>
                <w:szCs w:val="17"/>
                <w:vertAlign w:val="superscript"/>
              </w:rPr>
              <w:t xml:space="preserve">Q</w:t>
            </w:r>
            <w:r>
              <w:rPr>
                <w:rFonts w:ascii="Cambria Math" w:cs="Cambria Math" w:eastAsia="Cambria Math" w:hAnsi="Cambria Math"/>
                <w:color w:val="1A1A2E"/>
                <w:sz w:val="22"/>
                <w:szCs w:val="22"/>
              </w:rPr>
              <w:t xml:space="preserve">     K = X̂ · W</w:t>
            </w:r>
            <w:r>
              <w:rPr>
                <w:rFonts w:ascii="Cambria Math" w:cs="Cambria Math" w:eastAsia="Cambria Math" w:hAnsi="Cambria Math"/>
                <w:color w:val="1A1A2E"/>
                <w:sz w:val="17"/>
                <w:szCs w:val="17"/>
                <w:vertAlign w:val="superscript"/>
              </w:rPr>
              <w:t xml:space="preserve">K</w:t>
            </w:r>
            <w:r>
              <w:rPr>
                <w:rFonts w:ascii="Cambria Math" w:cs="Cambria Math" w:eastAsia="Cambria Math" w:hAnsi="Cambria Math"/>
                <w:color w:val="1A1A2E"/>
                <w:sz w:val="22"/>
                <w:szCs w:val="22"/>
              </w:rPr>
              <w:t xml:space="preserve">     V = X̂ · W</w:t>
            </w:r>
            <w:r>
              <w:rPr>
                <w:rFonts w:ascii="Cambria Math" w:cs="Cambria Math" w:eastAsia="Cambria Math" w:hAnsi="Cambria Math"/>
                <w:color w:val="1A1A2E"/>
                <w:sz w:val="17"/>
                <w:szCs w:val="17"/>
                <w:vertAlign w:val="superscript"/>
              </w:rPr>
              <w:t xml:space="preserve">V</w:t>
            </w:r>
          </w:p>
          <w:p>
            <w:pPr>
              <w:spacing w:after="60"/>
              <w:jc w:val="center"/>
            </w:pPr>
            <w:r>
              <w:rPr>
                <w:rFonts w:ascii="Courier New" w:cs="Courier New" w:eastAsia="Courier New" w:hAnsi="Courier New"/>
                <w:i/>
                <w:iCs/>
                <w:color w:val="666666"/>
                <w:sz w:val="18"/>
                <w:szCs w:val="18"/>
              </w:rPr>
              <w:t xml:space="preserve">X̂ = LayerNorm(X) ∈ [B, n, d_model]   |   W^Q, W^K, W^V ∈ [d_model, d_model]   |   Q, K, V ∈ [B, n, d_model]</w:t>
            </w:r>
          </w:p>
        </w:tc>
      </w:tr>
    </w:tbl>
    <w:p>
      <w:pPr>
        <w:pStyle w:val="Heading2"/>
      </w:pPr>
      <w:r>
        <w:rPr>
          <w:rFonts w:ascii="Arial" w:cs="Arial" w:eastAsia="Arial" w:hAnsi="Arial"/>
        </w:rPr>
        <w:t xml:space="preserve">5.2 Multi-Head Reshape</w:t>
      </w:r>
    </w:p>
    <w:p>
      <w:pPr>
        <w:spacing w:after="100" w:line="276"/>
      </w:pPr>
      <w:r>
        <w:rPr>
          <w:rFonts w:ascii="Arial" w:cs="Arial" w:eastAsia="Arial" w:hAnsi="Arial"/>
          <w:color w:val="1A1A2E"/>
          <w:sz w:val="20"/>
          <w:szCs w:val="20"/>
        </w:rPr>
        <w:t xml:space="preserve">For h attention heads, the d_model-dimensional Q, K, V are reshaped (not recomputed) into h separate heads, each of dimension d_k = d_model /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Q: [B, n, d</w:t>
            </w:r>
            <w:r>
              <w:rPr>
                <w:rFonts w:ascii="Cambria Math" w:cs="Cambria Math" w:eastAsia="Cambria Math" w:hAnsi="Cambria Math"/>
                <w:color w:val="1A1A2E"/>
                <w:sz w:val="20"/>
                <w:szCs w:val="20"/>
              </w:rPr>
              <w:t xml:space="preserve">model</w:t>
            </w:r>
            <w:r>
              <w:rPr>
                <w:rFonts w:ascii="Cambria Math" w:cs="Cambria Math" w:eastAsia="Cambria Math" w:hAnsi="Cambria Math"/>
                <w:color w:val="1A1A2E"/>
                <w:sz w:val="22"/>
                <w:szCs w:val="22"/>
              </w:rPr>
              <w:t xml:space="preserve">] → [B, n, h, d</w:t>
            </w:r>
            <w:r>
              <w:rPr>
                <w:rFonts w:ascii="Cambria Math" w:cs="Cambria Math" w:eastAsia="Cambria Math" w:hAnsi="Cambria Math"/>
                <w:color w:val="1A1A2E"/>
                <w:sz w:val="20"/>
                <w:szCs w:val="20"/>
              </w:rPr>
              <w:t xml:space="preserve">k</w:t>
            </w:r>
            <w:r>
              <w:rPr>
                <w:rFonts w:ascii="Cambria Math" w:cs="Cambria Math" w:eastAsia="Cambria Math" w:hAnsi="Cambria Math"/>
                <w:color w:val="1A1A2E"/>
                <w:sz w:val="22"/>
                <w:szCs w:val="22"/>
              </w:rPr>
              <w:t xml:space="preserve">] → [B, h, n, d</w:t>
            </w:r>
            <w:r>
              <w:rPr>
                <w:rFonts w:ascii="Cambria Math" w:cs="Cambria Math" w:eastAsia="Cambria Math" w:hAnsi="Cambria Math"/>
                <w:color w:val="1A1A2E"/>
                <w:sz w:val="20"/>
                <w:szCs w:val="20"/>
              </w:rPr>
              <w:t xml:space="preserve">k</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8"/>
                <w:szCs w:val="18"/>
              </w:rPr>
              <w:t xml:space="preserve">Reshape then transpose — no computation, just a view change. Same for K and V.</w:t>
            </w:r>
          </w:p>
        </w:tc>
      </w:tr>
    </w:tbl>
    <w:p>
      <w:pPr>
        <w:pStyle w:val="Heading2"/>
      </w:pPr>
      <w:r>
        <w:rPr>
          <w:rFonts w:ascii="Arial" w:cs="Arial" w:eastAsia="Arial" w:hAnsi="Arial"/>
        </w:rPr>
        <w:t xml:space="preserve">5.3 Matrix Example</w:t>
      </w:r>
    </w:p>
    <w:p>
      <w:pPr>
        <w:spacing w:after="100" w:line="276"/>
      </w:pPr>
      <w:r>
        <w:rPr>
          <w:rFonts w:ascii="Arial" w:cs="Arial" w:eastAsia="Arial" w:hAnsi="Arial"/>
          <w:color w:val="1A1A2E"/>
          <w:sz w:val="20"/>
          <w:szCs w:val="20"/>
        </w:rPr>
        <w:t xml:space="preserve">For d_model=8, h=2 heads, d_k=4. One token's Q projection:</w:t>
      </w:r>
    </w:p>
    <w:p>
      <w:pPr>
        <w:spacing w:before="80" w:after="40"/>
        <w:jc w:val="center"/>
      </w:pPr>
      <w:r>
        <w:rPr>
          <w:rFonts w:ascii="Arial" w:cs="Arial" w:eastAsia="Arial" w:hAnsi="Arial"/>
          <w:i/>
          <w:iCs/>
          <w:color w:val="666666"/>
          <w:sz w:val="18"/>
          <w:szCs w:val="18"/>
        </w:rPr>
        <w:t xml:space="preserve">X̂ for one token</w:t>
      </w:r>
      <w:r>
        <w:rPr>
          <w:rFonts w:ascii="Courier New" w:cs="Courier New" w:eastAsia="Courier New" w:hAnsi="Courier New"/>
          <w:color w:val="666666"/>
          <w:sz w:val="17"/>
          <w:szCs w:val="17"/>
        </w:rPr>
        <w:t xml:space="preserve">  [1, d_model=8]</w:t>
      </w:r>
    </w:p>
    <w:tbl>
      <w:tblPr>
        <w:tblW w:type="dxa" w:w="6993"/>
        <w:jc w:val="center"/>
        <w:tblBorders>
          <w:top w:val="single" w:color="auto" w:sz="4"/>
          <w:left w:val="single" w:color="auto" w:sz="4"/>
          <w:bottom w:val="single" w:color="auto" w:sz="4"/>
          <w:right w:val="single" w:color="auto" w:sz="4"/>
          <w:insideH w:val="single" w:color="auto" w:sz="4"/>
          <w:insideV w:val="single" w:color="auto" w:sz="4"/>
        </w:tblBorders>
      </w:tblPr>
      <w:tblGrid>
        <w:gridCol w:w="777"/>
        <w:gridCol w:w="777"/>
        <w:gridCol w:w="777"/>
        <w:gridCol w:w="777"/>
        <w:gridCol w:w="777"/>
        <w:gridCol w:w="777"/>
        <w:gridCol w:w="777"/>
        <w:gridCol w:w="777"/>
        <w:gridCol w:w="777"/>
      </w:tblGrid>
      <w:tr>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Input X̂</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-0.7</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0.9</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0.5</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0.8</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w:t>
            </w:r>
          </w:p>
        </w:tc>
      </w:tr>
    </w:tbl>
    <w:p>
      <w:pPr>
        <w:spacing w:after="60"/>
      </w:pPr>
    </w:p>
    <w:p>
      <w:pPr>
        <w:spacing w:after="100" w:line="276"/>
      </w:pPr>
      <w:r>
        <w:rPr>
          <w:rFonts w:ascii="Arial" w:cs="Arial" w:eastAsia="Arial" w:hAnsi="Arial"/>
          <w:color w:val="1A1A2E"/>
          <w:sz w:val="20"/>
          <w:szCs w:val="20"/>
        </w:rPr>
        <w:t xml:space="preserve">After W^Q projection and reshape into 2 heads:</w:t>
      </w:r>
    </w:p>
    <w:p>
      <w:pPr>
        <w:spacing w:before="80" w:after="40"/>
        <w:jc w:val="center"/>
      </w:pPr>
      <w:r>
        <w:rPr>
          <w:rFonts w:ascii="Arial" w:cs="Arial" w:eastAsia="Arial" w:hAnsi="Arial"/>
          <w:i/>
          <w:iCs/>
          <w:color w:val="666666"/>
          <w:sz w:val="18"/>
          <w:szCs w:val="18"/>
        </w:rPr>
        <w:t xml:space="preserve">Q reshaped into heads</w:t>
      </w:r>
      <w:r>
        <w:rPr>
          <w:rFonts w:ascii="Courier New" w:cs="Courier New" w:eastAsia="Courier New" w:hAnsi="Courier New"/>
          <w:color w:val="666666"/>
          <w:sz w:val="17"/>
          <w:szCs w:val="17"/>
        </w:rPr>
        <w:t xml:space="preserve">  [h=2, d_k=4]</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tblGrid>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Head 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-0.15</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0.71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0.33</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Head 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-0.28</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0.66</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0.09</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-0.51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 CONCEPT: Heads Split Features, Not Sequence</w:t>
            </w:r>
          </w:p>
          <w:p>
            <w:pPr>
              <w:spacing w:after="20"/>
            </w:pPr>
            <w:r>
              <w:rPr>
                <w:rFonts w:ascii="Arial" w:cs="Arial" w:eastAsia="Arial" w:hAnsi="Arial"/>
                <w:color w:val="1A1A2E"/>
                <w:sz w:val="19"/>
                <w:szCs w:val="19"/>
              </w:rPr>
              <w:t xml:space="preserve">A common misconception: heads do NOT split the sequence (each head sees all tokens). They split the embedding dimension. Head 1 gets dimensions 1–4, Head 2 gets dimensions 5–8. Each head has its own Q/K/V projection operating in a d_k-dimensional subspace. This means each head can learn to attend to different types of relationships. After attention, head outputs are concatenated back to d_model and projected through W^O.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6A4F" w:sz="4"/>
              <w:bottom w:val="none" w:sz="0"/>
              <w:right w:val="none" w:sz="0"/>
            </w:tcBorders>
            <w:shd w:fill="E8F5E9" w:val="clear"/>
            <w:tcMar>
              <w:top w:type="dxa" w:w="40"/>
              <w:left w:type="dxa" w:w="160"/>
              <w:bottom w:type="dxa" w:w="40"/>
              <w:right w:type="dxa" w:w="160"/>
            </w:tcMar>
          </w:tcPr>
          <w:p>
            <w:pPr>
              <w:spacing w:after="20"/>
            </w:pPr>
            <w:r>
              <w:rPr>
                <w:rFonts w:ascii="Arial" w:cs="Arial" w:eastAsia="Arial" w:hAnsi="Arial"/>
                <w:b/>
                <w:bCs/>
                <w:color w:val="2D6A4F"/>
                <w:sz w:val="18"/>
                <w:szCs w:val="18"/>
              </w:rPr>
              <w:t xml:space="preserve">▲ GEOMETRIC: </w:t>
            </w:r>
            <w:r>
              <w:rPr>
                <w:rFonts w:ascii="Arial" w:cs="Arial" w:eastAsia="Arial" w:hAnsi="Arial"/>
                <w:color w:val="1A1A2E"/>
                <w:sz w:val="18"/>
                <w:szCs w:val="18"/>
              </w:rPr>
              <w:t xml:space="preserve">Q and K vectors should be well-distributed in their d_k-dimensional space. If Q and K collapse to similar directions, all attention scores become similar (uniform attention = no discrimination). Monitor: average cosine similarity between Q vectors within a head — if it's high (&gt;0.8), the head isn't differentiating between positions. Also monitor the rank of the Q, K matrices per head — low rank means the head is underutilized.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75000" w:sz="4"/>
              <w:bottom w:val="none" w:sz="0"/>
              <w:right w:val="none" w:sz="0"/>
            </w:tcBorders>
            <w:shd w:fill="FFF3E0" w:val="clear"/>
            <w:tcMar>
              <w:top w:type="dxa" w:w="40"/>
              <w:left w:type="dxa" w:w="160"/>
              <w:bottom w:type="dxa" w:w="40"/>
              <w:right w:type="dxa" w:w="160"/>
            </w:tcMar>
          </w:tcPr>
          <w:p>
            <w:pPr>
              <w:spacing w:after="20"/>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The norms ||Q||, ||K|| directly affect attention scores (since score = Q·K). If norms vary wildly across positions, attention will be dominated by high-norm positions regardless of content. Monitor per-head: std(||Q_i||) and std(||K_i||) across positions. Should be relatively uniform. After training, some heads may develop large Q/K norms — these are "confident" heads.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4"/>
              <w:bottom w:val="none" w:sz="0"/>
              <w:right w:val="none" w:sz="0"/>
            </w:tcBorders>
            <w:shd w:fill="FDE8EC" w:val="clear"/>
            <w:tcMar>
              <w:top w:type="dxa" w:w="40"/>
              <w:left w:type="dxa" w:w="160"/>
              <w:bottom w:type="dxa" w:w="40"/>
              <w:right w:type="dxa" w:w="160"/>
            </w:tcMar>
          </w:tcPr>
          <w:p>
            <w:pPr>
              <w:spacing w:after="20"/>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Three matrix multiplies: X̂ · W^Q, X̂ · W^K, X̂ · W^V. Each is [B×n, d_model] × [d_model, d_model] = O(B·n·d_model²) FLOPs. Total: 3 × O(B·n·d_model²). These projections are the dominant cost when n &lt; d_model. Memory: 3 × d_model² parameters per layer.</w:t>
            </w:r>
          </w:p>
        </w:tc>
      </w:tr>
    </w:tbl>
    <w:r>
      <w:br w:type="page"/>
    </w:r>
    <w:p>
      <w:pPr>
        <w:pStyle w:val="Heading1"/>
      </w:pPr>
      <w:r>
        <w:rPr>
          <w:rFonts w:ascii="Arial" w:cs="Arial" w:eastAsia="Arial" w:hAnsi="Arial"/>
        </w:rPr>
        <w:t xml:space="preserve">Step 6: Scaled Dot-Product Attention</w:t>
      </w:r>
    </w:p>
    <w:p>
      <w:pPr>
        <w:spacing w:after="100" w:line="276"/>
      </w:pPr>
      <w:r>
        <w:rPr>
          <w:rFonts w:ascii="Arial" w:cs="Arial" w:eastAsia="Arial" w:hAnsi="Arial"/>
          <w:color w:val="1A1A2E"/>
          <w:sz w:val="20"/>
          <w:szCs w:val="20"/>
        </w:rPr>
        <w:t xml:space="preserve">The core of the transformer. Each query asks "what should I attend to?" by computing compatibility scores with all keys, normalizing via softmax, and retrieving a weighted combination of values.</w:t>
      </w:r>
    </w:p>
    <w:p>
      <w:pPr>
        <w:pStyle w:val="Heading2"/>
      </w:pPr>
      <w:r>
        <w:rPr>
          <w:rFonts w:ascii="Arial" w:cs="Arial" w:eastAsia="Arial" w:hAnsi="Arial"/>
        </w:rPr>
        <w:t xml:space="preserve">6.1 Complete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Attention(Q, K, V) = softmax(Q · K</w:t>
            </w:r>
            <w:r>
              <w:rPr>
                <w:rFonts w:ascii="Cambria Math" w:cs="Cambria Math" w:eastAsia="Cambria Math" w:hAnsi="Cambria Math"/>
                <w:color w:val="1A1A2E"/>
                <w:sz w:val="17"/>
                <w:szCs w:val="17"/>
                <w:vertAlign w:val="superscript"/>
              </w:rPr>
              <w:t xml:space="preserve">T</w:t>
            </w:r>
            <w:r>
              <w:rPr>
                <w:rFonts w:ascii="Cambria Math" w:cs="Cambria Math" w:eastAsia="Cambria Math" w:hAnsi="Cambria Math"/>
                <w:color w:val="1A1A2E"/>
                <w:sz w:val="22"/>
                <w:szCs w:val="22"/>
              </w:rPr>
              <w:t xml:space="preserve"> / √d</w:t>
            </w:r>
            <w:r>
              <w:rPr>
                <w:rFonts w:ascii="Cambria Math" w:cs="Cambria Math" w:eastAsia="Cambria Math" w:hAnsi="Cambria Math"/>
                <w:color w:val="1A1A2E"/>
                <w:sz w:val="20"/>
                <w:szCs w:val="20"/>
              </w:rPr>
              <w:t xml:space="preserve">k</w:t>
            </w:r>
            <w:r>
              <w:rPr>
                <w:rFonts w:ascii="Cambria Math" w:cs="Cambria Math" w:eastAsia="Cambria Math" w:hAnsi="Cambria Math"/>
                <w:color w:val="1A1A2E"/>
                <w:sz w:val="22"/>
                <w:szCs w:val="22"/>
              </w:rPr>
              <w:t xml:space="preserve">) · V</w:t>
            </w:r>
          </w:p>
          <w:p>
            <w:pPr>
              <w:spacing w:after="60"/>
              <w:jc w:val="center"/>
            </w:pPr>
            <w:r>
              <w:rPr>
                <w:rFonts w:ascii="Courier New" w:cs="Courier New" w:eastAsia="Courier New" w:hAnsi="Courier New"/>
                <w:i/>
                <w:iCs/>
                <w:color w:val="666666"/>
                <w:sz w:val="18"/>
                <w:szCs w:val="18"/>
              </w:rPr>
              <w:t xml:space="preserve">Input: Q [B,h,n,d_k], K [B,h,n,d_k], V [B,h,n,d_k]  →  Output: [B,h,n,d_k]</w:t>
            </w:r>
          </w:p>
        </w:tc>
      </w:tr>
    </w:tbl>
    <w:p>
      <w:pPr>
        <w:pStyle w:val="Heading2"/>
      </w:pPr>
      <w:r>
        <w:rPr>
          <w:rFonts w:ascii="Arial" w:cs="Arial" w:eastAsia="Arial" w:hAnsi="Arial"/>
        </w:rPr>
        <w:t xml:space="preserve">6.2 Step-by-Step Calculation</w:t>
      </w:r>
    </w:p>
    <w:p>
      <w:pPr>
        <w:pStyle w:val="Heading3"/>
      </w:pPr>
      <w:r>
        <w:rPr>
          <w:rFonts w:ascii="Arial" w:cs="Arial" w:eastAsia="Arial" w:hAnsi="Arial"/>
        </w:rPr>
        <w:t xml:space="preserve">Step 6a: Raw Scores = Q · 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S = Q · K</w:t>
            </w:r>
            <w:r>
              <w:rPr>
                <w:rFonts w:ascii="Cambria Math" w:cs="Cambria Math" w:eastAsia="Cambria Math" w:hAnsi="Cambria Math"/>
                <w:color w:val="1A1A2E"/>
                <w:sz w:val="17"/>
                <w:szCs w:val="17"/>
                <w:vertAlign w:val="superscript"/>
              </w:rPr>
              <w:t xml:space="preserve">T</w:t>
            </w:r>
          </w:p>
          <w:p>
            <w:pPr>
              <w:spacing w:after="60"/>
              <w:jc w:val="center"/>
            </w:pPr>
            <w:r>
              <w:rPr>
                <w:rFonts w:ascii="Courier New" w:cs="Courier New" w:eastAsia="Courier New" w:hAnsi="Courier New"/>
                <w:i/>
                <w:iCs/>
                <w:color w:val="666666"/>
                <w:sz w:val="18"/>
                <w:szCs w:val="18"/>
              </w:rPr>
              <w:t xml:space="preserve">S ∈ [B, h, n, n]  — each entry S_ij = dot product of query_i with key_j</w:t>
            </w:r>
          </w:p>
        </w:tc>
      </w:tr>
    </w:tbl>
    <w:p>
      <w:pPr>
        <w:spacing w:after="100" w:line="276"/>
      </w:pPr>
      <w:r>
        <w:rPr>
          <w:rFonts w:ascii="Arial" w:cs="Arial" w:eastAsia="Arial" w:hAnsi="Arial"/>
          <w:color w:val="1A1A2E"/>
          <w:sz w:val="20"/>
          <w:szCs w:val="20"/>
        </w:rPr>
        <w:t xml:space="preserve">Example: 4 tokens, d_k=3, one head:</w:t>
      </w:r>
    </w:p>
    <w:p>
      <w:pPr>
        <w:spacing w:before="80" w:after="40"/>
        <w:jc w:val="center"/>
      </w:pPr>
      <w:r>
        <w:rPr>
          <w:rFonts w:ascii="Arial" w:cs="Arial" w:eastAsia="Arial" w:hAnsi="Arial"/>
          <w:i/>
          <w:iCs/>
          <w:color w:val="666666"/>
          <w:sz w:val="18"/>
          <w:szCs w:val="18"/>
        </w:rPr>
        <w:t xml:space="preserve">Q matrix</w:t>
      </w:r>
      <w:r>
        <w:rPr>
          <w:rFonts w:ascii="Courier New" w:cs="Courier New" w:eastAsia="Courier New" w:hAnsi="Courier New"/>
          <w:color w:val="666666"/>
          <w:sz w:val="17"/>
          <w:szCs w:val="17"/>
        </w:rPr>
        <w:t xml:space="preserve">  [n=4, d_k=3]</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Q</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d₁</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d₂</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d₃</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t₁</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0.5</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t₂</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0.8</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t₃</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0.7</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-0.5</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t₄</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0.9</w:t>
            </w:r>
          </w:p>
        </w:tc>
      </w:tr>
    </w:tbl>
    <w:p>
      <w:pPr>
        <w:spacing w:after="40"/>
      </w:pPr>
    </w:p>
    <w:p>
      <w:pPr>
        <w:spacing w:before="80" w:after="40"/>
        <w:jc w:val="center"/>
      </w:pPr>
      <w:r>
        <w:rPr>
          <w:rFonts w:ascii="Arial" w:cs="Arial" w:eastAsia="Arial" w:hAnsi="Arial"/>
          <w:i/>
          <w:iCs/>
          <w:color w:val="666666"/>
          <w:sz w:val="18"/>
          <w:szCs w:val="18"/>
        </w:rPr>
        <w:t xml:space="preserve">K matrix</w:t>
      </w:r>
      <w:r>
        <w:rPr>
          <w:rFonts w:ascii="Courier New" w:cs="Courier New" w:eastAsia="Courier New" w:hAnsi="Courier New"/>
          <w:color w:val="666666"/>
          <w:sz w:val="17"/>
          <w:szCs w:val="17"/>
        </w:rPr>
        <w:t xml:space="preserve">  [n=4, d_k=3]</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K</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d₁</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d₂</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d₃</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t₁</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0.6</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t₂</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0.9</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t₃</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-0.5</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0.8</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t₄</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0.7</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w:t>
            </w:r>
          </w:p>
        </w:tc>
      </w:tr>
    </w:tbl>
    <w:p>
      <w:pPr>
        <w:spacing w:after="40"/>
      </w:pPr>
    </w:p>
    <w:p>
      <w:pPr>
        <w:spacing w:after="100" w:line="276"/>
      </w:pPr>
      <w:r>
        <w:rPr>
          <w:rFonts w:ascii="Arial" w:cs="Arial" w:eastAsia="Arial" w:hAnsi="Arial"/>
          <w:color w:val="1A1A2E"/>
          <w:sz w:val="20"/>
          <w:szCs w:val="20"/>
        </w:rPr>
        <w:t xml:space="preserve">S = Q · K^T. Each entry: S[i,j] = sum(Q[i,:] * K[j,:])</w:t>
      </w:r>
    </w:p>
    <w:p>
      <w:pPr>
        <w:spacing w:after="100" w:line="276"/>
      </w:pPr>
      <w:r>
        <w:rPr>
          <w:rFonts w:ascii="Arial" w:cs="Arial" w:eastAsia="Arial" w:hAnsi="Arial"/>
          <w:color w:val="1A1A2E"/>
          <w:sz w:val="20"/>
          <w:szCs w:val="20"/>
        </w:rPr>
        <w:t xml:space="preserve">Example: S[1,1] = (0.5)(0.4) + (0.1)(-0.2) + (-0.3)(0.6) = 0.20 - 0.02 - 0.18 = 0.00</w:t>
      </w:r>
    </w:p>
    <w:p>
      <w:pPr>
        <w:spacing w:before="80" w:after="40"/>
        <w:jc w:val="center"/>
      </w:pPr>
      <w:r>
        <w:rPr>
          <w:rFonts w:ascii="Arial" w:cs="Arial" w:eastAsia="Arial" w:hAnsi="Arial"/>
          <w:i/>
          <w:iCs/>
          <w:color w:val="666666"/>
          <w:sz w:val="18"/>
          <w:szCs w:val="18"/>
        </w:rPr>
        <w:t xml:space="preserve">Raw score matrix S = Q·K^T</w:t>
      </w:r>
      <w:r>
        <w:rPr>
          <w:rFonts w:ascii="Courier New" w:cs="Courier New" w:eastAsia="Courier New" w:hAnsi="Courier New"/>
          <w:color w:val="666666"/>
          <w:sz w:val="17"/>
          <w:szCs w:val="17"/>
        </w:rPr>
        <w:t xml:space="preserve">  [n=4, n=4]</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tblGrid>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S</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t₁</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t₂</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t₃</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t₄</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t₁</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-0.17</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-0.46</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0.33</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t₂</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-0.16</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0.58</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0.66</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-0.16</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t₃</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0.44</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-0.35</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0.43</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t₄</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0.24</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0.66</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0.15</w:t>
            </w:r>
          </w:p>
        </w:tc>
      </w:tr>
    </w:tbl>
    <w:p>
      <w:pPr>
        <w:spacing w:after="100"/>
      </w:pPr>
    </w:p>
    <w:p>
      <w:pPr>
        <w:pStyle w:val="Heading3"/>
      </w:pPr>
      <w:r>
        <w:rPr>
          <w:rFonts w:ascii="Arial" w:cs="Arial" w:eastAsia="Arial" w:hAnsi="Arial"/>
        </w:rPr>
        <w:t xml:space="preserve">Step 6b: Scale by √d_k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S</w:t>
            </w:r>
            <w:r>
              <w:rPr>
                <w:rFonts w:ascii="Cambria Math" w:cs="Cambria Math" w:eastAsia="Cambria Math" w:hAnsi="Cambria Math"/>
                <w:color w:val="1A1A2E"/>
                <w:sz w:val="20"/>
                <w:szCs w:val="20"/>
              </w:rPr>
              <w:t xml:space="preserve">scaled</w:t>
            </w:r>
            <w:r>
              <w:rPr>
                <w:rFonts w:ascii="Cambria Math" w:cs="Cambria Math" w:eastAsia="Cambria Math" w:hAnsi="Cambria Math"/>
                <w:color w:val="1A1A2E"/>
                <w:sz w:val="22"/>
                <w:szCs w:val="22"/>
              </w:rPr>
              <w:t xml:space="preserve"> = S / √d</w:t>
            </w:r>
            <w:r>
              <w:rPr>
                <w:rFonts w:ascii="Cambria Math" w:cs="Cambria Math" w:eastAsia="Cambria Math" w:hAnsi="Cambria Math"/>
                <w:color w:val="1A1A2E"/>
                <w:sz w:val="20"/>
                <w:szCs w:val="20"/>
              </w:rPr>
              <w:t xml:space="preserve">k</w:t>
            </w:r>
            <w:r>
              <w:rPr>
                <w:rFonts w:ascii="Cambria Math" w:cs="Cambria Math" w:eastAsia="Cambria Math" w:hAnsi="Cambria Math"/>
                <w:color w:val="1A1A2E"/>
                <w:sz w:val="22"/>
                <w:szCs w:val="22"/>
              </w:rPr>
              <w:t xml:space="preserve"> = S / √3 = S / 1.732</w:t>
            </w:r>
          </w:p>
          <w:p>
            <w:pPr>
              <w:spacing w:after="60"/>
              <w:jc w:val="center"/>
            </w:pPr>
            <w:r>
              <w:rPr>
                <w:rFonts w:ascii="Courier New" w:cs="Courier New" w:eastAsia="Courier New" w:hAnsi="Courier New"/>
                <w:i/>
                <w:iCs/>
                <w:color w:val="666666"/>
                <w:sz w:val="18"/>
                <w:szCs w:val="18"/>
              </w:rPr>
              <w:t xml:space="preserve">Prevents softmax saturation when d_k is large</w:t>
            </w:r>
          </w:p>
        </w:tc>
      </w:tr>
    </w:tbl>
    <w:p>
      <w:pPr>
        <w:spacing w:before="80" w:after="40"/>
        <w:jc w:val="center"/>
      </w:pPr>
      <w:r>
        <w:rPr>
          <w:rFonts w:ascii="Arial" w:cs="Arial" w:eastAsia="Arial" w:hAnsi="Arial"/>
          <w:i/>
          <w:iCs/>
          <w:color w:val="666666"/>
          <w:sz w:val="18"/>
          <w:szCs w:val="18"/>
        </w:rPr>
        <w:t xml:space="preserve">Scaled score matrix</w:t>
      </w:r>
      <w:r>
        <w:rPr>
          <w:rFonts w:ascii="Courier New" w:cs="Courier New" w:eastAsia="Courier New" w:hAnsi="Courier New"/>
          <w:color w:val="666666"/>
          <w:sz w:val="17"/>
          <w:szCs w:val="17"/>
        </w:rPr>
        <w:t xml:space="preserve">  [n=4, n=4]</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tblGrid>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S/√3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t₁</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t₂</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t₃</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t₄</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t₁</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-0.27</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0.19</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t₂</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-0.09</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0.34</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0.38</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-0.09</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t₃</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0.25</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-0.24</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0.25</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t₄</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0.14</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0.38</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0.09</w:t>
            </w:r>
          </w:p>
        </w:tc>
      </w:tr>
    </w:tbl>
    <w:p>
      <w:pPr>
        <w:spacing w:after="100"/>
      </w:pPr>
    </w:p>
    <w:p>
      <w:pPr>
        <w:pStyle w:val="Heading3"/>
      </w:pPr>
      <w:r>
        <w:rPr>
          <w:rFonts w:ascii="Arial" w:cs="Arial" w:eastAsia="Arial" w:hAnsi="Arial"/>
        </w:rPr>
        <w:t xml:space="preserve">Step 6c: Apply Mask (Optional)</w:t>
      </w:r>
    </w:p>
    <w:p>
      <w:pPr>
        <w:spacing w:after="100" w:line="276"/>
      </w:pPr>
      <w:r>
        <w:rPr>
          <w:rFonts w:ascii="Arial" w:cs="Arial" w:eastAsia="Arial" w:hAnsi="Arial"/>
          <w:color w:val="1A1A2E"/>
          <w:sz w:val="20"/>
          <w:szCs w:val="20"/>
        </w:rPr>
        <w:t xml:space="preserve">For causal (decoder) masking: set upper-triangle entries to -∞ before softmax. This prevents position i from attending to positions j &gt;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S</w:t>
            </w:r>
            <w:r>
              <w:rPr>
                <w:rFonts w:ascii="Cambria Math" w:cs="Cambria Math" w:eastAsia="Cambria Math" w:hAnsi="Cambria Math"/>
                <w:color w:val="1A1A2E"/>
                <w:sz w:val="20"/>
                <w:szCs w:val="20"/>
              </w:rPr>
              <w:t xml:space="preserve">masked</w:t>
            </w:r>
            <w:r>
              <w:rPr>
                <w:rFonts w:ascii="Cambria Math" w:cs="Cambria Math" w:eastAsia="Cambria Math" w:hAnsi="Cambria Math"/>
                <w:color w:val="1A1A2E"/>
                <w:sz w:val="22"/>
                <w:szCs w:val="22"/>
              </w:rPr>
              <w:t xml:space="preserve">[i,j] = S</w:t>
            </w:r>
            <w:r>
              <w:rPr>
                <w:rFonts w:ascii="Cambria Math" w:cs="Cambria Math" w:eastAsia="Cambria Math" w:hAnsi="Cambria Math"/>
                <w:color w:val="1A1A2E"/>
                <w:sz w:val="20"/>
                <w:szCs w:val="20"/>
              </w:rPr>
              <w:t xml:space="preserve">scaled</w:t>
            </w:r>
            <w:r>
              <w:rPr>
                <w:rFonts w:ascii="Cambria Math" w:cs="Cambria Math" w:eastAsia="Cambria Math" w:hAnsi="Cambria Math"/>
                <w:color w:val="1A1A2E"/>
                <w:sz w:val="22"/>
                <w:szCs w:val="22"/>
              </w:rPr>
              <w:t xml:space="preserve">[i,j]  if j ≤ i,   else  −∞</w:t>
            </w:r>
          </w:p>
          <w:p>
            <w:pPr>
              <w:spacing w:after="60"/>
              <w:jc w:val="center"/>
            </w:pPr>
            <w:r>
              <w:rPr>
                <w:rFonts w:ascii="Courier New" w:cs="Courier New" w:eastAsia="Courier New" w:hAnsi="Courier New"/>
                <w:i/>
                <w:iCs/>
                <w:color w:val="666666"/>
                <w:sz w:val="18"/>
                <w:szCs w:val="18"/>
              </w:rPr>
              <w:t xml:space="preserve">Causal mask: lower triangle + diagonal = keep,  upper triangle = -∞</w:t>
            </w:r>
          </w:p>
        </w:tc>
      </w:tr>
    </w:tbl>
    <w:p>
      <w:pPr>
        <w:spacing w:before="80" w:after="40"/>
        <w:jc w:val="center"/>
      </w:pPr>
      <w:r>
        <w:rPr>
          <w:rFonts w:ascii="Arial" w:cs="Arial" w:eastAsia="Arial" w:hAnsi="Arial"/>
          <w:i/>
          <w:iCs/>
          <w:color w:val="666666"/>
          <w:sz w:val="18"/>
          <w:szCs w:val="18"/>
        </w:rPr>
        <w:t xml:space="preserve">After causal mask applied</w:t>
      </w:r>
      <w:r>
        <w:rPr>
          <w:rFonts w:ascii="Courier New" w:cs="Courier New" w:eastAsia="Courier New" w:hAnsi="Courier New"/>
          <w:color w:val="666666"/>
          <w:sz w:val="17"/>
          <w:szCs w:val="17"/>
        </w:rPr>
        <w:t xml:space="preserve">  [n=4, n=4]</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tblGrid>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Masked</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t₁</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t₂</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t₃</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t₄</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t₁</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t₂</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-0.09</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0.34</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t₃</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0.25</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-0.24</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t₄</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0.14</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0.38</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0.09</w:t>
            </w:r>
          </w:p>
        </w:tc>
      </w:tr>
    </w:tbl>
    <w:p>
      <w:pPr>
        <w:spacing w:after="100"/>
      </w:pPr>
    </w:p>
    <w:p>
      <w:pPr>
        <w:pStyle w:val="Heading3"/>
      </w:pPr>
      <w:r>
        <w:rPr>
          <w:rFonts w:ascii="Arial" w:cs="Arial" w:eastAsia="Arial" w:hAnsi="Arial"/>
        </w:rPr>
        <w:t xml:space="preserve">Step 6d: Softmax (Row-wise)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A</w:t>
            </w:r>
            <w:r>
              <w:rPr>
                <w:rFonts w:ascii="Cambria Math" w:cs="Cambria Math" w:eastAsia="Cambria Math" w:hAnsi="Cambria Math"/>
                <w:color w:val="1A1A2E"/>
                <w:sz w:val="20"/>
                <w:szCs w:val="20"/>
              </w:rPr>
              <w:t xml:space="preserve">ij</w:t>
            </w:r>
            <w:r>
              <w:rPr>
                <w:rFonts w:ascii="Cambria Math" w:cs="Cambria Math" w:eastAsia="Cambria Math" w:hAnsi="Cambria Math"/>
                <w:color w:val="1A1A2E"/>
                <w:sz w:val="22"/>
                <w:szCs w:val="22"/>
              </w:rPr>
              <w:t xml:space="preserve"> = exp(S</w:t>
            </w:r>
            <w:r>
              <w:rPr>
                <w:rFonts w:ascii="Cambria Math" w:cs="Cambria Math" w:eastAsia="Cambria Math" w:hAnsi="Cambria Math"/>
                <w:color w:val="1A1A2E"/>
                <w:sz w:val="20"/>
                <w:szCs w:val="20"/>
              </w:rPr>
              <w:t xml:space="preserve">ij</w:t>
            </w:r>
            <w:r>
              <w:rPr>
                <w:rFonts w:ascii="Cambria Math" w:cs="Cambria Math" w:eastAsia="Cambria Math" w:hAnsi="Cambria Math"/>
                <w:color w:val="1A1A2E"/>
                <w:sz w:val="22"/>
                <w:szCs w:val="22"/>
              </w:rPr>
              <w:t xml:space="preserve">) / ∑</w:t>
            </w:r>
            <w:r>
              <w:rPr>
                <w:rFonts w:ascii="Cambria Math" w:cs="Cambria Math" w:eastAsia="Cambria Math" w:hAnsi="Cambria Math"/>
                <w:color w:val="1A1A2E"/>
                <w:sz w:val="20"/>
                <w:szCs w:val="20"/>
              </w:rPr>
              <w:t xml:space="preserve">k</w:t>
            </w:r>
            <w:r>
              <w:rPr>
                <w:rFonts w:ascii="Cambria Math" w:cs="Cambria Math" w:eastAsia="Cambria Math" w:hAnsi="Cambria Math"/>
                <w:color w:val="1A1A2E"/>
                <w:sz w:val="22"/>
                <w:szCs w:val="22"/>
              </w:rPr>
              <w:t xml:space="preserve"> exp(S</w:t>
            </w:r>
            <w:r>
              <w:rPr>
                <w:rFonts w:ascii="Cambria Math" w:cs="Cambria Math" w:eastAsia="Cambria Math" w:hAnsi="Cambria Math"/>
                <w:color w:val="1A1A2E"/>
                <w:sz w:val="20"/>
                <w:szCs w:val="20"/>
              </w:rPr>
              <w:t xml:space="preserve">ik</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8"/>
                <w:szCs w:val="18"/>
              </w:rPr>
              <w:t xml:space="preserve">Applied independently to each row. Each row sums to 1.0. e^(-∞) = 0.</w:t>
            </w:r>
          </w:p>
        </w:tc>
      </w:tr>
    </w:tbl>
    <w:p>
      <w:pPr>
        <w:spacing w:after="100" w:line="276"/>
      </w:pPr>
      <w:r>
        <w:rPr>
          <w:rFonts w:ascii="Arial" w:cs="Arial" w:eastAsia="Arial" w:hAnsi="Arial"/>
          <w:color w:val="1A1A2E"/>
          <w:sz w:val="20"/>
          <w:szCs w:val="20"/>
        </w:rPr>
        <w:t xml:space="preserve">Without masking (encoder-style):</w:t>
      </w:r>
    </w:p>
    <w:p>
      <w:pPr>
        <w:spacing w:before="80" w:after="40"/>
        <w:jc w:val="center"/>
      </w:pPr>
      <w:r>
        <w:rPr>
          <w:rFonts w:ascii="Arial" w:cs="Arial" w:eastAsia="Arial" w:hAnsi="Arial"/>
          <w:i/>
          <w:iCs/>
          <w:color w:val="666666"/>
          <w:sz w:val="18"/>
          <w:szCs w:val="18"/>
        </w:rPr>
        <w:t xml:space="preserve">Attention weights (no mask)</w:t>
      </w:r>
      <w:r>
        <w:rPr>
          <w:rFonts w:ascii="Courier New" w:cs="Courier New" w:eastAsia="Courier New" w:hAnsi="Courier New"/>
          <w:color w:val="666666"/>
          <w:sz w:val="17"/>
          <w:szCs w:val="17"/>
        </w:rPr>
        <w:t xml:space="preserve">  [n=4, n=4] — each row sums to 1.0</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tblGrid>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A</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t₁</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t₂</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t₃</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t₄</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t₁</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0.26</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0.31</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t₂</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0.34</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0.21</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t₃</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0.19</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0.18</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0.30</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t₄</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0.26</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0.25</w:t>
            </w:r>
          </w:p>
        </w:tc>
      </w:tr>
    </w:tbl>
    <w:p>
      <w:pPr>
        <w:spacing w:after="60"/>
      </w:pPr>
    </w:p>
    <w:p>
      <w:pPr>
        <w:spacing w:after="100" w:line="276"/>
      </w:pPr>
      <w:r>
        <w:rPr>
          <w:rFonts w:ascii="Arial" w:cs="Arial" w:eastAsia="Arial" w:hAnsi="Arial"/>
          <w:color w:val="1A1A2E"/>
          <w:sz w:val="20"/>
          <w:szCs w:val="20"/>
        </w:rPr>
        <w:t xml:space="preserve">With causal masking (decoder-style):</w:t>
      </w:r>
    </w:p>
    <w:p>
      <w:pPr>
        <w:spacing w:before="80" w:after="40"/>
        <w:jc w:val="center"/>
      </w:pPr>
      <w:r>
        <w:rPr>
          <w:rFonts w:ascii="Arial" w:cs="Arial" w:eastAsia="Arial" w:hAnsi="Arial"/>
          <w:i/>
          <w:iCs/>
          <w:color w:val="666666"/>
          <w:sz w:val="18"/>
          <w:szCs w:val="18"/>
        </w:rPr>
        <w:t xml:space="preserve">Attention weights (causal mask)</w:t>
      </w:r>
      <w:r>
        <w:rPr>
          <w:rFonts w:ascii="Courier New" w:cs="Courier New" w:eastAsia="Courier New" w:hAnsi="Courier New"/>
          <w:color w:val="666666"/>
          <w:sz w:val="17"/>
          <w:szCs w:val="17"/>
        </w:rPr>
        <w:t xml:space="preserve">  [n=4, n=4] — upper triangle zeroed, rows still sum to 1.0</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tblGrid>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A</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t₁</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t₂</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t₃</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t₄</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t₁</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1.00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0.00</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t₂</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0.39</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0.61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0.00</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t₃</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0.26</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0.00</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t₄</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0.26</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0.25</w:t>
            </w:r>
          </w:p>
        </w:tc>
      </w:tr>
    </w:tbl>
    <w:p>
      <w:pPr>
        <w:spacing w:after="100"/>
      </w:pPr>
    </w:p>
    <w:p>
      <w:pPr>
        <w:pStyle w:val="Heading3"/>
      </w:pPr>
      <w:r>
        <w:rPr>
          <w:rFonts w:ascii="Arial" w:cs="Arial" w:eastAsia="Arial" w:hAnsi="Arial"/>
        </w:rPr>
        <w:t xml:space="preserve">Step 6e: Weighted Sum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Output = A · V</w:t>
            </w:r>
          </w:p>
          <w:p>
            <w:pPr>
              <w:spacing w:after="60"/>
              <w:jc w:val="center"/>
            </w:pPr>
            <w:r>
              <w:rPr>
                <w:rFonts w:ascii="Courier New" w:cs="Courier New" w:eastAsia="Courier New" w:hAnsi="Courier New"/>
                <w:i/>
                <w:iCs/>
                <w:color w:val="666666"/>
                <w:sz w:val="18"/>
                <w:szCs w:val="18"/>
              </w:rPr>
              <w:t xml:space="preserve">A ∈ [B,h,n,n]  ×  V ∈ [B,h,n,d_k]  →  Output ∈ [B,h,n,d_k]</w:t>
            </w:r>
          </w:p>
        </w:tc>
      </w:tr>
    </w:tbl>
    <w:p>
      <w:pPr>
        <w:spacing w:after="100" w:line="276"/>
      </w:pPr>
      <w:r>
        <w:rPr>
          <w:rFonts w:ascii="Arial" w:cs="Arial" w:eastAsia="Arial" w:hAnsi="Arial"/>
          <w:color w:val="1A1A2E"/>
          <w:sz w:val="20"/>
          <w:szCs w:val="20"/>
        </w:rPr>
        <w:t xml:space="preserve">Each output token is a weighted average of all value vectors, with weights from the attention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out</w:t>
            </w:r>
            <w:r>
              <w:rPr>
                <w:rFonts w:ascii="Cambria Math" w:cs="Cambria Math" w:eastAsia="Cambria Math" w:hAnsi="Cambria Math"/>
                <w:color w:val="1A1A2E"/>
                <w:sz w:val="20"/>
                <w:szCs w:val="20"/>
              </w:rPr>
              <w:t xml:space="preserve">i</w:t>
            </w:r>
            <w:r>
              <w:rPr>
                <w:rFonts w:ascii="Cambria Math" w:cs="Cambria Math" w:eastAsia="Cambria Math" w:hAnsi="Cambria Math"/>
                <w:color w:val="1A1A2E"/>
                <w:sz w:val="22"/>
                <w:szCs w:val="22"/>
              </w:rPr>
              <w:t xml:space="preserve"> = ∑</w:t>
            </w:r>
            <w:r>
              <w:rPr>
                <w:rFonts w:ascii="Cambria Math" w:cs="Cambria Math" w:eastAsia="Cambria Math" w:hAnsi="Cambria Math"/>
                <w:color w:val="1A1A2E"/>
                <w:sz w:val="20"/>
                <w:szCs w:val="20"/>
              </w:rPr>
              <w:t xml:space="preserve">j</w:t>
            </w:r>
            <w:r>
              <w:rPr>
                <w:rFonts w:ascii="Cambria Math" w:cs="Cambria Math" w:eastAsia="Cambria Math" w:hAnsi="Cambria Math"/>
                <w:color w:val="1A1A2E"/>
                <w:sz w:val="22"/>
                <w:szCs w:val="22"/>
              </w:rPr>
              <w:t xml:space="preserve"> A</w:t>
            </w:r>
            <w:r>
              <w:rPr>
                <w:rFonts w:ascii="Cambria Math" w:cs="Cambria Math" w:eastAsia="Cambria Math" w:hAnsi="Cambria Math"/>
                <w:color w:val="1A1A2E"/>
                <w:sz w:val="20"/>
                <w:szCs w:val="20"/>
              </w:rPr>
              <w:t xml:space="preserve">ij</w:t>
            </w:r>
            <w:r>
              <w:rPr>
                <w:rFonts w:ascii="Cambria Math" w:cs="Cambria Math" w:eastAsia="Cambria Math" w:hAnsi="Cambria Math"/>
                <w:color w:val="1A1A2E"/>
                <w:sz w:val="22"/>
                <w:szCs w:val="22"/>
              </w:rPr>
              <w:t xml:space="preserve"> · V</w:t>
            </w:r>
            <w:r>
              <w:rPr>
                <w:rFonts w:ascii="Cambria Math" w:cs="Cambria Math" w:eastAsia="Cambria Math" w:hAnsi="Cambria Math"/>
                <w:color w:val="1A1A2E"/>
                <w:sz w:val="20"/>
                <w:szCs w:val="20"/>
              </w:rPr>
              <w:t xml:space="preserve">j</w:t>
            </w:r>
          </w:p>
          <w:p>
            <w:pPr>
              <w:spacing w:after="60"/>
              <w:jc w:val="center"/>
            </w:pPr>
            <w:r>
              <w:rPr>
                <w:rFonts w:ascii="Courier New" w:cs="Courier New" w:eastAsia="Courier New" w:hAnsi="Courier New"/>
                <w:i/>
                <w:iCs/>
                <w:color w:val="666666"/>
                <w:sz w:val="18"/>
                <w:szCs w:val="18"/>
              </w:rPr>
              <w:t xml:space="preserve">Token i's output = sum of all value vectors weighted by how much i attends to each j</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 CONCEPT: What Attention Actually Computes</w:t>
            </w:r>
          </w:p>
          <w:p>
            <w:pPr>
              <w:spacing w:after="20"/>
            </w:pPr>
            <w:r>
              <w:rPr>
                <w:rFonts w:ascii="Arial" w:cs="Arial" w:eastAsia="Arial" w:hAnsi="Arial"/>
                <w:color w:val="1A1A2E"/>
                <w:sz w:val="19"/>
                <w:szCs w:val="19"/>
              </w:rPr>
              <w:t xml:space="preserve">Attention is a soft dictionary lookup. Q says 'what am I looking for', K says 'what do I contain', the dot product measures compatibility, softmax normalizes to a probability distribution, and V provides the actual content to retrieve. The output for each token is a blend of all value vectors, weighted by relevance. In self-attention, this means each token's output is influenced by every other token — creating contextualized representations where the same word gets different representations depending on its context.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6A4F" w:sz="4"/>
              <w:bottom w:val="none" w:sz="0"/>
              <w:right w:val="none" w:sz="0"/>
            </w:tcBorders>
            <w:shd w:fill="E8F5E9" w:val="clear"/>
            <w:tcMar>
              <w:top w:type="dxa" w:w="40"/>
              <w:left w:type="dxa" w:w="160"/>
              <w:bottom w:type="dxa" w:w="40"/>
              <w:right w:type="dxa" w:w="160"/>
            </w:tcMar>
          </w:tcPr>
          <w:p>
            <w:pPr>
              <w:spacing w:after="20"/>
            </w:pPr>
            <w:r>
              <w:rPr>
                <w:rFonts w:ascii="Arial" w:cs="Arial" w:eastAsia="Arial" w:hAnsi="Arial"/>
                <w:b/>
                <w:bCs/>
                <w:color w:val="2D6A4F"/>
                <w:sz w:val="18"/>
                <w:szCs w:val="18"/>
              </w:rPr>
              <w:t xml:space="preserve">▲ GEOMETRIC: </w:t>
            </w:r>
            <w:r>
              <w:rPr>
                <w:rFonts w:ascii="Arial" w:cs="Arial" w:eastAsia="Arial" w:hAnsi="Arial"/>
                <w:color w:val="1A1A2E"/>
                <w:sz w:val="18"/>
                <w:szCs w:val="18"/>
              </w:rPr>
              <w:t xml:space="preserve">Attention weights define a geometry over tokens. Monitor the entropy of each attention row: H = -∑ A_ij log(A_ij). High entropy = uniform attention (not discriminating). Low entropy = peaked attention (strong preference). Very low entropy across all heads = the model may be "collapsing" to always attending to a few positions. Per-head entropy should vary — some heads should be broad, some focused. Also monitor: output vectors after attention should not all converge to the same vector (representation collapse).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75000" w:sz="4"/>
              <w:bottom w:val="none" w:sz="0"/>
              <w:right w:val="none" w:sz="0"/>
            </w:tcBorders>
            <w:shd w:fill="FFF3E0" w:val="clear"/>
            <w:tcMar>
              <w:top w:type="dxa" w:w="40"/>
              <w:left w:type="dxa" w:w="160"/>
              <w:bottom w:type="dxa" w:w="40"/>
              <w:right w:type="dxa" w:w="160"/>
            </w:tcMar>
          </w:tcPr>
          <w:p>
            <w:pPr>
              <w:spacing w:after="20"/>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Attention weight distribution per row should be meaningful, not uniform or one-hot. Monitor per head per layer: (1) average entropy of attention distributions, (2) maximum attention weight (if consistently &gt;0.9, the head is almost-hard attention), (3) attention to [CLS] or first token (some heads learn to "park" attention on a default token). Also: the mean and variance of the output should be tracked — if attention averages many values, variance decreases.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4"/>
              <w:bottom w:val="none" w:sz="0"/>
              <w:right w:val="none" w:sz="0"/>
            </w:tcBorders>
            <w:shd w:fill="FDE8EC" w:val="clear"/>
            <w:tcMar>
              <w:top w:type="dxa" w:w="40"/>
              <w:left w:type="dxa" w:w="160"/>
              <w:bottom w:type="dxa" w:w="40"/>
              <w:right w:type="dxa" w:w="160"/>
            </w:tcMar>
          </w:tcPr>
          <w:p>
            <w:pPr>
              <w:spacing w:after="20"/>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The Q·K^T computation is O(n²·d_k) per head — this is the quadratic bottleneck. For n=512, d_k=64: 512²×64 = 16.7M multiplies per head. The scaling by 1/√d_k is critical: without it, for d_k=64, dot products have variance ~64, pushing softmax into saturation. Softmax numerical stability: subtract max(S_row) before exp() to prevent overflow. PyTorch does this automatically. In float16, attention scores &gt; 65504 will overflow to Inf.</w:t>
            </w:r>
          </w:p>
        </w:tc>
      </w:tr>
    </w:tbl>
    <w:r>
      <w:br w:type="page"/>
    </w:r>
    <w:p>
      <w:pPr>
        <w:pStyle w:val="Heading1"/>
      </w:pPr>
      <w:r>
        <w:rPr>
          <w:rFonts w:ascii="Arial" w:cs="Arial" w:eastAsia="Arial" w:hAnsi="Arial"/>
        </w:rPr>
        <w:t xml:space="preserve">Step 7: Multi-Head Concatenation &amp; Output Projection</w:t>
      </w:r>
    </w:p>
    <w:p>
      <w:pPr>
        <w:spacing w:after="100" w:line="276"/>
      </w:pPr>
      <w:r>
        <w:rPr>
          <w:rFonts w:ascii="Arial" w:cs="Arial" w:eastAsia="Arial" w:hAnsi="Arial"/>
          <w:color w:val="1A1A2E"/>
          <w:sz w:val="20"/>
          <w:szCs w:val="20"/>
        </w:rPr>
        <w:t xml:space="preserve">The outputs from all attention heads are concatenated along the feature dimension and projected through a final linear layer.</w:t>
      </w:r>
    </w:p>
    <w:p>
      <w:pPr>
        <w:pStyle w:val="Heading2"/>
      </w:pPr>
      <w:r>
        <w:rPr>
          <w:rFonts w:ascii="Arial" w:cs="Arial" w:eastAsia="Arial" w:hAnsi="Arial"/>
        </w:rPr>
        <w:t xml:space="preserve">7.1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MultiHead(Q,K,V) = Concat(head</w:t>
            </w:r>
            <w:r>
              <w:rPr>
                <w:rFonts w:ascii="Cambria Math" w:cs="Cambria Math" w:eastAsia="Cambria Math" w:hAnsi="Cambria Math"/>
                <w:color w:val="1A1A2E"/>
                <w:sz w:val="20"/>
                <w:szCs w:val="20"/>
              </w:rPr>
              <w:t xml:space="preserve">1</w:t>
            </w:r>
            <w:r>
              <w:rPr>
                <w:rFonts w:ascii="Cambria Math" w:cs="Cambria Math" w:eastAsia="Cambria Math" w:hAnsi="Cambria Math"/>
                <w:color w:val="1A1A2E"/>
                <w:sz w:val="22"/>
                <w:szCs w:val="22"/>
              </w:rPr>
              <w:t xml:space="preserve">, ..., head</w:t>
            </w:r>
            <w:r>
              <w:rPr>
                <w:rFonts w:ascii="Cambria Math" w:cs="Cambria Math" w:eastAsia="Cambria Math" w:hAnsi="Cambria Math"/>
                <w:color w:val="1A1A2E"/>
                <w:sz w:val="20"/>
                <w:szCs w:val="20"/>
              </w:rPr>
              <w:t xml:space="preserve">h</w:t>
            </w:r>
            <w:r>
              <w:rPr>
                <w:rFonts w:ascii="Cambria Math" w:cs="Cambria Math" w:eastAsia="Cambria Math" w:hAnsi="Cambria Math"/>
                <w:color w:val="1A1A2E"/>
                <w:sz w:val="22"/>
                <w:szCs w:val="22"/>
              </w:rPr>
              <w:t xml:space="preserve">) · W</w:t>
            </w:r>
            <w:r>
              <w:rPr>
                <w:rFonts w:ascii="Cambria Math" w:cs="Cambria Math" w:eastAsia="Cambria Math" w:hAnsi="Cambria Math"/>
                <w:color w:val="1A1A2E"/>
                <w:sz w:val="17"/>
                <w:szCs w:val="17"/>
                <w:vertAlign w:val="superscript"/>
              </w:rPr>
              <w:t xml:space="preserve">O</w:t>
            </w:r>
          </w:p>
          <w:p>
            <w:pPr>
              <w:spacing w:after="60"/>
              <w:jc w:val="center"/>
            </w:pPr>
            <w:r>
              <w:rPr>
                <w:rFonts w:ascii="Courier New" w:cs="Courier New" w:eastAsia="Courier New" w:hAnsi="Courier New"/>
                <w:i/>
                <w:iCs/>
                <w:color w:val="666666"/>
                <w:sz w:val="18"/>
                <w:szCs w:val="18"/>
              </w:rPr>
              <w:t xml:space="preserve">Concat: [B,h,n,d_k] → [B,n,h·d_k] = [B,n,d_model]  |  W^O ∈ [d_model, d_model]  |  Output: [B,n,d_model]</w:t>
            </w:r>
          </w:p>
        </w:tc>
      </w:tr>
    </w:tbl>
    <w:p>
      <w:pPr>
        <w:pStyle w:val="Heading2"/>
      </w:pPr>
      <w:r>
        <w:rPr>
          <w:rFonts w:ascii="Arial" w:cs="Arial" w:eastAsia="Arial" w:hAnsi="Arial"/>
        </w:rPr>
        <w:t xml:space="preserve">7.2 Matrix Example</w:t>
      </w:r>
    </w:p>
    <w:p>
      <w:pPr>
        <w:spacing w:after="100" w:line="276"/>
      </w:pPr>
      <w:r>
        <w:rPr>
          <w:rFonts w:ascii="Arial" w:cs="Arial" w:eastAsia="Arial" w:hAnsi="Arial"/>
          <w:color w:val="1A1A2E"/>
          <w:sz w:val="20"/>
          <w:szCs w:val="20"/>
        </w:rPr>
        <w:t xml:space="preserve">For h=2 heads, d_k=4, one token's output from each head:</w:t>
      </w:r>
    </w:p>
    <w:p>
      <w:pPr>
        <w:spacing w:before="80" w:after="40"/>
        <w:jc w:val="center"/>
      </w:pPr>
      <w:r>
        <w:rPr>
          <w:rFonts w:ascii="Arial" w:cs="Arial" w:eastAsia="Arial" w:hAnsi="Arial"/>
          <w:i/>
          <w:iCs/>
          <w:color w:val="666666"/>
          <w:sz w:val="18"/>
          <w:szCs w:val="18"/>
        </w:rPr>
        <w:t xml:space="preserve">Per-head outputs</w:t>
      </w:r>
      <w:r>
        <w:rPr>
          <w:rFonts w:ascii="Courier New" w:cs="Courier New" w:eastAsia="Courier New" w:hAnsi="Courier New"/>
          <w:color w:val="666666"/>
          <w:sz w:val="17"/>
          <w:szCs w:val="17"/>
        </w:rPr>
        <w:t xml:space="preserve">  [h=2, d_k=4]</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tblGrid>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Head 1 output</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0.55</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0.18</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Head 2 output</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0.73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-0.44</w:t>
            </w:r>
          </w:p>
        </w:tc>
      </w:tr>
    </w:tbl>
    <w:p>
      <w:pPr>
        <w:spacing w:after="60"/>
      </w:pPr>
    </w:p>
    <w:p>
      <w:pPr>
        <w:spacing w:after="100" w:line="276"/>
      </w:pPr>
      <w:r>
        <w:rPr>
          <w:rFonts w:ascii="Arial" w:cs="Arial" w:eastAsia="Arial" w:hAnsi="Arial"/>
          <w:color w:val="1A1A2E"/>
          <w:sz w:val="20"/>
          <w:szCs w:val="20"/>
        </w:rPr>
        <w:t xml:space="preserve">After concatenation:</w:t>
      </w:r>
    </w:p>
    <w:p>
      <w:pPr>
        <w:spacing w:before="80" w:after="40"/>
        <w:jc w:val="center"/>
      </w:pPr>
      <w:r>
        <w:rPr>
          <w:rFonts w:ascii="Arial" w:cs="Arial" w:eastAsia="Arial" w:hAnsi="Arial"/>
          <w:i/>
          <w:iCs/>
          <w:color w:val="666666"/>
          <w:sz w:val="18"/>
          <w:szCs w:val="18"/>
        </w:rPr>
        <w:t xml:space="preserve">Concatenated output</w:t>
      </w:r>
      <w:r>
        <w:rPr>
          <w:rFonts w:ascii="Courier New" w:cs="Courier New" w:eastAsia="Courier New" w:hAnsi="Courier New"/>
          <w:color w:val="666666"/>
          <w:sz w:val="17"/>
          <w:szCs w:val="17"/>
        </w:rPr>
        <w:t xml:space="preserve">  [1, d_model=8]</w:t>
      </w:r>
    </w:p>
    <w:tbl>
      <w:tblPr>
        <w:tblW w:type="dxa" w:w="6993"/>
        <w:jc w:val="center"/>
        <w:tblBorders>
          <w:top w:val="single" w:color="auto" w:sz="4"/>
          <w:left w:val="single" w:color="auto" w:sz="4"/>
          <w:bottom w:val="single" w:color="auto" w:sz="4"/>
          <w:right w:val="single" w:color="auto" w:sz="4"/>
          <w:insideH w:val="single" w:color="auto" w:sz="4"/>
          <w:insideV w:val="single" w:color="auto" w:sz="4"/>
        </w:tblBorders>
      </w:tblPr>
      <w:tblGrid>
        <w:gridCol w:w="777"/>
        <w:gridCol w:w="777"/>
        <w:gridCol w:w="777"/>
        <w:gridCol w:w="777"/>
        <w:gridCol w:w="777"/>
        <w:gridCol w:w="777"/>
        <w:gridCol w:w="777"/>
        <w:gridCol w:w="777"/>
        <w:gridCol w:w="777"/>
      </w:tblGrid>
      <w:tr>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Concat</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0.31</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-0.22</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0.55</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0.18</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-0.11</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0.73</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0.02</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-0.44</w:t>
            </w:r>
          </w:p>
        </w:tc>
      </w:tr>
    </w:tbl>
    <w:p>
      <w:pPr>
        <w:spacing w:after="60"/>
      </w:pPr>
    </w:p>
    <w:p>
      <w:pPr>
        <w:spacing w:after="100" w:line="276"/>
      </w:pPr>
      <w:r>
        <w:rPr>
          <w:rFonts w:ascii="Arial" w:cs="Arial" w:eastAsia="Arial" w:hAnsi="Arial"/>
          <w:color w:val="1A1A2E"/>
          <w:sz w:val="20"/>
          <w:szCs w:val="20"/>
        </w:rPr>
        <w:t xml:space="preserve">After W^O projection: [1, d_model=8] × [d_model=8, d_model=8] → [1, d_model=8]</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 CONCEPT: W^O as Cross-Head Communication</w:t>
            </w:r>
          </w:p>
          <w:p>
            <w:pPr>
              <w:spacing w:after="20"/>
            </w:pPr>
            <w:r>
              <w:rPr>
                <w:rFonts w:ascii="Arial" w:cs="Arial" w:eastAsia="Arial" w:hAnsi="Arial"/>
                <w:color w:val="1A1A2E"/>
                <w:sz w:val="19"/>
                <w:szCs w:val="19"/>
              </w:rPr>
              <w:t xml:space="preserve">The output projection W^O is the only place where information from different heads can interact. Before W^O, each head operates independently in its own subspace. W^O learns to combine the diverse patterns captured by different heads into a unified representation. Without W^O, the model would just concatenate independent views without synthesizing them.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6A4F" w:sz="4"/>
              <w:bottom w:val="none" w:sz="0"/>
              <w:right w:val="none" w:sz="0"/>
            </w:tcBorders>
            <w:shd w:fill="E8F5E9" w:val="clear"/>
            <w:tcMar>
              <w:top w:type="dxa" w:w="40"/>
              <w:left w:type="dxa" w:w="160"/>
              <w:bottom w:type="dxa" w:w="40"/>
              <w:right w:type="dxa" w:w="160"/>
            </w:tcMar>
          </w:tcPr>
          <w:p>
            <w:pPr>
              <w:spacing w:after="20"/>
            </w:pPr>
            <w:r>
              <w:rPr>
                <w:rFonts w:ascii="Arial" w:cs="Arial" w:eastAsia="Arial" w:hAnsi="Arial"/>
                <w:b/>
                <w:bCs/>
                <w:color w:val="2D6A4F"/>
                <w:sz w:val="18"/>
                <w:szCs w:val="18"/>
              </w:rPr>
              <w:t xml:space="preserve">▲ GEOMETRIC: </w:t>
            </w:r>
            <w:r>
              <w:rPr>
                <w:rFonts w:ascii="Arial" w:cs="Arial" w:eastAsia="Arial" w:hAnsi="Arial"/>
                <w:color w:val="1A1A2E"/>
                <w:sz w:val="18"/>
                <w:szCs w:val="18"/>
              </w:rPr>
              <w:t xml:space="preserve">The output projection W^O should not collapse the multi-head information. Monitor: singular values of W^O — if many are near zero, the projection is discarding information from some heads. The effective rank of W^O tells you how many heads are actually contributing to the output.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75000" w:sz="4"/>
              <w:bottom w:val="none" w:sz="0"/>
              <w:right w:val="none" w:sz="0"/>
            </w:tcBorders>
            <w:shd w:fill="FFF3E0" w:val="clear"/>
            <w:tcMar>
              <w:top w:type="dxa" w:w="40"/>
              <w:left w:type="dxa" w:w="160"/>
              <w:bottom w:type="dxa" w:w="40"/>
              <w:right w:type="dxa" w:w="160"/>
            </w:tcMar>
          </w:tcPr>
          <w:p>
            <w:pPr>
              <w:spacing w:after="20"/>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After W^O, the output should have similar statistical properties to the input (since it will be added via residual). Monitor: ||MultiHead output|| should be comparable to ||input||. Large discrepancies indicate the attention layer is either amplifying or dampening the signal.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4"/>
              <w:bottom w:val="none" w:sz="0"/>
              <w:right w:val="none" w:sz="0"/>
            </w:tcBorders>
            <w:shd w:fill="FDE8EC" w:val="clear"/>
            <w:tcMar>
              <w:top w:type="dxa" w:w="40"/>
              <w:left w:type="dxa" w:w="160"/>
              <w:bottom w:type="dxa" w:w="40"/>
              <w:right w:type="dxa" w:w="160"/>
            </w:tcMar>
          </w:tcPr>
          <w:p>
            <w:pPr>
              <w:spacing w:after="20"/>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W^O adds d_model² parameters. The concat + W^O multiply is O(B·n·d_model²). Combined with Q/K/V projections, total attention parameter cost per layer: 4 × d_model² (W^Q, W^K, W^V, W^O).</w:t>
            </w:r>
          </w:p>
        </w:tc>
      </w:tr>
    </w:tbl>
    <w:r>
      <w:br w:type="page"/>
    </w:r>
    <w:p>
      <w:pPr>
        <w:pStyle w:val="Heading1"/>
      </w:pPr>
      <w:r>
        <w:rPr>
          <w:rFonts w:ascii="Arial" w:cs="Arial" w:eastAsia="Arial" w:hAnsi="Arial"/>
        </w:rPr>
        <w:t xml:space="preserve">Step 8: Residual Connection (Post-Attention)</w:t>
      </w:r>
    </w:p>
    <w:p>
      <w:pPr>
        <w:spacing w:after="100" w:line="276"/>
      </w:pPr>
      <w:r>
        <w:rPr>
          <w:rFonts w:ascii="Arial" w:cs="Arial" w:eastAsia="Arial" w:hAnsi="Arial"/>
          <w:color w:val="1A1A2E"/>
          <w:sz w:val="20"/>
          <w:szCs w:val="20"/>
        </w:rPr>
        <w:t xml:space="preserve">The multi-head attention output is added to the original input (before LayerNorm was applied). This is the residual (skip) connection.</w:t>
      </w:r>
    </w:p>
    <w:p>
      <w:pPr>
        <w:pStyle w:val="Heading2"/>
      </w:pPr>
      <w:r>
        <w:rPr>
          <w:rFonts w:ascii="Arial" w:cs="Arial" w:eastAsia="Arial" w:hAnsi="Arial"/>
        </w:rPr>
        <w:t xml:space="preserve">8.1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X</w:t>
            </w:r>
            <w:r>
              <w:rPr>
                <w:rFonts w:ascii="Cambria Math" w:cs="Cambria Math" w:eastAsia="Cambria Math" w:hAnsi="Cambria Math"/>
                <w:color w:val="1A1A2E"/>
                <w:sz w:val="20"/>
                <w:szCs w:val="20"/>
              </w:rPr>
              <w:t xml:space="preserve">mid</w:t>
            </w:r>
            <w:r>
              <w:rPr>
                <w:rFonts w:ascii="Cambria Math" w:cs="Cambria Math" w:eastAsia="Cambria Math" w:hAnsi="Cambria Math"/>
                <w:color w:val="1A1A2E"/>
                <w:sz w:val="22"/>
                <w:szCs w:val="22"/>
              </w:rPr>
              <w:t xml:space="preserve"> = X + MultiHead(LayerNorm(X))</w:t>
            </w:r>
          </w:p>
          <w:p>
            <w:pPr>
              <w:spacing w:after="60"/>
              <w:jc w:val="center"/>
            </w:pPr>
            <w:r>
              <w:rPr>
                <w:rFonts w:ascii="Courier New" w:cs="Courier New" w:eastAsia="Courier New" w:hAnsi="Courier New"/>
                <w:i/>
                <w:iCs/>
                <w:color w:val="666666"/>
                <w:sz w:val="18"/>
                <w:szCs w:val="18"/>
              </w:rPr>
              <w:t xml:space="preserve">X ∈ [B,n,d_model]  →  X_mid ∈ [B,n,d_model]  — element-wise addition</w:t>
            </w:r>
          </w:p>
        </w:tc>
      </w:tr>
    </w:tbl>
    <w:p>
      <w:pPr>
        <w:pStyle w:val="Heading2"/>
      </w:pPr>
      <w:r>
        <w:rPr>
          <w:rFonts w:ascii="Arial" w:cs="Arial" w:eastAsia="Arial" w:hAnsi="Arial"/>
        </w:rPr>
        <w:t xml:space="preserve">8.2 Why This Works</w:t>
      </w:r>
    </w:p>
    <w:p>
      <w:pPr>
        <w:spacing w:after="100" w:line="276"/>
      </w:pPr>
      <w:r>
        <w:rPr>
          <w:rFonts w:ascii="Arial" w:cs="Arial" w:eastAsia="Arial" w:hAnsi="Arial"/>
          <w:color w:val="1A1A2E"/>
          <w:sz w:val="20"/>
          <w:szCs w:val="20"/>
        </w:rPr>
        <w:t xml:space="preserve">The residual connection provides a direct path for gradients to flow backward through the network. Without it, gradients must pass through the attention computation, which can distort them. With it, even if the attention layer learns nothing useful, the signal passes through unchanged (identity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∂X</w:t>
            </w:r>
            <w:r>
              <w:rPr>
                <w:rFonts w:ascii="Cambria Math" w:cs="Cambria Math" w:eastAsia="Cambria Math" w:hAnsi="Cambria Math"/>
                <w:color w:val="1A1A2E"/>
                <w:sz w:val="20"/>
                <w:szCs w:val="20"/>
              </w:rPr>
              <w:t xml:space="preserve">mid</w:t>
            </w:r>
            <w:r>
              <w:rPr>
                <w:rFonts w:ascii="Cambria Math" w:cs="Cambria Math" w:eastAsia="Cambria Math" w:hAnsi="Cambria Math"/>
                <w:color w:val="1A1A2E"/>
                <w:sz w:val="22"/>
                <w:szCs w:val="22"/>
              </w:rPr>
              <w:t xml:space="preserve"> / ∂X = I + ∂MultiHead/∂X</w:t>
            </w:r>
          </w:p>
          <w:p>
            <w:pPr>
              <w:spacing w:after="60"/>
              <w:jc w:val="center"/>
            </w:pPr>
            <w:r>
              <w:rPr>
                <w:rFonts w:ascii="Courier New" w:cs="Courier New" w:eastAsia="Courier New" w:hAnsi="Courier New"/>
                <w:i/>
                <w:iCs/>
                <w:color w:val="666666"/>
                <w:sz w:val="18"/>
                <w:szCs w:val="18"/>
              </w:rPr>
              <w:t xml:space="preserve">Gradient always includes the identity matrix I — gradients can never vanish completely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 CONCEPT: Residual as Identity + Refinement</w:t>
            </w:r>
          </w:p>
          <w:p>
            <w:pPr>
              <w:spacing w:after="20"/>
            </w:pPr>
            <w:r>
              <w:rPr>
                <w:rFonts w:ascii="Arial" w:cs="Arial" w:eastAsia="Arial" w:hAnsi="Arial"/>
                <w:color w:val="1A1A2E"/>
                <w:sz w:val="19"/>
                <w:szCs w:val="19"/>
              </w:rPr>
              <w:t xml:space="preserve">Think of the residual connection as: X_mid = X + ΔX, where ΔX is what the attention layer learned to add. The model only needs to learn the "delta" — the refinement — not the entire representation from scratch. This is much easier to optimize. In early training, when attention weights are random, ΔX is essentially noise, and the residual ensures X passes through largely intact. As training progresses, ΔX becomes increasingly meaningful.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6A4F" w:sz="4"/>
              <w:bottom w:val="none" w:sz="0"/>
              <w:right w:val="none" w:sz="0"/>
            </w:tcBorders>
            <w:shd w:fill="E8F5E9" w:val="clear"/>
            <w:tcMar>
              <w:top w:type="dxa" w:w="40"/>
              <w:left w:type="dxa" w:w="160"/>
              <w:bottom w:type="dxa" w:w="40"/>
              <w:right w:type="dxa" w:w="160"/>
            </w:tcMar>
          </w:tcPr>
          <w:p>
            <w:pPr>
              <w:spacing w:after="20"/>
            </w:pPr>
            <w:r>
              <w:rPr>
                <w:rFonts w:ascii="Arial" w:cs="Arial" w:eastAsia="Arial" w:hAnsi="Arial"/>
                <w:b/>
                <w:bCs/>
                <w:color w:val="2D6A4F"/>
                <w:sz w:val="18"/>
                <w:szCs w:val="18"/>
              </w:rPr>
              <w:t xml:space="preserve">▲ GEOMETRIC: </w:t>
            </w:r>
            <w:r>
              <w:rPr>
                <w:rFonts w:ascii="Arial" w:cs="Arial" w:eastAsia="Arial" w:hAnsi="Arial"/>
                <w:color w:val="1A1A2E"/>
                <w:sz w:val="18"/>
                <w:szCs w:val="18"/>
              </w:rPr>
              <w:t xml:space="preserve">The residual step size ||MultiHead(LayerNorm(X))|| relative to ||X|| matters. If the attention output is much larger than the residual path, it dominates and the skip connection is ineffective. If it's much smaller, attention contributes nothing. Monitor: the ratio ||attention_output|| / ||X|| per layer. Should be O(1) — typically 0.1 to 1.0. In deeper networks, this ratio often decreases in later layers. If it grows across layers, the network may become unstable.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75000" w:sz="4"/>
              <w:bottom w:val="none" w:sz="0"/>
              <w:right w:val="none" w:sz="0"/>
            </w:tcBorders>
            <w:shd w:fill="FFF3E0" w:val="clear"/>
            <w:tcMar>
              <w:top w:type="dxa" w:w="40"/>
              <w:left w:type="dxa" w:w="160"/>
              <w:bottom w:type="dxa" w:w="40"/>
              <w:right w:type="dxa" w:w="160"/>
            </w:tcMar>
          </w:tcPr>
          <w:p>
            <w:pPr>
              <w:spacing w:after="20"/>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After the residual add, mean and variance change. Pre-add: LayerNorm output has mean ≈ β, std ≈ |γ|. Post-add: mean and variance depend on both X and the attention output. Monitor across layers: if ||X_mid|| grows steadily across layers ("signal growth"), the residual additions are accumulating. This is normal but should be bounded.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4"/>
              <w:bottom w:val="none" w:sz="0"/>
              <w:right w:val="none" w:sz="0"/>
            </w:tcBorders>
            <w:shd w:fill="FDE8EC" w:val="clear"/>
            <w:tcMar>
              <w:top w:type="dxa" w:w="40"/>
              <w:left w:type="dxa" w:w="160"/>
              <w:bottom w:type="dxa" w:w="40"/>
              <w:right w:type="dxa" w:w="160"/>
            </w:tcMar>
          </w:tcPr>
          <w:p>
            <w:pPr>
              <w:spacing w:after="20"/>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Residual addition is element-wise: O(B·n·d_model) operations and zero extra parameters. The computational cost is negligible. But it doubles memory briefly (storing both X and the attention output before addition). In gradient computation, the identity shortcut means gradients flow with O(1) cost through the residual.</w:t>
            </w:r>
          </w:p>
        </w:tc>
      </w:tr>
    </w:tbl>
    <w:r>
      <w:br w:type="page"/>
    </w:r>
    <w:p>
      <w:pPr>
        <w:pStyle w:val="Heading1"/>
      </w:pPr>
      <w:r>
        <w:rPr>
          <w:rFonts w:ascii="Arial" w:cs="Arial" w:eastAsia="Arial" w:hAnsi="Arial"/>
        </w:rPr>
        <w:t xml:space="preserve">Step 9: Layer Normalization (Pre-FFN)</w:t>
      </w:r>
    </w:p>
    <w:p>
      <w:pPr>
        <w:spacing w:after="100" w:line="276"/>
      </w:pPr>
      <w:r>
        <w:rPr>
          <w:rFonts w:ascii="Arial" w:cs="Arial" w:eastAsia="Arial" w:hAnsi="Arial"/>
          <w:color w:val="1A1A2E"/>
          <w:sz w:val="20"/>
          <w:szCs w:val="20"/>
        </w:rPr>
        <w:t xml:space="preserve">The second LayerNorm in the block, applied to X_mid before the feed-forward network. Same formula as Step 4, but with its own learned γ and β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X̂</w:t>
            </w:r>
            <w:r>
              <w:rPr>
                <w:rFonts w:ascii="Cambria Math" w:cs="Cambria Math" w:eastAsia="Cambria Math" w:hAnsi="Cambria Math"/>
                <w:color w:val="1A1A2E"/>
                <w:sz w:val="20"/>
                <w:szCs w:val="20"/>
              </w:rPr>
              <w:t xml:space="preserve">mid</w:t>
            </w:r>
            <w:r>
              <w:rPr>
                <w:rFonts w:ascii="Cambria Math" w:cs="Cambria Math" w:eastAsia="Cambria Math" w:hAnsi="Cambria Math"/>
                <w:color w:val="1A1A2E"/>
                <w:sz w:val="22"/>
                <w:szCs w:val="22"/>
              </w:rPr>
              <w:t xml:space="preserve"> = LayerNorm(X</w:t>
            </w:r>
            <w:r>
              <w:rPr>
                <w:rFonts w:ascii="Cambria Math" w:cs="Cambria Math" w:eastAsia="Cambria Math" w:hAnsi="Cambria Math"/>
                <w:color w:val="1A1A2E"/>
                <w:sz w:val="20"/>
                <w:szCs w:val="20"/>
              </w:rPr>
              <w:t xml:space="preserve">mid</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8"/>
                <w:szCs w:val="18"/>
              </w:rPr>
              <w:t xml:space="preserve">Input: [B, n, d_model]  →  Output: [B, n, d_model]  |  Separate γ, β from Step 4's LayerNorm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 CONCEPT: Two Norms Per Block</w:t>
            </w:r>
          </w:p>
          <w:p>
            <w:pPr>
              <w:spacing w:after="20"/>
            </w:pPr>
            <w:r>
              <w:rPr>
                <w:rFonts w:ascii="Arial" w:cs="Arial" w:eastAsia="Arial" w:hAnsi="Arial"/>
                <w:color w:val="1A1A2E"/>
                <w:sz w:val="19"/>
                <w:szCs w:val="19"/>
              </w:rPr>
              <w:t xml:space="preserve">Each transformer block has TWO layer norms with separate parameters: one before attention (Step 4), one before FFN (here). They serve the same purpose — stabilizing the input distribution before each sub-layer — but they learn different scales and shifts appropriate to their respective sub-layers. The attention sub-layer and FFN sub-layer have different optimal input distributions, and separate norms let each adapt.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75000" w:sz="4"/>
              <w:bottom w:val="none" w:sz="0"/>
              <w:right w:val="none" w:sz="0"/>
            </w:tcBorders>
            <w:shd w:fill="FFF3E0" w:val="clear"/>
            <w:tcMar>
              <w:top w:type="dxa" w:w="40"/>
              <w:left w:type="dxa" w:w="160"/>
              <w:bottom w:type="dxa" w:w="40"/>
              <w:right w:type="dxa" w:w="160"/>
            </w:tcMar>
          </w:tcPr>
          <w:p>
            <w:pPr>
              <w:spacing w:after="20"/>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Compare the learned γ and β of this norm to the attention norm (Step 4). If they're very different, the two sub-layers operate at different scales. Monitor: the pre-norm statistics of X_mid — after the residual add, the mean and variance may have drifted from what LayerNorm expects. This is fine; LayerNorm re-normalizes.</w:t>
            </w:r>
          </w:p>
        </w:tc>
      </w:tr>
    </w:tbl>
    <w:r>
      <w:br w:type="page"/>
    </w:r>
    <w:p>
      <w:pPr>
        <w:pStyle w:val="Heading1"/>
      </w:pPr>
      <w:r>
        <w:rPr>
          <w:rFonts w:ascii="Arial" w:cs="Arial" w:eastAsia="Arial" w:hAnsi="Arial"/>
        </w:rPr>
        <w:t xml:space="preserve">Step 10: Feed-Forward Network (FFN)</w:t>
      </w:r>
    </w:p>
    <w:p>
      <w:pPr>
        <w:spacing w:after="100" w:line="276"/>
      </w:pPr>
      <w:r>
        <w:rPr>
          <w:rFonts w:ascii="Arial" w:cs="Arial" w:eastAsia="Arial" w:hAnsi="Arial"/>
          <w:color w:val="1A1A2E"/>
          <w:sz w:val="20"/>
          <w:szCs w:val="20"/>
        </w:rPr>
        <w:t xml:space="preserve">A two-layer MLP applied independently to each token position. This is where the model learns non-linear feature transformations — the "general learning tool" in your framing. The FFN expands to a higher dimension, applies a non-linearity, then compresses back.</w:t>
      </w:r>
    </w:p>
    <w:p>
      <w:pPr>
        <w:pStyle w:val="Heading2"/>
      </w:pPr>
      <w:r>
        <w:rPr>
          <w:rFonts w:ascii="Arial" w:cs="Arial" w:eastAsia="Arial" w:hAnsi="Arial"/>
        </w:rPr>
        <w:t xml:space="preserve">10.1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FFN(x) = W</w:t>
            </w:r>
            <w:r>
              <w:rPr>
                <w:rFonts w:ascii="Cambria Math" w:cs="Cambria Math" w:eastAsia="Cambria Math" w:hAnsi="Cambria Math"/>
                <w:color w:val="1A1A2E"/>
                <w:sz w:val="20"/>
                <w:szCs w:val="20"/>
              </w:rPr>
              <w:t xml:space="preserve">2</w:t>
            </w:r>
            <w:r>
              <w:rPr>
                <w:rFonts w:ascii="Cambria Math" w:cs="Cambria Math" w:eastAsia="Cambria Math" w:hAnsi="Cambria Math"/>
                <w:color w:val="1A1A2E"/>
                <w:sz w:val="22"/>
                <w:szCs w:val="22"/>
              </w:rPr>
              <w:t xml:space="preserve"> · σ(W</w:t>
            </w:r>
            <w:r>
              <w:rPr>
                <w:rFonts w:ascii="Cambria Math" w:cs="Cambria Math" w:eastAsia="Cambria Math" w:hAnsi="Cambria Math"/>
                <w:color w:val="1A1A2E"/>
                <w:sz w:val="20"/>
                <w:szCs w:val="20"/>
              </w:rPr>
              <w:t xml:space="preserve">1</w:t>
            </w:r>
            <w:r>
              <w:rPr>
                <w:rFonts w:ascii="Cambria Math" w:cs="Cambria Math" w:eastAsia="Cambria Math" w:hAnsi="Cambria Math"/>
                <w:color w:val="1A1A2E"/>
                <w:sz w:val="22"/>
                <w:szCs w:val="22"/>
              </w:rPr>
              <w:t xml:space="preserve"> · x + b</w:t>
            </w:r>
            <w:r>
              <w:rPr>
                <w:rFonts w:ascii="Cambria Math" w:cs="Cambria Math" w:eastAsia="Cambria Math" w:hAnsi="Cambria Math"/>
                <w:color w:val="1A1A2E"/>
                <w:sz w:val="20"/>
                <w:szCs w:val="20"/>
              </w:rPr>
              <w:t xml:space="preserve">1</w:t>
            </w:r>
            <w:r>
              <w:rPr>
                <w:rFonts w:ascii="Cambria Math" w:cs="Cambria Math" w:eastAsia="Cambria Math" w:hAnsi="Cambria Math"/>
                <w:color w:val="1A1A2E"/>
                <w:sz w:val="22"/>
                <w:szCs w:val="22"/>
              </w:rPr>
              <w:t xml:space="preserve">) + b</w:t>
            </w:r>
            <w:r>
              <w:rPr>
                <w:rFonts w:ascii="Cambria Math" w:cs="Cambria Math" w:eastAsia="Cambria Math" w:hAnsi="Cambria Math"/>
                <w:color w:val="1A1A2E"/>
                <w:sz w:val="20"/>
                <w:szCs w:val="20"/>
              </w:rPr>
              <w:t xml:space="preserve">2</w:t>
            </w:r>
          </w:p>
          <w:p>
            <w:pPr>
              <w:spacing w:after="60"/>
              <w:jc w:val="center"/>
            </w:pPr>
            <w:r>
              <w:rPr>
                <w:rFonts w:ascii="Courier New" w:cs="Courier New" w:eastAsia="Courier New" w:hAnsi="Courier New"/>
                <w:i/>
                <w:iCs/>
                <w:color w:val="666666"/>
                <w:sz w:val="18"/>
                <w:szCs w:val="18"/>
              </w:rPr>
              <w:t xml:space="preserve">W₁ ∈ [d_model, d_ff], W₂ ∈ [d_ff, d_model], σ = activation (ReLU or GELU)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x ∈ [d</w:t>
            </w:r>
            <w:r>
              <w:rPr>
                <w:rFonts w:ascii="Cambria Math" w:cs="Cambria Math" w:eastAsia="Cambria Math" w:hAnsi="Cambria Math"/>
                <w:color w:val="1A1A2E"/>
                <w:sz w:val="20"/>
                <w:szCs w:val="20"/>
              </w:rPr>
              <w:t xml:space="preserve">model</w:t>
            </w:r>
            <w:r>
              <w:rPr>
                <w:rFonts w:ascii="Cambria Math" w:cs="Cambria Math" w:eastAsia="Cambria Math" w:hAnsi="Cambria Math"/>
                <w:color w:val="1A1A2E"/>
                <w:sz w:val="22"/>
                <w:szCs w:val="22"/>
              </w:rPr>
              <w:t xml:space="preserve">]  ↛  h = σ(W</w:t>
            </w:r>
            <w:r>
              <w:rPr>
                <w:rFonts w:ascii="Cambria Math" w:cs="Cambria Math" w:eastAsia="Cambria Math" w:hAnsi="Cambria Math"/>
                <w:color w:val="1A1A2E"/>
                <w:sz w:val="20"/>
                <w:szCs w:val="20"/>
              </w:rPr>
              <w:t xml:space="preserve">1</w:t>
            </w:r>
            <w:r>
              <w:rPr>
                <w:rFonts w:ascii="Cambria Math" w:cs="Cambria Math" w:eastAsia="Cambria Math" w:hAnsi="Cambria Math"/>
                <w:color w:val="1A1A2E"/>
                <w:sz w:val="22"/>
                <w:szCs w:val="22"/>
              </w:rPr>
              <w:t xml:space="preserve">x + b</w:t>
            </w:r>
            <w:r>
              <w:rPr>
                <w:rFonts w:ascii="Cambria Math" w:cs="Cambria Math" w:eastAsia="Cambria Math" w:hAnsi="Cambria Math"/>
                <w:color w:val="1A1A2E"/>
                <w:sz w:val="20"/>
                <w:szCs w:val="20"/>
              </w:rPr>
              <w:t xml:space="preserve">1</w:t>
            </w:r>
            <w:r>
              <w:rPr>
                <w:rFonts w:ascii="Cambria Math" w:cs="Cambria Math" w:eastAsia="Cambria Math" w:hAnsi="Cambria Math"/>
                <w:color w:val="1A1A2E"/>
                <w:sz w:val="22"/>
                <w:szCs w:val="22"/>
              </w:rPr>
              <w:t xml:space="preserve">) ∈ [d</w:t>
            </w:r>
            <w:r>
              <w:rPr>
                <w:rFonts w:ascii="Cambria Math" w:cs="Cambria Math" w:eastAsia="Cambria Math" w:hAnsi="Cambria Math"/>
                <w:color w:val="1A1A2E"/>
                <w:sz w:val="20"/>
                <w:szCs w:val="20"/>
              </w:rPr>
              <w:t xml:space="preserve">ff</w:t>
            </w:r>
            <w:r>
              <w:rPr>
                <w:rFonts w:ascii="Cambria Math" w:cs="Cambria Math" w:eastAsia="Cambria Math" w:hAnsi="Cambria Math"/>
                <w:color w:val="1A1A2E"/>
                <w:sz w:val="22"/>
                <w:szCs w:val="22"/>
              </w:rPr>
              <w:t xml:space="preserve">]  →  out = W</w:t>
            </w:r>
            <w:r>
              <w:rPr>
                <w:rFonts w:ascii="Cambria Math" w:cs="Cambria Math" w:eastAsia="Cambria Math" w:hAnsi="Cambria Math"/>
                <w:color w:val="1A1A2E"/>
                <w:sz w:val="20"/>
                <w:szCs w:val="20"/>
              </w:rPr>
              <w:t xml:space="preserve">2</w:t>
            </w:r>
            <w:r>
              <w:rPr>
                <w:rFonts w:ascii="Cambria Math" w:cs="Cambria Math" w:eastAsia="Cambria Math" w:hAnsi="Cambria Math"/>
                <w:color w:val="1A1A2E"/>
                <w:sz w:val="22"/>
                <w:szCs w:val="22"/>
              </w:rPr>
              <w:t xml:space="preserve">h + b</w:t>
            </w:r>
            <w:r>
              <w:rPr>
                <w:rFonts w:ascii="Cambria Math" w:cs="Cambria Math" w:eastAsia="Cambria Math" w:hAnsi="Cambria Math"/>
                <w:color w:val="1A1A2E"/>
                <w:sz w:val="20"/>
                <w:szCs w:val="20"/>
              </w:rPr>
              <w:t xml:space="preserve">2</w:t>
            </w:r>
            <w:r>
              <w:rPr>
                <w:rFonts w:ascii="Cambria Math" w:cs="Cambria Math" w:eastAsia="Cambria Math" w:hAnsi="Cambria Math"/>
                <w:color w:val="1A1A2E"/>
                <w:sz w:val="22"/>
                <w:szCs w:val="22"/>
              </w:rPr>
              <w:t xml:space="preserve"> ∈ [d</w:t>
            </w:r>
            <w:r>
              <w:rPr>
                <w:rFonts w:ascii="Cambria Math" w:cs="Cambria Math" w:eastAsia="Cambria Math" w:hAnsi="Cambria Math"/>
                <w:color w:val="1A1A2E"/>
                <w:sz w:val="20"/>
                <w:szCs w:val="20"/>
              </w:rPr>
              <w:t xml:space="preserve">model</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8"/>
                <w:szCs w:val="18"/>
              </w:rPr>
              <w:t xml:space="preserve">Expand: [B,n,d_model] → [B,n,d_ff]  then  Compress: [B,n,d_ff] → [B,n,d_model]</w:t>
            </w:r>
          </w:p>
        </w:tc>
      </w:tr>
    </w:tbl>
    <w:p>
      <w:pPr>
        <w:pStyle w:val="Heading2"/>
      </w:pPr>
      <w:r>
        <w:rPr>
          <w:rFonts w:ascii="Arial" w:cs="Arial" w:eastAsia="Arial" w:hAnsi="Arial"/>
        </w:rPr>
        <w:t xml:space="preserve">10.2 Activation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60"/>
        <w:gridCol w:w="3200"/>
      </w:tblGrid>
      <w:tr>
        <w:tc>
          <w:tcPr>
            <w:tcW w:type="dxa" w:w="1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Function</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Formula</w:t>
            </w:r>
          </w:p>
        </w:tc>
        <w:tc>
          <w:tcPr>
            <w:tcW w:type="dxa" w:w="25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Used In</w:t>
            </w:r>
          </w:p>
        </w:tc>
        <w:tc>
          <w:tcPr>
            <w:tcW w:type="dxa" w:w="3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Key Property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ReLU</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val="false"/>
                <w:bCs w:val="false"/>
                <w:color w:val="1A1A2E"/>
                <w:sz w:val="18"/>
                <w:szCs w:val="18"/>
              </w:rPr>
              <w:t xml:space="preserve">max(0, x)</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Original Transformer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Simple, sparse (zeros for x&lt;0)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GELU</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val="false"/>
                <w:bCs w:val="false"/>
                <w:color w:val="1A1A2E"/>
                <w:sz w:val="18"/>
                <w:szCs w:val="18"/>
              </w:rPr>
              <w:t xml:space="preserve">x · Φ(x)</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GPT, BERT, modern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Smooth, non-zero gradients everywhere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SwiGLU</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val="false"/>
                <w:bCs w:val="false"/>
                <w:color w:val="1A1A2E"/>
                <w:sz w:val="18"/>
                <w:szCs w:val="18"/>
              </w:rPr>
              <w:t xml:space="preserve">Swish(xW₁) ⊙ (xW₃)</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LLaMA, PaLM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Gated, best performance, 50% more params</w:t>
            </w:r>
          </w:p>
        </w:tc>
      </w:tr>
    </w:tbl>
    <w:p>
      <w:pPr>
        <w:pStyle w:val="Heading2"/>
      </w:pPr>
      <w:r>
        <w:rPr>
          <w:rFonts w:ascii="Arial" w:cs="Arial" w:eastAsia="Arial" w:hAnsi="Arial"/>
        </w:rPr>
        <w:t xml:space="preserve">10.3 Numerical Example</w:t>
      </w:r>
    </w:p>
    <w:p>
      <w:pPr>
        <w:spacing w:after="100" w:line="276"/>
      </w:pPr>
      <w:r>
        <w:rPr>
          <w:rFonts w:ascii="Arial" w:cs="Arial" w:eastAsia="Arial" w:hAnsi="Arial"/>
          <w:color w:val="1A1A2E"/>
          <w:sz w:val="20"/>
          <w:szCs w:val="20"/>
        </w:rPr>
        <w:t xml:space="preserve">For d_model=4, d_ff=8 (expansion factor 4x), one token:</w:t>
      </w:r>
    </w:p>
    <w:p>
      <w:pPr>
        <w:spacing w:before="80" w:after="40"/>
        <w:jc w:val="center"/>
      </w:pPr>
      <w:r>
        <w:rPr>
          <w:rFonts w:ascii="Arial" w:cs="Arial" w:eastAsia="Arial" w:hAnsi="Arial"/>
          <w:i/>
          <w:iCs/>
          <w:color w:val="666666"/>
          <w:sz w:val="18"/>
          <w:szCs w:val="18"/>
        </w:rPr>
        <w:t xml:space="preserve">Post-LayerNorm input</w:t>
      </w:r>
      <w:r>
        <w:rPr>
          <w:rFonts w:ascii="Courier New" w:cs="Courier New" w:eastAsia="Courier New" w:hAnsi="Courier New"/>
          <w:color w:val="666666"/>
          <w:sz w:val="17"/>
          <w:szCs w:val="17"/>
        </w:rPr>
        <w:t xml:space="preserve">  [1, d_model=4]</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tblGrid>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Input x</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1.41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-1.41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0.00</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0.00</w:t>
            </w:r>
          </w:p>
        </w:tc>
      </w:tr>
    </w:tbl>
    <w:p>
      <w:pPr>
        <w:spacing w:after="60"/>
      </w:pPr>
    </w:p>
    <w:p>
      <w:pPr>
        <w:spacing w:after="100" w:line="276"/>
      </w:pPr>
      <w:r>
        <w:rPr>
          <w:rFonts w:ascii="Arial" w:cs="Arial" w:eastAsia="Arial" w:hAnsi="Arial"/>
          <w:color w:val="1A1A2E"/>
          <w:sz w:val="20"/>
          <w:szCs w:val="20"/>
        </w:rPr>
        <w:t xml:space="preserve">After W₁ (expand to d_ff=8) and ReLU:</w:t>
      </w:r>
    </w:p>
    <w:p>
      <w:pPr>
        <w:spacing w:before="80" w:after="40"/>
        <w:jc w:val="center"/>
      </w:pPr>
      <w:r>
        <w:rPr>
          <w:rFonts w:ascii="Arial" w:cs="Arial" w:eastAsia="Arial" w:hAnsi="Arial"/>
          <w:i/>
          <w:iCs/>
          <w:color w:val="666666"/>
          <w:sz w:val="18"/>
          <w:szCs w:val="18"/>
        </w:rPr>
        <w:t xml:space="preserve">Expand + activation</w:t>
      </w:r>
      <w:r>
        <w:rPr>
          <w:rFonts w:ascii="Courier New" w:cs="Courier New" w:eastAsia="Courier New" w:hAnsi="Courier New"/>
          <w:color w:val="666666"/>
          <w:sz w:val="17"/>
          <w:szCs w:val="17"/>
        </w:rPr>
        <w:t xml:space="preserve">  [1, d_ff=8]</w:t>
      </w:r>
    </w:p>
    <w:tbl>
      <w:tblPr>
        <w:tblW w:type="dxa" w:w="6993"/>
        <w:jc w:val="center"/>
        <w:tblBorders>
          <w:top w:val="single" w:color="auto" w:sz="4"/>
          <w:left w:val="single" w:color="auto" w:sz="4"/>
          <w:bottom w:val="single" w:color="auto" w:sz="4"/>
          <w:right w:val="single" w:color="auto" w:sz="4"/>
          <w:insideH w:val="single" w:color="auto" w:sz="4"/>
          <w:insideV w:val="single" w:color="auto" w:sz="4"/>
        </w:tblBorders>
      </w:tblPr>
      <w:tblGrid>
        <w:gridCol w:w="777"/>
        <w:gridCol w:w="777"/>
        <w:gridCol w:w="777"/>
        <w:gridCol w:w="777"/>
        <w:gridCol w:w="777"/>
        <w:gridCol w:w="777"/>
        <w:gridCol w:w="777"/>
        <w:gridCol w:w="777"/>
        <w:gridCol w:w="777"/>
      </w:tblGrid>
      <w:tr>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W₁x+b₁</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0.8</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-1.2</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2.1</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-0.5</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1.7</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-0.9</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w:t>
            </w:r>
          </w:p>
        </w:tc>
      </w:tr>
      <w:tr>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ReLU(•)</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0.8</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2.1</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0.3</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1.7</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0.0</w:t>
            </w:r>
          </w:p>
        </w:tc>
        <w:tc>
          <w:tcPr>
            <w:tcW w:type="dxa" w:w="777"/>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w:t>
            </w:r>
          </w:p>
        </w:tc>
      </w:tr>
    </w:tbl>
    <w:p>
      <w:pPr>
        <w:spacing w:after="60"/>
      </w:pPr>
    </w:p>
    <w:p>
      <w:pPr>
        <w:spacing w:after="100" w:line="276"/>
      </w:pPr>
      <w:r>
        <w:rPr>
          <w:rFonts w:ascii="Arial" w:cs="Arial" w:eastAsia="Arial" w:hAnsi="Arial"/>
          <w:color w:val="1A1A2E"/>
          <w:sz w:val="20"/>
          <w:szCs w:val="20"/>
        </w:rPr>
        <w:t xml:space="preserve">After W₂ (compress back to d_model=4):</w:t>
      </w:r>
    </w:p>
    <w:p>
      <w:pPr>
        <w:spacing w:before="80" w:after="40"/>
        <w:jc w:val="center"/>
      </w:pPr>
      <w:r>
        <w:rPr>
          <w:rFonts w:ascii="Arial" w:cs="Arial" w:eastAsia="Arial" w:hAnsi="Arial"/>
          <w:i/>
          <w:iCs/>
          <w:color w:val="666666"/>
          <w:sz w:val="18"/>
          <w:szCs w:val="18"/>
        </w:rPr>
        <w:t xml:space="preserve">FFN output</w:t>
      </w:r>
      <w:r>
        <w:rPr>
          <w:rFonts w:ascii="Courier New" w:cs="Courier New" w:eastAsia="Courier New" w:hAnsi="Courier New"/>
          <w:color w:val="666666"/>
          <w:sz w:val="17"/>
          <w:szCs w:val="17"/>
        </w:rPr>
        <w:t xml:space="preserve">  [1, d_model=4]</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tblGrid>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Output</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0.45</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-0.28</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0.73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0.11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 CONCEPT: Why Expand Then Compress?</w:t>
            </w:r>
          </w:p>
          <w:p>
            <w:pPr>
              <w:spacing w:after="20"/>
            </w:pPr>
            <w:r>
              <w:rPr>
                <w:rFonts w:ascii="Arial" w:cs="Arial" w:eastAsia="Arial" w:hAnsi="Arial"/>
                <w:color w:val="1A1A2E"/>
                <w:sz w:val="19"/>
                <w:szCs w:val="19"/>
              </w:rPr>
              <w:t xml:space="preserve">The expansion to d_ff (typically 4×d_model) projects into a higher-dimensional space where features that overlap in d_model dimensions become separable. The non-linearity (ReLU/GELU) then selects which features are active. The compression back to d_model forces the model to distill the high-dimensional representation into a compact form. This is the information bottleneck principle applied within each token's processing. The FFN is where the model stores and retrieves "knowledge" — research shows that factual knowledge in LLMs is primarily encoded in FFN weights.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6A4F" w:sz="4"/>
              <w:bottom w:val="none" w:sz="0"/>
              <w:right w:val="none" w:sz="0"/>
            </w:tcBorders>
            <w:shd w:fill="E8F5E9" w:val="clear"/>
            <w:tcMar>
              <w:top w:type="dxa" w:w="40"/>
              <w:left w:type="dxa" w:w="160"/>
              <w:bottom w:type="dxa" w:w="40"/>
              <w:right w:type="dxa" w:w="160"/>
            </w:tcMar>
          </w:tcPr>
          <w:p>
            <w:pPr>
              <w:spacing w:after="20"/>
            </w:pPr>
            <w:r>
              <w:rPr>
                <w:rFonts w:ascii="Arial" w:cs="Arial" w:eastAsia="Arial" w:hAnsi="Arial"/>
                <w:b/>
                <w:bCs/>
                <w:color w:val="2D6A4F"/>
                <w:sz w:val="18"/>
                <w:szCs w:val="18"/>
              </w:rPr>
              <w:t xml:space="preserve">▲ GEOMETRIC: </w:t>
            </w:r>
            <w:r>
              <w:rPr>
                <w:rFonts w:ascii="Arial" w:cs="Arial" w:eastAsia="Arial" w:hAnsi="Arial"/>
                <w:color w:val="1A1A2E"/>
                <w:sz w:val="18"/>
                <w:szCs w:val="18"/>
              </w:rPr>
              <w:t xml:space="preserve">ReLU creates sparsity: roughly 50% of the d_ff activations are zero (at initialization). This means the FFN effectively selects a sparse subset of features. Monitor: the sparsity ratio (fraction of zeros after activation). If it's too high (&gt;90%), the FFN is underutilized. If too low (&lt;20%), the network isn't being selective. GELU is smoother — fewer exact zeros but soft sparsity. After compression, the output should be in a similar region of d_model space as the input (since the residual will add them).</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75000" w:sz="4"/>
              <w:bottom w:val="none" w:sz="0"/>
              <w:right w:val="none" w:sz="0"/>
            </w:tcBorders>
            <w:shd w:fill="FFF3E0" w:val="clear"/>
            <w:tcMar>
              <w:top w:type="dxa" w:w="40"/>
              <w:left w:type="dxa" w:w="160"/>
              <w:bottom w:type="dxa" w:w="40"/>
              <w:right w:type="dxa" w:w="160"/>
            </w:tcMar>
          </w:tcPr>
          <w:p>
            <w:pPr>
              <w:spacing w:after="20"/>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The FFN output should have similar scale to the attention output (both are added via residuals). Monitor: ||FFN(x)|| per layer — should be comparable to ||attention_output||. If one dominates, the residual stream is unbalanced. Also monitor: the activation statistics after W₁ (pre-activation mean and variance) — if activations are consistently in the saturated region of the nonlinearity, gradients vanish through the FFN.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4"/>
              <w:bottom w:val="none" w:sz="0"/>
              <w:right w:val="none" w:sz="0"/>
            </w:tcBorders>
            <w:shd w:fill="FDE8EC" w:val="clear"/>
            <w:tcMar>
              <w:top w:type="dxa" w:w="40"/>
              <w:left w:type="dxa" w:w="160"/>
              <w:bottom w:type="dxa" w:w="40"/>
              <w:right w:type="dxa" w:w="160"/>
            </w:tcMar>
          </w:tcPr>
          <w:p>
            <w:pPr>
              <w:spacing w:after="20"/>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FFN is the largest parameter block: 2 × d_model × d_ff = 2 × 512 × 2048 = 2.1M parameters per layer (vs 1.05M for attention). For d_ff = 4×d_model, FFN has 8×d_model² params vs attention's 4×d_model². FFN computation: 2 × O(B·n·d_model·d_ff). When n &lt; d_model, FFN dominates compute. When n &gt; d_model, attention dominates (due to n² term).</w:t>
            </w:r>
          </w:p>
        </w:tc>
      </w:tr>
    </w:tbl>
    <w:r>
      <w:br w:type="page"/>
    </w:r>
    <w:p>
      <w:pPr>
        <w:pStyle w:val="Heading1"/>
      </w:pPr>
      <w:r>
        <w:rPr>
          <w:rFonts w:ascii="Arial" w:cs="Arial" w:eastAsia="Arial" w:hAnsi="Arial"/>
        </w:rPr>
        <w:t xml:space="preserve">Step 11: Residual Connection (Post-FFN)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X</w:t>
            </w:r>
            <w:r>
              <w:rPr>
                <w:rFonts w:ascii="Cambria Math" w:cs="Cambria Math" w:eastAsia="Cambria Math" w:hAnsi="Cambria Math"/>
                <w:color w:val="1A1A2E"/>
                <w:sz w:val="20"/>
                <w:szCs w:val="20"/>
              </w:rPr>
              <w:t xml:space="preserve">out</w:t>
            </w:r>
            <w:r>
              <w:rPr>
                <w:rFonts w:ascii="Cambria Math" w:cs="Cambria Math" w:eastAsia="Cambria Math" w:hAnsi="Cambria Math"/>
                <w:color w:val="1A1A2E"/>
                <w:sz w:val="22"/>
                <w:szCs w:val="22"/>
              </w:rPr>
              <w:t xml:space="preserve"> = X</w:t>
            </w:r>
            <w:r>
              <w:rPr>
                <w:rFonts w:ascii="Cambria Math" w:cs="Cambria Math" w:eastAsia="Cambria Math" w:hAnsi="Cambria Math"/>
                <w:color w:val="1A1A2E"/>
                <w:sz w:val="20"/>
                <w:szCs w:val="20"/>
              </w:rPr>
              <w:t xml:space="preserve">mid</w:t>
            </w:r>
            <w:r>
              <w:rPr>
                <w:rFonts w:ascii="Cambria Math" w:cs="Cambria Math" w:eastAsia="Cambria Math" w:hAnsi="Cambria Math"/>
                <w:color w:val="1A1A2E"/>
                <w:sz w:val="22"/>
                <w:szCs w:val="22"/>
              </w:rPr>
              <w:t xml:space="preserve"> + FFN(LayerNorm(X</w:t>
            </w:r>
            <w:r>
              <w:rPr>
                <w:rFonts w:ascii="Cambria Math" w:cs="Cambria Math" w:eastAsia="Cambria Math" w:hAnsi="Cambria Math"/>
                <w:color w:val="1A1A2E"/>
                <w:sz w:val="20"/>
                <w:szCs w:val="20"/>
              </w:rPr>
              <w:t xml:space="preserve">mid</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8"/>
                <w:szCs w:val="18"/>
              </w:rPr>
              <w:t xml:space="preserve">X_out ∈ [B, n, d_model] — this is the output of one complete transformer block</w:t>
            </w:r>
          </w:p>
        </w:tc>
      </w:tr>
    </w:tbl>
    <w:p>
      <w:pPr>
        <w:spacing w:after="100" w:line="276"/>
      </w:pPr>
      <w:r>
        <w:rPr>
          <w:rFonts w:ascii="Arial" w:cs="Arial" w:eastAsia="Arial" w:hAnsi="Arial"/>
          <w:color w:val="1A1A2E"/>
          <w:sz w:val="20"/>
          <w:szCs w:val="20"/>
        </w:rPr>
        <w:t xml:space="preserve">X_out is then passed to the next transformer block as input (back to Step 4), or if this is the final block, to the output head.</w:t>
      </w:r>
    </w:p>
    <w:p>
      <w:pPr>
        <w:pStyle w:val="Heading2"/>
      </w:pPr>
      <w:r>
        <w:rPr>
          <w:rFonts w:ascii="Arial" w:cs="Arial" w:eastAsia="Arial" w:hAnsi="Arial"/>
        </w:rPr>
        <w:t xml:space="preserve">11.1 Complete Block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X</w:t>
            </w:r>
            <w:r>
              <w:rPr>
                <w:rFonts w:ascii="Cambria Math" w:cs="Cambria Math" w:eastAsia="Cambria Math" w:hAnsi="Cambria Math"/>
                <w:color w:val="1A1A2E"/>
                <w:sz w:val="20"/>
                <w:szCs w:val="20"/>
              </w:rPr>
              <w:t xml:space="preserve">mid</w:t>
            </w:r>
            <w:r>
              <w:rPr>
                <w:rFonts w:ascii="Cambria Math" w:cs="Cambria Math" w:eastAsia="Cambria Math" w:hAnsi="Cambria Math"/>
                <w:color w:val="1A1A2E"/>
                <w:sz w:val="22"/>
                <w:szCs w:val="22"/>
              </w:rPr>
              <w:t xml:space="preserve"> = X + MultiHead(LayerNorm(X))</w:t>
            </w:r>
          </w:p>
          <w:p>
            <w:pPr>
              <w:spacing w:after="60"/>
              <w:jc w:val="center"/>
            </w:pPr>
            <w:r>
              <w:rPr>
                <w:rFonts w:ascii="Courier New" w:cs="Courier New" w:eastAsia="Courier New" w:hAnsi="Courier New"/>
                <w:i/>
                <w:iCs/>
                <w:color w:val="666666"/>
                <w:sz w:val="18"/>
                <w:szCs w:val="18"/>
              </w:rPr>
              <w:t xml:space="preserve">Sub-layer 1: Attention with residual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X</w:t>
            </w:r>
            <w:r>
              <w:rPr>
                <w:rFonts w:ascii="Cambria Math" w:cs="Cambria Math" w:eastAsia="Cambria Math" w:hAnsi="Cambria Math"/>
                <w:color w:val="1A1A2E"/>
                <w:sz w:val="20"/>
                <w:szCs w:val="20"/>
              </w:rPr>
              <w:t xml:space="preserve">out</w:t>
            </w:r>
            <w:r>
              <w:rPr>
                <w:rFonts w:ascii="Cambria Math" w:cs="Cambria Math" w:eastAsia="Cambria Math" w:hAnsi="Cambria Math"/>
                <w:color w:val="1A1A2E"/>
                <w:sz w:val="22"/>
                <w:szCs w:val="22"/>
              </w:rPr>
              <w:t xml:space="preserve"> = X</w:t>
            </w:r>
            <w:r>
              <w:rPr>
                <w:rFonts w:ascii="Cambria Math" w:cs="Cambria Math" w:eastAsia="Cambria Math" w:hAnsi="Cambria Math"/>
                <w:color w:val="1A1A2E"/>
                <w:sz w:val="20"/>
                <w:szCs w:val="20"/>
              </w:rPr>
              <w:t xml:space="preserve">mid</w:t>
            </w:r>
            <w:r>
              <w:rPr>
                <w:rFonts w:ascii="Cambria Math" w:cs="Cambria Math" w:eastAsia="Cambria Math" w:hAnsi="Cambria Math"/>
                <w:color w:val="1A1A2E"/>
                <w:sz w:val="22"/>
                <w:szCs w:val="22"/>
              </w:rPr>
              <w:t xml:space="preserve"> + FFN(LayerNorm(X</w:t>
            </w:r>
            <w:r>
              <w:rPr>
                <w:rFonts w:ascii="Cambria Math" w:cs="Cambria Math" w:eastAsia="Cambria Math" w:hAnsi="Cambria Math"/>
                <w:color w:val="1A1A2E"/>
                <w:sz w:val="20"/>
                <w:szCs w:val="20"/>
              </w:rPr>
              <w:t xml:space="preserve">mid</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8"/>
                <w:szCs w:val="18"/>
              </w:rPr>
              <w:t xml:space="preserve">Sub-layer 2: FFN with residual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Repeat N times (typically N=6 or N=12)</w:t>
            </w:r>
          </w:p>
          <w:p>
            <w:pPr>
              <w:spacing w:after="60"/>
              <w:jc w:val="center"/>
            </w:pPr>
            <w:r>
              <w:rPr>
                <w:rFonts w:ascii="Courier New" w:cs="Courier New" w:eastAsia="Courier New" w:hAnsi="Courier New"/>
                <w:i/>
                <w:iCs/>
                <w:color w:val="666666"/>
                <w:sz w:val="18"/>
                <w:szCs w:val="18"/>
              </w:rPr>
              <w:t xml:space="preserve">Each block has its own learnable parameters: W^Q, W^K, W^V, W^O, W₁, W₂, γ₁, β₁, γ₂, β₂</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 CONCEPT: The Residual Stream</w:t>
            </w:r>
          </w:p>
          <w:p>
            <w:pPr>
              <w:spacing w:after="20"/>
            </w:pPr>
            <w:r>
              <w:rPr>
                <w:rFonts w:ascii="Arial" w:cs="Arial" w:eastAsia="Arial" w:hAnsi="Arial"/>
                <w:color w:val="1A1A2E"/>
                <w:sz w:val="19"/>
                <w:szCs w:val="19"/>
              </w:rPr>
              <w:t xml:space="preserve">The sequence of residual additions across N blocks creates what's called the "residual stream" — a running sum that accumulates refinements from each block. X_final = X_initial + ΔX_block1 + ΔX_block2 + ... + ΔX_blockN. Each block adds a small delta to the stream. This means every block can "read from" and "write to" a shared communication channel. Early blocks tend to add local/syntactic information, later blocks add semantic/global information. The residual stream is why transformers can be deep without vanishing gradients.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6A4F" w:sz="4"/>
              <w:bottom w:val="none" w:sz="0"/>
              <w:right w:val="none" w:sz="0"/>
            </w:tcBorders>
            <w:shd w:fill="E8F5E9" w:val="clear"/>
            <w:tcMar>
              <w:top w:type="dxa" w:w="40"/>
              <w:left w:type="dxa" w:w="160"/>
              <w:bottom w:type="dxa" w:w="40"/>
              <w:right w:type="dxa" w:w="160"/>
            </w:tcMar>
          </w:tcPr>
          <w:p>
            <w:pPr>
              <w:spacing w:after="20"/>
            </w:pPr>
            <w:r>
              <w:rPr>
                <w:rFonts w:ascii="Arial" w:cs="Arial" w:eastAsia="Arial" w:hAnsi="Arial"/>
                <w:b/>
                <w:bCs/>
                <w:color w:val="2D6A4F"/>
                <w:sz w:val="18"/>
                <w:szCs w:val="18"/>
              </w:rPr>
              <w:t xml:space="preserve">▲ GEOMETRIC: </w:t>
            </w:r>
            <w:r>
              <w:rPr>
                <w:rFonts w:ascii="Arial" w:cs="Arial" w:eastAsia="Arial" w:hAnsi="Arial"/>
                <w:color w:val="1A1A2E"/>
                <w:sz w:val="18"/>
                <w:szCs w:val="18"/>
              </w:rPr>
              <w:t xml:space="preserve">Monitor the residual stream norm ||X|| after each block. It should grow gradually (each block adds a delta). If it grows exponentially, training will diverge. If it shrinks, later blocks have diminishing influence. Typical healthy pattern: roughly linear growth in ||X|| across blocks. Also monitor: the cosine similarity between the residual deltas of adjacent blocks — if they're always orthogonal, the blocks are adding independent information (good). If they're parallel, later blocks may be redundant.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75000" w:sz="4"/>
              <w:bottom w:val="none" w:sz="0"/>
              <w:right w:val="none" w:sz="0"/>
            </w:tcBorders>
            <w:shd w:fill="FFF3E0" w:val="clear"/>
            <w:tcMar>
              <w:top w:type="dxa" w:w="40"/>
              <w:left w:type="dxa" w:w="160"/>
              <w:bottom w:type="dxa" w:w="40"/>
              <w:right w:type="dxa" w:w="160"/>
            </w:tcMar>
          </w:tcPr>
          <w:p>
            <w:pPr>
              <w:spacing w:after="20"/>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Track per-block: (1) ||attention_delta|| / ||ffn_delta|| — should be roughly balanced. (2) The contribution of each block to the final output: how much does removing block k change the output? (3) Cross-layer variance: do all blocks contribute similarly, or do some dominate?</w:t>
            </w:r>
          </w:p>
        </w:tc>
      </w:tr>
    </w:tbl>
    <w:r>
      <w:br w:type="page"/>
    </w:r>
    <w:p>
      <w:pPr>
        <w:pStyle w:val="Heading1"/>
      </w:pPr>
      <w:r>
        <w:rPr>
          <w:rFonts w:ascii="Arial" w:cs="Arial" w:eastAsia="Arial" w:hAnsi="Arial"/>
        </w:rPr>
        <w:t xml:space="preserve">Step 12: Cross-Attention (Encoder-Decoder Only)</w:t>
      </w:r>
    </w:p>
    <w:p>
      <w:pPr>
        <w:spacing w:after="100" w:line="276"/>
      </w:pPr>
      <w:r>
        <w:rPr>
          <w:rFonts w:ascii="Arial" w:cs="Arial" w:eastAsia="Arial" w:hAnsi="Arial"/>
          <w:color w:val="1A1A2E"/>
          <w:sz w:val="20"/>
          <w:szCs w:val="20"/>
        </w:rPr>
        <w:t xml:space="preserve">In encoder-decoder transformers, the decoder block has a third sub-layer between masked self-attention and FFN: cross-attention. This is where the decoder attends to the encoder output.</w:t>
      </w:r>
    </w:p>
    <w:p>
      <w:pPr>
        <w:pStyle w:val="Heading2"/>
      </w:pPr>
      <w:r>
        <w:rPr>
          <w:rFonts w:ascii="Arial" w:cs="Arial" w:eastAsia="Arial" w:hAnsi="Arial"/>
        </w:rPr>
        <w:t xml:space="preserve">12.1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Q = LayerNorm(X</w:t>
            </w:r>
            <w:r>
              <w:rPr>
                <w:rFonts w:ascii="Cambria Math" w:cs="Cambria Math" w:eastAsia="Cambria Math" w:hAnsi="Cambria Math"/>
                <w:color w:val="1A1A2E"/>
                <w:sz w:val="20"/>
                <w:szCs w:val="20"/>
              </w:rPr>
              <w:t xml:space="preserve">dec</w:t>
            </w:r>
            <w:r>
              <w:rPr>
                <w:rFonts w:ascii="Cambria Math" w:cs="Cambria Math" w:eastAsia="Cambria Math" w:hAnsi="Cambria Math"/>
                <w:color w:val="1A1A2E"/>
                <w:sz w:val="22"/>
                <w:szCs w:val="22"/>
              </w:rPr>
              <w:t xml:space="preserve">) · W</w:t>
            </w:r>
            <w:r>
              <w:rPr>
                <w:rFonts w:ascii="Cambria Math" w:cs="Cambria Math" w:eastAsia="Cambria Math" w:hAnsi="Cambria Math"/>
                <w:color w:val="1A1A2E"/>
                <w:sz w:val="17"/>
                <w:szCs w:val="17"/>
                <w:vertAlign w:val="superscript"/>
              </w:rPr>
              <w:t xml:space="preserve">Q</w:t>
            </w:r>
            <w:r>
              <w:rPr>
                <w:rFonts w:ascii="Cambria Math" w:cs="Cambria Math" w:eastAsia="Cambria Math" w:hAnsi="Cambria Math"/>
                <w:color w:val="1A1A2E"/>
                <w:sz w:val="22"/>
                <w:szCs w:val="22"/>
              </w:rPr>
              <w:t xml:space="preserve">     K = E</w:t>
            </w:r>
            <w:r>
              <w:rPr>
                <w:rFonts w:ascii="Cambria Math" w:cs="Cambria Math" w:eastAsia="Cambria Math" w:hAnsi="Cambria Math"/>
                <w:color w:val="1A1A2E"/>
                <w:sz w:val="20"/>
                <w:szCs w:val="20"/>
              </w:rPr>
              <w:t xml:space="preserve">enc</w:t>
            </w:r>
            <w:r>
              <w:rPr>
                <w:rFonts w:ascii="Cambria Math" w:cs="Cambria Math" w:eastAsia="Cambria Math" w:hAnsi="Cambria Math"/>
                <w:color w:val="1A1A2E"/>
                <w:sz w:val="22"/>
                <w:szCs w:val="22"/>
              </w:rPr>
              <w:t xml:space="preserve"> · W</w:t>
            </w:r>
            <w:r>
              <w:rPr>
                <w:rFonts w:ascii="Cambria Math" w:cs="Cambria Math" w:eastAsia="Cambria Math" w:hAnsi="Cambria Math"/>
                <w:color w:val="1A1A2E"/>
                <w:sz w:val="17"/>
                <w:szCs w:val="17"/>
                <w:vertAlign w:val="superscript"/>
              </w:rPr>
              <w:t xml:space="preserve">K</w:t>
            </w:r>
            <w:r>
              <w:rPr>
                <w:rFonts w:ascii="Cambria Math" w:cs="Cambria Math" w:eastAsia="Cambria Math" w:hAnsi="Cambria Math"/>
                <w:color w:val="1A1A2E"/>
                <w:sz w:val="22"/>
                <w:szCs w:val="22"/>
              </w:rPr>
              <w:t xml:space="preserve">     V = E</w:t>
            </w:r>
            <w:r>
              <w:rPr>
                <w:rFonts w:ascii="Cambria Math" w:cs="Cambria Math" w:eastAsia="Cambria Math" w:hAnsi="Cambria Math"/>
                <w:color w:val="1A1A2E"/>
                <w:sz w:val="20"/>
                <w:szCs w:val="20"/>
              </w:rPr>
              <w:t xml:space="preserve">enc</w:t>
            </w:r>
            <w:r>
              <w:rPr>
                <w:rFonts w:ascii="Cambria Math" w:cs="Cambria Math" w:eastAsia="Cambria Math" w:hAnsi="Cambria Math"/>
                <w:color w:val="1A1A2E"/>
                <w:sz w:val="22"/>
                <w:szCs w:val="22"/>
              </w:rPr>
              <w:t xml:space="preserve"> · W</w:t>
            </w:r>
            <w:r>
              <w:rPr>
                <w:rFonts w:ascii="Cambria Math" w:cs="Cambria Math" w:eastAsia="Cambria Math" w:hAnsi="Cambria Math"/>
                <w:color w:val="1A1A2E"/>
                <w:sz w:val="17"/>
                <w:szCs w:val="17"/>
                <w:vertAlign w:val="superscript"/>
              </w:rPr>
              <w:t xml:space="preserve">V</w:t>
            </w:r>
          </w:p>
          <w:p>
            <w:pPr>
              <w:spacing w:after="60"/>
              <w:jc w:val="center"/>
            </w:pPr>
            <w:r>
              <w:rPr>
                <w:rFonts w:ascii="Courier New" w:cs="Courier New" w:eastAsia="Courier New" w:hAnsi="Courier New"/>
                <w:i/>
                <w:iCs/>
                <w:color w:val="666666"/>
                <w:sz w:val="18"/>
                <w:szCs w:val="18"/>
              </w:rPr>
              <w:t xml:space="preserve">Q from decoder: [B, n_dec, d_model]  |  K,V from encoder: [B, n_enc, d_model]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Attention scores: [B, h, n</w:t>
            </w:r>
            <w:r>
              <w:rPr>
                <w:rFonts w:ascii="Cambria Math" w:cs="Cambria Math" w:eastAsia="Cambria Math" w:hAnsi="Cambria Math"/>
                <w:color w:val="1A1A2E"/>
                <w:sz w:val="20"/>
                <w:szCs w:val="20"/>
              </w:rPr>
              <w:t xml:space="preserve">dec</w:t>
            </w:r>
            <w:r>
              <w:rPr>
                <w:rFonts w:ascii="Cambria Math" w:cs="Cambria Math" w:eastAsia="Cambria Math" w:hAnsi="Cambria Math"/>
                <w:color w:val="1A1A2E"/>
                <w:sz w:val="22"/>
                <w:szCs w:val="22"/>
              </w:rPr>
              <w:t xml:space="preserve">, n</w:t>
            </w:r>
            <w:r>
              <w:rPr>
                <w:rFonts w:ascii="Cambria Math" w:cs="Cambria Math" w:eastAsia="Cambria Math" w:hAnsi="Cambria Math"/>
                <w:color w:val="1A1A2E"/>
                <w:sz w:val="20"/>
                <w:szCs w:val="20"/>
              </w:rPr>
              <w:t xml:space="preserve">enc</w:t>
            </w:r>
            <w:r>
              <w:rPr>
                <w:rFonts w:ascii="Cambria Math" w:cs="Cambria Math" w:eastAsia="Cambria Math" w:hAnsi="Cambria Math"/>
                <w:color w:val="1A1A2E"/>
                <w:sz w:val="22"/>
                <w:szCs w:val="22"/>
              </w:rPr>
              <w:t xml:space="preserve">]  — rectangular, not square!</w:t>
            </w:r>
          </w:p>
          <w:p>
            <w:pPr>
              <w:spacing w:after="60"/>
              <w:jc w:val="center"/>
            </w:pPr>
            <w:r>
              <w:rPr>
                <w:rFonts w:ascii="Courier New" w:cs="Courier New" w:eastAsia="Courier New" w:hAnsi="Courier New"/>
                <w:i/>
                <w:iCs/>
                <w:color w:val="666666"/>
                <w:sz w:val="18"/>
                <w:szCs w:val="18"/>
              </w:rPr>
              <w:t xml:space="preserve">Each decoder position attends to ALL encoder positions. No causal mask on cross-attention.</w:t>
            </w:r>
          </w:p>
        </w:tc>
      </w:tr>
    </w:tbl>
    <w:p>
      <w:pPr>
        <w:pStyle w:val="Heading2"/>
      </w:pPr>
      <w:r>
        <w:rPr>
          <w:rFonts w:ascii="Arial" w:cs="Arial" w:eastAsia="Arial" w:hAnsi="Arial"/>
        </w:rPr>
        <w:t xml:space="preserve">12.2 Dimension Flow</w:t>
      </w:r>
    </w:p>
    <w:p>
      <w:pPr>
        <w:spacing w:after="100" w:line="276"/>
      </w:pPr>
      <w:r>
        <w:rPr>
          <w:rFonts w:ascii="Arial" w:cs="Arial" w:eastAsia="Arial" w:hAnsi="Arial"/>
          <w:color w:val="1A1A2E"/>
          <w:sz w:val="20"/>
          <w:szCs w:val="20"/>
        </w:rPr>
        <w:t xml:space="preserve">This is where cross-attention differs from self-attention: the attention matrix is rectangular because the two sequences can have different lengths.</w:t>
      </w:r>
    </w:p>
    <w:p>
      <w:pPr>
        <w:spacing w:before="80" w:after="40"/>
        <w:jc w:val="center"/>
      </w:pPr>
      <w:r>
        <w:rPr>
          <w:rFonts w:ascii="Arial" w:cs="Arial" w:eastAsia="Arial" w:hAnsi="Arial"/>
          <w:i/>
          <w:iCs/>
          <w:color w:val="666666"/>
          <w:sz w:val="18"/>
          <w:szCs w:val="18"/>
        </w:rPr>
        <w:t xml:space="preserve">Self-attention vs Cross-attention comparison</w:t>
      </w:r>
    </w:p>
    <w:tbl>
      <w:tblPr>
        <w:tblW w:type="dxa" w:w="6999"/>
        <w:jc w:val="center"/>
        <w:tblBorders>
          <w:top w:val="single" w:color="auto" w:sz="4"/>
          <w:left w:val="single" w:color="auto" w:sz="4"/>
          <w:bottom w:val="single" w:color="auto" w:sz="4"/>
          <w:right w:val="single" w:color="auto" w:sz="4"/>
          <w:insideH w:val="single" w:color="auto" w:sz="4"/>
          <w:insideV w:val="single" w:color="auto" w:sz="4"/>
        </w:tblBorders>
      </w:tblPr>
      <w:tblGrid>
        <w:gridCol w:w="2333"/>
        <w:gridCol w:w="2333"/>
        <w:gridCol w:w="2333"/>
      </w:tblGrid>
      <w:tr>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Operation</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Self-Attention</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Cross-Attention</w:t>
            </w:r>
          </w:p>
        </w:tc>
      </w:tr>
      <w:tr>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Q source</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Same sequence</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Decoder output</w:t>
            </w:r>
          </w:p>
        </w:tc>
      </w:tr>
      <w:tr>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K source</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Same sequence</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Encoder output</w:t>
            </w:r>
          </w:p>
        </w:tc>
      </w:tr>
      <w:tr>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V source</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Same sequence</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Encoder output</w:t>
            </w:r>
          </w:p>
        </w:tc>
      </w:tr>
      <w:tr>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Score matrix</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[n, n] square</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[n_dec, n_enc] rectangular</w:t>
            </w:r>
          </w:p>
        </w:tc>
      </w:tr>
      <w:tr>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Causal mask?</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Yes (in decoder)</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No — full attention</w:t>
            </w:r>
          </w:p>
        </w:tc>
      </w:tr>
      <w:tr>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Output shape</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[B, n, d_model]</w:t>
            </w:r>
          </w:p>
        </w:tc>
        <w:tc>
          <w:tcPr>
            <w:tcW w:type="dxa" w:w="2333"/>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8"/>
                <w:szCs w:val="18"/>
              </w:rPr>
              <w:t xml:space="preserve">[B, n_dec, d_model]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 CONCEPT: Cross-Attention for Your Applications</w:t>
            </w:r>
          </w:p>
          <w:p>
            <w:pPr>
              <w:spacing w:after="20"/>
            </w:pPr>
            <w:r>
              <w:rPr>
                <w:rFonts w:ascii="Arial" w:cs="Arial" w:eastAsia="Arial" w:hAnsi="Arial"/>
                <w:color w:val="1A1A2E"/>
                <w:sz w:val="19"/>
                <w:szCs w:val="19"/>
              </w:rPr>
              <w:t xml:space="preserve">Cross-attention is the architectural primitive for connecting different data sources. The decoder generates Q ("what am I looking for?"), the encoder provides K/V ("here is what's available"). This pattern applies beyond language: sensor query attending to knowledge base, user question attending to retrieved documents (RAG), live data attending to historical reference patterns. The key design decision: which source generates Q (the "questioner") and which provides K/V (the "knowledge"). This is not symmetric — swapping Q and K/V sources changes what the model learns.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6A4F" w:sz="4"/>
              <w:bottom w:val="none" w:sz="0"/>
              <w:right w:val="none" w:sz="0"/>
            </w:tcBorders>
            <w:shd w:fill="E8F5E9" w:val="clear"/>
            <w:tcMar>
              <w:top w:type="dxa" w:w="40"/>
              <w:left w:type="dxa" w:w="160"/>
              <w:bottom w:type="dxa" w:w="40"/>
              <w:right w:type="dxa" w:w="160"/>
            </w:tcMar>
          </w:tcPr>
          <w:p>
            <w:pPr>
              <w:spacing w:after="20"/>
            </w:pPr>
            <w:r>
              <w:rPr>
                <w:rFonts w:ascii="Arial" w:cs="Arial" w:eastAsia="Arial" w:hAnsi="Arial"/>
                <w:b/>
                <w:bCs/>
                <w:color w:val="2D6A4F"/>
                <w:sz w:val="18"/>
                <w:szCs w:val="18"/>
              </w:rPr>
              <w:t xml:space="preserve">▲ GEOMETRIC: </w:t>
            </w:r>
            <w:r>
              <w:rPr>
                <w:rFonts w:ascii="Arial" w:cs="Arial" w:eastAsia="Arial" w:hAnsi="Arial"/>
                <w:color w:val="1A1A2E"/>
                <w:sz w:val="18"/>
                <w:szCs w:val="18"/>
              </w:rPr>
              <w:t xml:space="preserve">Cross-attention creates an alignment between two different representation spaces. Monitor: the attention weight distribution — does the decoder attend to a few encoder positions (focused retrieval) or spread attention broadly (aggregation)? For your applications: if the model attends too uniformly, it's not learning meaningful alignments between your data sources.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75000" w:sz="4"/>
              <w:bottom w:val="none" w:sz="0"/>
              <w:right w:val="none" w:sz="0"/>
            </w:tcBorders>
            <w:shd w:fill="FFF3E0" w:val="clear"/>
            <w:tcMar>
              <w:top w:type="dxa" w:w="40"/>
              <w:left w:type="dxa" w:w="160"/>
              <w:bottom w:type="dxa" w:w="40"/>
              <w:right w:type="dxa" w:w="160"/>
            </w:tcMar>
          </w:tcPr>
          <w:p>
            <w:pPr>
              <w:spacing w:after="20"/>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Cross-attention weights reveal how the model maps between sources. Monitor per head: (1) sparsity of attention over encoder positions — for retrieval tasks, you want peaked attention. (2) Whether different decoder positions attend to different encoder positions (diverse alignment) vs all attending to the same spot (collapse).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4"/>
              <w:bottom w:val="none" w:sz="0"/>
              <w:right w:val="none" w:sz="0"/>
            </w:tcBorders>
            <w:shd w:fill="FDE8EC" w:val="clear"/>
            <w:tcMar>
              <w:top w:type="dxa" w:w="40"/>
              <w:left w:type="dxa" w:w="160"/>
              <w:bottom w:type="dxa" w:w="40"/>
              <w:right w:type="dxa" w:w="160"/>
            </w:tcMar>
          </w:tcPr>
          <w:p>
            <w:pPr>
              <w:spacing w:after="20"/>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Cross-attention score computation: O(n_dec × n_enc × d_k) per head. Unlike self-attention, this is not O(n²) — it depends on both sequence lengths independently. If n_enc ≫ n_dec (large knowledge base, short query), this is dominated by n_enc. Memory for attention weights: B × h × n_dec × n_enc.</w:t>
            </w:r>
          </w:p>
        </w:tc>
      </w:tr>
    </w:tbl>
    <w:r>
      <w:br w:type="page"/>
    </w:r>
    <w:p>
      <w:pPr>
        <w:pStyle w:val="Heading1"/>
      </w:pPr>
      <w:r>
        <w:rPr>
          <w:rFonts w:ascii="Arial" w:cs="Arial" w:eastAsia="Arial" w:hAnsi="Arial"/>
        </w:rPr>
        <w:t xml:space="preserve">Step 13: Output Head</w:t>
      </w:r>
    </w:p>
    <w:p>
      <w:pPr>
        <w:spacing w:after="100" w:line="276"/>
      </w:pPr>
      <w:r>
        <w:rPr>
          <w:rFonts w:ascii="Arial" w:cs="Arial" w:eastAsia="Arial" w:hAnsi="Arial"/>
          <w:color w:val="1A1A2E"/>
          <w:sz w:val="20"/>
          <w:szCs w:val="20"/>
        </w:rPr>
        <w:t xml:space="preserve">After N blocks, the final representation is projected to the output space. The output head varies by task.</w:t>
      </w:r>
    </w:p>
    <w:p>
      <w:pPr>
        <w:pStyle w:val="Heading2"/>
      </w:pPr>
      <w:r>
        <w:rPr>
          <w:rFonts w:ascii="Arial" w:cs="Arial" w:eastAsia="Arial" w:hAnsi="Arial"/>
        </w:rPr>
        <w:t xml:space="preserve">13.1 Language Model (Next Token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logits = LayerNorm(X</w:t>
            </w:r>
            <w:r>
              <w:rPr>
                <w:rFonts w:ascii="Cambria Math" w:cs="Cambria Math" w:eastAsia="Cambria Math" w:hAnsi="Cambria Math"/>
                <w:color w:val="1A1A2E"/>
                <w:sz w:val="20"/>
                <w:szCs w:val="20"/>
              </w:rPr>
              <w:t xml:space="preserve">final</w:t>
            </w:r>
            <w:r>
              <w:rPr>
                <w:rFonts w:ascii="Cambria Math" w:cs="Cambria Math" w:eastAsia="Cambria Math" w:hAnsi="Cambria Math"/>
                <w:color w:val="1A1A2E"/>
                <w:sz w:val="22"/>
                <w:szCs w:val="22"/>
              </w:rPr>
              <w:t xml:space="preserve">) · W</w:t>
            </w:r>
            <w:r>
              <w:rPr>
                <w:rFonts w:ascii="Cambria Math" w:cs="Cambria Math" w:eastAsia="Cambria Math" w:hAnsi="Cambria Math"/>
                <w:color w:val="1A1A2E"/>
                <w:sz w:val="20"/>
                <w:szCs w:val="20"/>
              </w:rPr>
              <w:t xml:space="preserve">vocab</w:t>
            </w:r>
            <w:r>
              <w:rPr>
                <w:rFonts w:ascii="Cambria Math" w:cs="Cambria Math" w:eastAsia="Cambria Math" w:hAnsi="Cambria Math"/>
                <w:color w:val="1A1A2E"/>
                <w:sz w:val="22"/>
                <w:szCs w:val="22"/>
              </w:rPr>
              <w:t xml:space="preserve">          W</w:t>
            </w:r>
            <w:r>
              <w:rPr>
                <w:rFonts w:ascii="Cambria Math" w:cs="Cambria Math" w:eastAsia="Cambria Math" w:hAnsi="Cambria Math"/>
                <w:color w:val="1A1A2E"/>
                <w:sz w:val="20"/>
                <w:szCs w:val="20"/>
              </w:rPr>
              <w:t xml:space="preserve">vocab</w:t>
            </w:r>
            <w:r>
              <w:rPr>
                <w:rFonts w:ascii="Cambria Math" w:cs="Cambria Math" w:eastAsia="Cambria Math" w:hAnsi="Cambria Math"/>
                <w:color w:val="1A1A2E"/>
                <w:sz w:val="22"/>
                <w:szCs w:val="22"/>
              </w:rPr>
              <w:t xml:space="preserve"> ∈ [d</w:t>
            </w:r>
            <w:r>
              <w:rPr>
                <w:rFonts w:ascii="Cambria Math" w:cs="Cambria Math" w:eastAsia="Cambria Math" w:hAnsi="Cambria Math"/>
                <w:color w:val="1A1A2E"/>
                <w:sz w:val="20"/>
                <w:szCs w:val="20"/>
              </w:rPr>
              <w:t xml:space="preserve">model</w:t>
            </w:r>
            <w:r>
              <w:rPr>
                <w:rFonts w:ascii="Cambria Math" w:cs="Cambria Math" w:eastAsia="Cambria Math" w:hAnsi="Cambria Math"/>
                <w:color w:val="1A1A2E"/>
                <w:sz w:val="22"/>
                <w:szCs w:val="22"/>
              </w:rPr>
              <w:t xml:space="preserve">, V]</w:t>
            </w:r>
          </w:p>
          <w:p>
            <w:pPr>
              <w:spacing w:after="60"/>
              <w:jc w:val="center"/>
            </w:pPr>
            <w:r>
              <w:rPr>
                <w:rFonts w:ascii="Courier New" w:cs="Courier New" w:eastAsia="Courier New" w:hAnsi="Courier New"/>
                <w:i/>
                <w:iCs/>
                <w:color w:val="666666"/>
                <w:sz w:val="18"/>
                <w:szCs w:val="18"/>
              </w:rPr>
              <w:t xml:space="preserve">Output: [B, n, V] — logit scores over vocabulary for each 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P(token) = softmax(logits)</w:t>
            </w:r>
          </w:p>
          <w:p>
            <w:pPr>
              <w:spacing w:after="60"/>
              <w:jc w:val="center"/>
            </w:pPr>
            <w:r>
              <w:rPr>
                <w:rFonts w:ascii="Courier New" w:cs="Courier New" w:eastAsia="Courier New" w:hAnsi="Courier New"/>
                <w:i/>
                <w:iCs/>
                <w:color w:val="666666"/>
                <w:sz w:val="18"/>
                <w:szCs w:val="18"/>
              </w:rPr>
              <w:t xml:space="preserve">[B, n, V] — probability distribution over vocabulary for each position</w:t>
            </w:r>
          </w:p>
        </w:tc>
      </w:tr>
    </w:tbl>
    <w:p>
      <w:pPr>
        <w:pStyle w:val="Heading2"/>
      </w:pPr>
      <w:r>
        <w:rPr>
          <w:rFonts w:ascii="Arial" w:cs="Arial" w:eastAsia="Arial" w:hAnsi="Arial"/>
        </w:rPr>
        <w:t xml:space="preserve">13.2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logits = W</w:t>
            </w:r>
            <w:r>
              <w:rPr>
                <w:rFonts w:ascii="Cambria Math" w:cs="Cambria Math" w:eastAsia="Cambria Math" w:hAnsi="Cambria Math"/>
                <w:color w:val="1A1A2E"/>
                <w:sz w:val="20"/>
                <w:szCs w:val="20"/>
              </w:rPr>
              <w:t xml:space="preserve">cls</w:t>
            </w:r>
            <w:r>
              <w:rPr>
                <w:rFonts w:ascii="Cambria Math" w:cs="Cambria Math" w:eastAsia="Cambria Math" w:hAnsi="Cambria Math"/>
                <w:color w:val="1A1A2E"/>
                <w:sz w:val="22"/>
                <w:szCs w:val="22"/>
              </w:rPr>
              <w:t xml:space="preserve"> · X</w:t>
            </w:r>
            <w:r>
              <w:rPr>
                <w:rFonts w:ascii="Cambria Math" w:cs="Cambria Math" w:eastAsia="Cambria Math" w:hAnsi="Cambria Math"/>
                <w:color w:val="1A1A2E"/>
                <w:sz w:val="20"/>
                <w:szCs w:val="20"/>
              </w:rPr>
              <w:t xml:space="preserve">final</w:t>
            </w:r>
            <w:r>
              <w:rPr>
                <w:rFonts w:ascii="Cambria Math" w:cs="Cambria Math" w:eastAsia="Cambria Math" w:hAnsi="Cambria Math"/>
                <w:color w:val="1A1A2E"/>
                <w:sz w:val="22"/>
                <w:szCs w:val="22"/>
              </w:rPr>
              <w:t xml:space="preserve">[CLS] + b</w:t>
            </w:r>
            <w:r>
              <w:rPr>
                <w:rFonts w:ascii="Cambria Math" w:cs="Cambria Math" w:eastAsia="Cambria Math" w:hAnsi="Cambria Math"/>
                <w:color w:val="1A1A2E"/>
                <w:sz w:val="20"/>
                <w:szCs w:val="20"/>
              </w:rPr>
              <w:t xml:space="preserve">cls</w:t>
            </w:r>
            <w:r>
              <w:rPr>
                <w:rFonts w:ascii="Cambria Math" w:cs="Cambria Math" w:eastAsia="Cambria Math" w:hAnsi="Cambria Math"/>
                <w:color w:val="1A1A2E"/>
                <w:sz w:val="22"/>
                <w:szCs w:val="22"/>
              </w:rPr>
              <w:t xml:space="preserve">          W</w:t>
            </w:r>
            <w:r>
              <w:rPr>
                <w:rFonts w:ascii="Cambria Math" w:cs="Cambria Math" w:eastAsia="Cambria Math" w:hAnsi="Cambria Math"/>
                <w:color w:val="1A1A2E"/>
                <w:sz w:val="20"/>
                <w:szCs w:val="20"/>
              </w:rPr>
              <w:t xml:space="preserve">cls</w:t>
            </w:r>
            <w:r>
              <w:rPr>
                <w:rFonts w:ascii="Cambria Math" w:cs="Cambria Math" w:eastAsia="Cambria Math" w:hAnsi="Cambria Math"/>
                <w:color w:val="1A1A2E"/>
                <w:sz w:val="22"/>
                <w:szCs w:val="22"/>
              </w:rPr>
              <w:t xml:space="preserve"> ∈ [d</w:t>
            </w:r>
            <w:r>
              <w:rPr>
                <w:rFonts w:ascii="Cambria Math" w:cs="Cambria Math" w:eastAsia="Cambria Math" w:hAnsi="Cambria Math"/>
                <w:color w:val="1A1A2E"/>
                <w:sz w:val="20"/>
                <w:szCs w:val="20"/>
              </w:rPr>
              <w:t xml:space="preserve">model</w:t>
            </w:r>
            <w:r>
              <w:rPr>
                <w:rFonts w:ascii="Cambria Math" w:cs="Cambria Math" w:eastAsia="Cambria Math" w:hAnsi="Cambria Math"/>
                <w:color w:val="1A1A2E"/>
                <w:sz w:val="22"/>
                <w:szCs w:val="22"/>
              </w:rPr>
              <w:t xml:space="preserve">, num_classes]</w:t>
            </w:r>
          </w:p>
          <w:p>
            <w:pPr>
              <w:spacing w:after="60"/>
              <w:jc w:val="center"/>
            </w:pPr>
            <w:r>
              <w:rPr>
                <w:rFonts w:ascii="Courier New" w:cs="Courier New" w:eastAsia="Courier New" w:hAnsi="Courier New"/>
                <w:i/>
                <w:iCs/>
                <w:color w:val="666666"/>
                <w:sz w:val="18"/>
                <w:szCs w:val="18"/>
              </w:rPr>
              <w:t xml:space="preserve">Take the [CLS] token (or mean-pool all tokens) then project to class logits</w:t>
            </w:r>
          </w:p>
        </w:tc>
      </w:tr>
    </w:tbl>
    <w:p>
      <w:pPr>
        <w:pStyle w:val="Heading2"/>
      </w:pPr>
      <w:r>
        <w:rPr>
          <w:rFonts w:ascii="Arial" w:cs="Arial" w:eastAsia="Arial" w:hAnsi="Arial"/>
        </w:rPr>
        <w:t xml:space="preserve">13.3 Regression / Anomaly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score = W</w:t>
            </w:r>
            <w:r>
              <w:rPr>
                <w:rFonts w:ascii="Cambria Math" w:cs="Cambria Math" w:eastAsia="Cambria Math" w:hAnsi="Cambria Math"/>
                <w:color w:val="1A1A2E"/>
                <w:sz w:val="20"/>
                <w:szCs w:val="20"/>
              </w:rPr>
              <w:t xml:space="preserve">reg</w:t>
            </w:r>
            <w:r>
              <w:rPr>
                <w:rFonts w:ascii="Cambria Math" w:cs="Cambria Math" w:eastAsia="Cambria Math" w:hAnsi="Cambria Math"/>
                <w:color w:val="1A1A2E"/>
                <w:sz w:val="22"/>
                <w:szCs w:val="22"/>
              </w:rPr>
              <w:t xml:space="preserve"> · pool(X</w:t>
            </w:r>
            <w:r>
              <w:rPr>
                <w:rFonts w:ascii="Cambria Math" w:cs="Cambria Math" w:eastAsia="Cambria Math" w:hAnsi="Cambria Math"/>
                <w:color w:val="1A1A2E"/>
                <w:sz w:val="20"/>
                <w:szCs w:val="20"/>
              </w:rPr>
              <w:t xml:space="preserve">final</w:t>
            </w:r>
            <w:r>
              <w:rPr>
                <w:rFonts w:ascii="Cambria Math" w:cs="Cambria Math" w:eastAsia="Cambria Math" w:hAnsi="Cambria Math"/>
                <w:color w:val="1A1A2E"/>
                <w:sz w:val="22"/>
                <w:szCs w:val="22"/>
              </w:rPr>
              <w:t xml:space="preserve">) + b</w:t>
            </w:r>
            <w:r>
              <w:rPr>
                <w:rFonts w:ascii="Cambria Math" w:cs="Cambria Math" w:eastAsia="Cambria Math" w:hAnsi="Cambria Math"/>
                <w:color w:val="1A1A2E"/>
                <w:sz w:val="20"/>
                <w:szCs w:val="20"/>
              </w:rPr>
              <w:t xml:space="preserve">reg</w:t>
            </w:r>
            <w:r>
              <w:rPr>
                <w:rFonts w:ascii="Cambria Math" w:cs="Cambria Math" w:eastAsia="Cambria Math" w:hAnsi="Cambria Math"/>
                <w:color w:val="1A1A2E"/>
                <w:sz w:val="22"/>
                <w:szCs w:val="22"/>
              </w:rPr>
              <w:t xml:space="preserve">          W</w:t>
            </w:r>
            <w:r>
              <w:rPr>
                <w:rFonts w:ascii="Cambria Math" w:cs="Cambria Math" w:eastAsia="Cambria Math" w:hAnsi="Cambria Math"/>
                <w:color w:val="1A1A2E"/>
                <w:sz w:val="20"/>
                <w:szCs w:val="20"/>
              </w:rPr>
              <w:t xml:space="preserve">reg</w:t>
            </w:r>
            <w:r>
              <w:rPr>
                <w:rFonts w:ascii="Cambria Math" w:cs="Cambria Math" w:eastAsia="Cambria Math" w:hAnsi="Cambria Math"/>
                <w:color w:val="1A1A2E"/>
                <w:sz w:val="22"/>
                <w:szCs w:val="22"/>
              </w:rPr>
              <w:t xml:space="preserve"> ∈ [d</w:t>
            </w:r>
            <w:r>
              <w:rPr>
                <w:rFonts w:ascii="Cambria Math" w:cs="Cambria Math" w:eastAsia="Cambria Math" w:hAnsi="Cambria Math"/>
                <w:color w:val="1A1A2E"/>
                <w:sz w:val="20"/>
                <w:szCs w:val="20"/>
              </w:rPr>
              <w:t xml:space="preserve">model</w:t>
            </w:r>
            <w:r>
              <w:rPr>
                <w:rFonts w:ascii="Cambria Math" w:cs="Cambria Math" w:eastAsia="Cambria Math" w:hAnsi="Cambria Math"/>
                <w:color w:val="1A1A2E"/>
                <w:sz w:val="22"/>
                <w:szCs w:val="22"/>
              </w:rPr>
              <w:t xml:space="preserve">, 1]</w:t>
            </w:r>
          </w:p>
          <w:p>
            <w:pPr>
              <w:spacing w:after="60"/>
              <w:jc w:val="center"/>
            </w:pPr>
            <w:r>
              <w:rPr>
                <w:rFonts w:ascii="Courier New" w:cs="Courier New" w:eastAsia="Courier New" w:hAnsi="Courier New"/>
                <w:i/>
                <w:iCs/>
                <w:color w:val="666666"/>
                <w:sz w:val="18"/>
                <w:szCs w:val="18"/>
              </w:rPr>
              <w:t xml:space="preserve">Pool (mean/max/CLS) then project to scalar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 CONCEPT: Output Head as Task Definition</w:t>
            </w:r>
          </w:p>
          <w:p>
            <w:pPr>
              <w:spacing w:after="20"/>
            </w:pPr>
            <w:r>
              <w:rPr>
                <w:rFonts w:ascii="Arial" w:cs="Arial" w:eastAsia="Arial" w:hAnsi="Arial"/>
                <w:color w:val="1A1A2E"/>
                <w:sz w:val="19"/>
                <w:szCs w:val="19"/>
              </w:rPr>
              <w:t xml:space="preserve">The transformer body (Steps 1–12) builds general-purpose representations. The output head adapts them to your specific task. This is why fine-tuning works: you can replace just the output head and keep the body. For your applications, the output head is the most directly customizable part. Anomaly detection: regression head on reconstruction error. Classification: softmax head. Similarity search: no head at all — use the raw embeddings. Multi-task: multiple heads on the same body.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75000" w:sz="4"/>
              <w:bottom w:val="none" w:sz="0"/>
              <w:right w:val="none" w:sz="0"/>
            </w:tcBorders>
            <w:shd w:fill="FFF3E0" w:val="clear"/>
            <w:tcMar>
              <w:top w:type="dxa" w:w="40"/>
              <w:left w:type="dxa" w:w="160"/>
              <w:bottom w:type="dxa" w:w="40"/>
              <w:right w:type="dxa" w:w="160"/>
            </w:tcMar>
          </w:tcPr>
          <w:p>
            <w:pPr>
              <w:spacing w:after="20"/>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For language models: monitor the softmax temperature (implicit in logit magnitudes). If logits are very large, the distribution is peaked (confident but brittle). If logits are small, the distribution is flat (uncertain). Monitor: entropy of output distributions during training — should decrease over time as the model becomes more confident. Perplexity = exp(cross-entropy loss) is the standard quality metric.</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4"/>
              <w:bottom w:val="none" w:sz="0"/>
              <w:right w:val="none" w:sz="0"/>
            </w:tcBorders>
            <w:shd w:fill="FDE8EC" w:val="clear"/>
            <w:tcMar>
              <w:top w:type="dxa" w:w="40"/>
              <w:left w:type="dxa" w:w="160"/>
              <w:bottom w:type="dxa" w:w="40"/>
              <w:right w:type="dxa" w:w="160"/>
            </w:tcMar>
          </w:tcPr>
          <w:p>
            <w:pPr>
              <w:spacing w:after="20"/>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For language models, W_vocab is often tied to (transpose of) the input embedding matrix W_embed. This weight tying saves V × d_model parameters and often improves performance. Memory: the output softmax over V classes requires storing [B, n, V] logits — for V=50000, B=32, n=512: 3.3GB in float32. This is why large-vocab models use special techniques (adaptive softmax, mixture of softmax).</w:t>
            </w:r>
          </w:p>
        </w:tc>
      </w:tr>
    </w:tbl>
    <w:r>
      <w:br w:type="page"/>
    </w:r>
    <w:p>
      <w:pPr>
        <w:pStyle w:val="Heading1"/>
      </w:pPr>
      <w:r>
        <w:rPr>
          <w:rFonts w:ascii="Arial" w:cs="Arial" w:eastAsia="Arial" w:hAnsi="Arial"/>
        </w:rPr>
        <w:t xml:space="preserve">Step 14: Loss Function &amp; Training Signal</w:t>
      </w:r>
    </w:p>
    <w:p>
      <w:pPr>
        <w:spacing w:after="100" w:line="276"/>
      </w:pPr>
      <w:r>
        <w:rPr>
          <w:rFonts w:ascii="Arial" w:cs="Arial" w:eastAsia="Arial" w:hAnsi="Arial"/>
          <w:color w:val="1A1A2E"/>
          <w:sz w:val="20"/>
          <w:szCs w:val="20"/>
        </w:rPr>
        <w:t xml:space="preserve">The loss function defines what "correct" means for your task. It compares the model's output to the ground truth and produces a scalar that the optimizer minimizes.</w:t>
      </w:r>
    </w:p>
    <w:p>
      <w:pPr>
        <w:pStyle w:val="Heading2"/>
      </w:pPr>
      <w:r>
        <w:rPr>
          <w:rFonts w:ascii="Arial" w:cs="Arial" w:eastAsia="Arial" w:hAnsi="Arial"/>
        </w:rPr>
        <w:t xml:space="preserve">14.1 Cross-Entropy Loss (Classification / Language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L = −(1/n) ∑</w:t>
            </w:r>
            <w:r>
              <w:rPr>
                <w:rFonts w:ascii="Cambria Math" w:cs="Cambria Math" w:eastAsia="Cambria Math" w:hAnsi="Cambria Math"/>
                <w:color w:val="1A1A2E"/>
                <w:sz w:val="20"/>
                <w:szCs w:val="20"/>
              </w:rPr>
              <w:t xml:space="preserve">i</w:t>
            </w:r>
            <w:r>
              <w:rPr>
                <w:rFonts w:ascii="Cambria Math" w:cs="Cambria Math" w:eastAsia="Cambria Math" w:hAnsi="Cambria Math"/>
                <w:color w:val="1A1A2E"/>
                <w:sz w:val="22"/>
                <w:szCs w:val="22"/>
              </w:rPr>
              <w:t xml:space="preserve"> log P(y</w:t>
            </w:r>
            <w:r>
              <w:rPr>
                <w:rFonts w:ascii="Cambria Math" w:cs="Cambria Math" w:eastAsia="Cambria Math" w:hAnsi="Cambria Math"/>
                <w:color w:val="1A1A2E"/>
                <w:sz w:val="20"/>
                <w:szCs w:val="20"/>
              </w:rPr>
              <w:t xml:space="preserve">i</w:t>
            </w:r>
            <w:r>
              <w:rPr>
                <w:rFonts w:ascii="Cambria Math" w:cs="Cambria Math" w:eastAsia="Cambria Math" w:hAnsi="Cambria Math"/>
                <w:color w:val="1A1A2E"/>
                <w:sz w:val="22"/>
                <w:szCs w:val="22"/>
              </w:rPr>
              <w:t xml:space="preserve"> | x)</w:t>
            </w:r>
          </w:p>
          <w:p>
            <w:pPr>
              <w:spacing w:after="60"/>
              <w:jc w:val="center"/>
            </w:pPr>
            <w:r>
              <w:rPr>
                <w:rFonts w:ascii="Courier New" w:cs="Courier New" w:eastAsia="Courier New" w:hAnsi="Courier New"/>
                <w:i/>
                <w:iCs/>
                <w:color w:val="666666"/>
                <w:sz w:val="18"/>
                <w:szCs w:val="18"/>
              </w:rPr>
              <w:t xml:space="preserve">Average negative log-probability of the correct token/class at each position</w:t>
            </w:r>
          </w:p>
        </w:tc>
      </w:tr>
    </w:tbl>
    <w:p>
      <w:pPr>
        <w:pStyle w:val="Heading2"/>
      </w:pPr>
      <w:r>
        <w:rPr>
          <w:rFonts w:ascii="Arial" w:cs="Arial" w:eastAsia="Arial" w:hAnsi="Arial"/>
        </w:rPr>
        <w:t xml:space="preserve">14.2 MSE Loss (Regression /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L = (1/n) ∑</w:t>
            </w:r>
            <w:r>
              <w:rPr>
                <w:rFonts w:ascii="Cambria Math" w:cs="Cambria Math" w:eastAsia="Cambria Math" w:hAnsi="Cambria Math"/>
                <w:color w:val="1A1A2E"/>
                <w:sz w:val="20"/>
                <w:szCs w:val="20"/>
              </w:rPr>
              <w:t xml:space="preserve">i</w:t>
            </w:r>
            <w:r>
              <w:rPr>
                <w:rFonts w:ascii="Cambria Math" w:cs="Cambria Math" w:eastAsia="Cambria Math" w:hAnsi="Cambria Math"/>
                <w:color w:val="1A1A2E"/>
                <w:sz w:val="22"/>
                <w:szCs w:val="22"/>
              </w:rPr>
              <w:t xml:space="preserve"> ||ŷ</w:t>
            </w:r>
            <w:r>
              <w:rPr>
                <w:rFonts w:ascii="Cambria Math" w:cs="Cambria Math" w:eastAsia="Cambria Math" w:hAnsi="Cambria Math"/>
                <w:color w:val="1A1A2E"/>
                <w:sz w:val="20"/>
                <w:szCs w:val="20"/>
              </w:rPr>
              <w:t xml:space="preserve">i</w:t>
            </w:r>
            <w:r>
              <w:rPr>
                <w:rFonts w:ascii="Cambria Math" w:cs="Cambria Math" w:eastAsia="Cambria Math" w:hAnsi="Cambria Math"/>
                <w:color w:val="1A1A2E"/>
                <w:sz w:val="22"/>
                <w:szCs w:val="22"/>
              </w:rPr>
              <w:t xml:space="preserve"> − y</w:t>
            </w:r>
            <w:r>
              <w:rPr>
                <w:rFonts w:ascii="Cambria Math" w:cs="Cambria Math" w:eastAsia="Cambria Math" w:hAnsi="Cambria Math"/>
                <w:color w:val="1A1A2E"/>
                <w:sz w:val="20"/>
                <w:szCs w:val="20"/>
              </w:rPr>
              <w:t xml:space="preserve">i</w:t>
            </w:r>
            <w:r>
              <w:rPr>
                <w:rFonts w:ascii="Cambria Math" w:cs="Cambria Math" w:eastAsia="Cambria Math" w:hAnsi="Cambria Math"/>
                <w:color w:val="1A1A2E"/>
                <w:sz w:val="22"/>
                <w:szCs w:val="22"/>
              </w:rPr>
              <w:t xml:space="preserve">||²</w:t>
            </w:r>
          </w:p>
          <w:p>
            <w:pPr>
              <w:spacing w:after="60"/>
              <w:jc w:val="center"/>
            </w:pPr>
            <w:r>
              <w:rPr>
                <w:rFonts w:ascii="Courier New" w:cs="Courier New" w:eastAsia="Courier New" w:hAnsi="Courier New"/>
                <w:i/>
                <w:iCs/>
                <w:color w:val="666666"/>
                <w:sz w:val="18"/>
                <w:szCs w:val="18"/>
              </w:rPr>
              <w:t xml:space="preserve">Average squared error between prediction and target</w:t>
            </w:r>
          </w:p>
        </w:tc>
      </w:tr>
    </w:tbl>
    <w:p>
      <w:pPr>
        <w:pStyle w:val="Heading2"/>
      </w:pPr>
      <w:r>
        <w:rPr>
          <w:rFonts w:ascii="Arial" w:cs="Arial" w:eastAsia="Arial" w:hAnsi="Arial"/>
        </w:rPr>
        <w:t xml:space="preserve">14.3 AdamW Optimizer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60"/>
              <w:jc w:val="center"/>
            </w:pPr>
            <w:r>
              <w:rPr>
                <w:rFonts w:ascii="Cambria Math" w:cs="Cambria Math" w:eastAsia="Cambria Math" w:hAnsi="Cambria Math"/>
                <w:color w:val="1A1A2E"/>
                <w:sz w:val="22"/>
                <w:szCs w:val="22"/>
              </w:rPr>
              <w:t xml:space="preserve">m</w:t>
            </w:r>
            <w:r>
              <w:rPr>
                <w:rFonts w:ascii="Cambria Math" w:cs="Cambria Math" w:eastAsia="Cambria Math" w:hAnsi="Cambria Math"/>
                <w:color w:val="1A1A2E"/>
                <w:sz w:val="20"/>
                <w:szCs w:val="20"/>
              </w:rPr>
              <w:t xml:space="preserve">t</w:t>
            </w:r>
            <w:r>
              <w:rPr>
                <w:rFonts w:ascii="Cambria Math" w:cs="Cambria Math" w:eastAsia="Cambria Math" w:hAnsi="Cambria Math"/>
                <w:color w:val="1A1A2E"/>
                <w:sz w:val="22"/>
                <w:szCs w:val="22"/>
              </w:rPr>
              <w:t xml:space="preserve"> = β₁ m</w:t>
            </w:r>
            <w:r>
              <w:rPr>
                <w:rFonts w:ascii="Cambria Math" w:cs="Cambria Math" w:eastAsia="Cambria Math" w:hAnsi="Cambria Math"/>
                <w:color w:val="1A1A2E"/>
                <w:sz w:val="20"/>
                <w:szCs w:val="20"/>
              </w:rPr>
              <w:t xml:space="preserve">t-1</w:t>
            </w:r>
            <w:r>
              <w:rPr>
                <w:rFonts w:ascii="Cambria Math" w:cs="Cambria Math" w:eastAsia="Cambria Math" w:hAnsi="Cambria Math"/>
                <w:color w:val="1A1A2E"/>
                <w:sz w:val="22"/>
                <w:szCs w:val="22"/>
              </w:rPr>
              <w:t xml:space="preserve"> + (1−β₁) g</w:t>
            </w:r>
            <w:r>
              <w:rPr>
                <w:rFonts w:ascii="Cambria Math" w:cs="Cambria Math" w:eastAsia="Cambria Math" w:hAnsi="Cambria Math"/>
                <w:color w:val="1A1A2E"/>
                <w:sz w:val="20"/>
                <w:szCs w:val="20"/>
              </w:rPr>
              <w:t xml:space="preserve">t</w:t>
            </w:r>
            <w:r>
              <w:rPr>
                <w:rFonts w:ascii="Cambria Math" w:cs="Cambria Math" w:eastAsia="Cambria Math" w:hAnsi="Cambria Math"/>
                <w:color w:val="1A1A2E"/>
                <w:sz w:val="22"/>
                <w:szCs w:val="22"/>
              </w:rPr>
              <w:t xml:space="preserve">          (momentum)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60"/>
              <w:jc w:val="center"/>
            </w:pPr>
            <w:r>
              <w:rPr>
                <w:rFonts w:ascii="Cambria Math" w:cs="Cambria Math" w:eastAsia="Cambria Math" w:hAnsi="Cambria Math"/>
                <w:color w:val="1A1A2E"/>
                <w:sz w:val="22"/>
                <w:szCs w:val="22"/>
              </w:rPr>
              <w:t xml:space="preserve">v</w:t>
            </w:r>
            <w:r>
              <w:rPr>
                <w:rFonts w:ascii="Cambria Math" w:cs="Cambria Math" w:eastAsia="Cambria Math" w:hAnsi="Cambria Math"/>
                <w:color w:val="1A1A2E"/>
                <w:sz w:val="20"/>
                <w:szCs w:val="20"/>
              </w:rPr>
              <w:t xml:space="preserve">t</w:t>
            </w:r>
            <w:r>
              <w:rPr>
                <w:rFonts w:ascii="Cambria Math" w:cs="Cambria Math" w:eastAsia="Cambria Math" w:hAnsi="Cambria Math"/>
                <w:color w:val="1A1A2E"/>
                <w:sz w:val="22"/>
                <w:szCs w:val="22"/>
              </w:rPr>
              <w:t xml:space="preserve"> = β₂ v</w:t>
            </w:r>
            <w:r>
              <w:rPr>
                <w:rFonts w:ascii="Cambria Math" w:cs="Cambria Math" w:eastAsia="Cambria Math" w:hAnsi="Cambria Math"/>
                <w:color w:val="1A1A2E"/>
                <w:sz w:val="20"/>
                <w:szCs w:val="20"/>
              </w:rPr>
              <w:t xml:space="preserve">t-1</w:t>
            </w:r>
            <w:r>
              <w:rPr>
                <w:rFonts w:ascii="Cambria Math" w:cs="Cambria Math" w:eastAsia="Cambria Math" w:hAnsi="Cambria Math"/>
                <w:color w:val="1A1A2E"/>
                <w:sz w:val="22"/>
                <w:szCs w:val="22"/>
              </w:rPr>
              <w:t xml:space="preserve"> + (1−β₂) g</w:t>
            </w:r>
            <w:r>
              <w:rPr>
                <w:rFonts w:ascii="Cambria Math" w:cs="Cambria Math" w:eastAsia="Cambria Math" w:hAnsi="Cambria Math"/>
                <w:color w:val="1A1A2E"/>
                <w:sz w:val="20"/>
                <w:szCs w:val="20"/>
              </w:rPr>
              <w:t xml:space="preserve">t</w:t>
            </w:r>
            <w:r>
              <w:rPr>
                <w:rFonts w:ascii="Cambria Math" w:cs="Cambria Math" w:eastAsia="Cambria Math" w:hAnsi="Cambria Math"/>
                <w:color w:val="1A1A2E"/>
                <w:sz w:val="22"/>
                <w:szCs w:val="22"/>
              </w:rPr>
              <w:t>²          (adaptive LR)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θ</w:t>
            </w:r>
            <w:r>
              <w:rPr>
                <w:rFonts w:ascii="Cambria Math" w:cs="Cambria Math" w:eastAsia="Cambria Math" w:hAnsi="Cambria Math"/>
                <w:color w:val="1A1A2E"/>
                <w:sz w:val="20"/>
                <w:szCs w:val="20"/>
              </w:rPr>
              <w:t xml:space="preserve">t</w:t>
            </w:r>
            <w:r>
              <w:rPr>
                <w:rFonts w:ascii="Cambria Math" w:cs="Cambria Math" w:eastAsia="Cambria Math" w:hAnsi="Cambria Math"/>
                <w:color w:val="1A1A2E"/>
                <w:sz w:val="22"/>
                <w:szCs w:val="22"/>
              </w:rPr>
              <w:t xml:space="preserve"> = θ</w:t>
            </w:r>
            <w:r>
              <w:rPr>
                <w:rFonts w:ascii="Cambria Math" w:cs="Cambria Math" w:eastAsia="Cambria Math" w:hAnsi="Cambria Math"/>
                <w:color w:val="1A1A2E"/>
                <w:sz w:val="20"/>
                <w:szCs w:val="20"/>
              </w:rPr>
              <w:t xml:space="preserve">t-1</w:t>
            </w:r>
            <w:r>
              <w:rPr>
                <w:rFonts w:ascii="Cambria Math" w:cs="Cambria Math" w:eastAsia="Cambria Math" w:hAnsi="Cambria Math"/>
                <w:color w:val="1A1A2E"/>
                <w:sz w:val="22"/>
                <w:szCs w:val="22"/>
              </w:rPr>
              <w:t xml:space="preserve"> − η (m̂</w:t>
            </w:r>
            <w:r>
              <w:rPr>
                <w:rFonts w:ascii="Cambria Math" w:cs="Cambria Math" w:eastAsia="Cambria Math" w:hAnsi="Cambria Math"/>
                <w:color w:val="1A1A2E"/>
                <w:sz w:val="20"/>
                <w:szCs w:val="20"/>
              </w:rPr>
              <w:t xml:space="preserve">t</w:t>
            </w:r>
            <w:r>
              <w:rPr>
                <w:rFonts w:ascii="Cambria Math" w:cs="Cambria Math" w:eastAsia="Cambria Math" w:hAnsi="Cambria Math"/>
                <w:color w:val="1A1A2E"/>
                <w:sz w:val="22"/>
                <w:szCs w:val="22"/>
              </w:rPr>
              <w:t xml:space="preserve"> / (√v̂</w:t>
            </w:r>
            <w:r>
              <w:rPr>
                <w:rFonts w:ascii="Cambria Math" w:cs="Cambria Math" w:eastAsia="Cambria Math" w:hAnsi="Cambria Math"/>
                <w:color w:val="1A1A2E"/>
                <w:sz w:val="20"/>
                <w:szCs w:val="20"/>
              </w:rPr>
              <w:t xml:space="preserve">t</w:t>
            </w:r>
            <w:r>
              <w:rPr>
                <w:rFonts w:ascii="Cambria Math" w:cs="Cambria Math" w:eastAsia="Cambria Math" w:hAnsi="Cambria Math"/>
                <w:color w:val="1A1A2E"/>
                <w:sz w:val="22"/>
                <w:szCs w:val="22"/>
              </w:rPr>
              <w:t xml:space="preserve"> + ε) + λθ</w:t>
            </w:r>
            <w:r>
              <w:rPr>
                <w:rFonts w:ascii="Cambria Math" w:cs="Cambria Math" w:eastAsia="Cambria Math" w:hAnsi="Cambria Math"/>
                <w:color w:val="1A1A2E"/>
                <w:sz w:val="20"/>
                <w:szCs w:val="20"/>
              </w:rPr>
              <w:t xml:space="preserve">t-1</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8"/>
                <w:szCs w:val="18"/>
              </w:rPr>
              <w:t xml:space="preserve">η = learning rate, λ = weight decay, β₁ = 0.9, β₂ = 0.999, ε = 1e-8</w:t>
            </w:r>
          </w:p>
        </w:tc>
      </w:tr>
    </w:tbl>
    <w:p>
      <w:pPr>
        <w:pStyle w:val="Heading2"/>
      </w:pPr>
      <w:r>
        <w:rPr>
          <w:rFonts w:ascii="Arial" w:cs="Arial" w:eastAsia="Arial" w:hAnsi="Arial"/>
        </w:rPr>
        <w:t xml:space="preserve">14.4 Learning Rate Warmup + Decay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LR(t) = d</w:t>
            </w:r>
            <w:r>
              <w:rPr>
                <w:rFonts w:ascii="Cambria Math" w:cs="Cambria Math" w:eastAsia="Cambria Math" w:hAnsi="Cambria Math"/>
                <w:color w:val="1A1A2E"/>
                <w:sz w:val="20"/>
                <w:szCs w:val="20"/>
              </w:rPr>
              <w:t xml:space="preserve">model</w:t>
            </w:r>
            <w:r>
              <w:rPr>
                <w:rFonts w:ascii="Cambria Math" w:cs="Cambria Math" w:eastAsia="Cambria Math" w:hAnsi="Cambria Math"/>
                <w:color w:val="1A1A2E"/>
                <w:sz w:val="17"/>
                <w:szCs w:val="17"/>
                <w:vertAlign w:val="superscript"/>
              </w:rPr>
              <w:t xml:space="preserve">-0.5</w:t>
            </w:r>
            <w:r>
              <w:rPr>
                <w:rFonts w:ascii="Cambria Math" w:cs="Cambria Math" w:eastAsia="Cambria Math" w:hAnsi="Cambria Math"/>
                <w:color w:val="1A1A2E"/>
                <w:sz w:val="22"/>
                <w:szCs w:val="22"/>
              </w:rPr>
              <w:t xml:space="preserve"> · min(t</w:t>
            </w:r>
            <w:r>
              <w:rPr>
                <w:rFonts w:ascii="Cambria Math" w:cs="Cambria Math" w:eastAsia="Cambria Math" w:hAnsi="Cambria Math"/>
                <w:color w:val="1A1A2E"/>
                <w:sz w:val="17"/>
                <w:szCs w:val="17"/>
                <w:vertAlign w:val="superscript"/>
              </w:rPr>
              <w:t xml:space="preserve">-0.5</w:t>
            </w:r>
            <w:r>
              <w:rPr>
                <w:rFonts w:ascii="Cambria Math" w:cs="Cambria Math" w:eastAsia="Cambria Math" w:hAnsi="Cambria Math"/>
                <w:color w:val="1A1A2E"/>
                <w:sz w:val="22"/>
                <w:szCs w:val="22"/>
              </w:rPr>
              <w:t xml:space="preserve">, t · warmup</w:t>
            </w:r>
            <w:r>
              <w:rPr>
                <w:rFonts w:ascii="Cambria Math" w:cs="Cambria Math" w:eastAsia="Cambria Math" w:hAnsi="Cambria Math"/>
                <w:color w:val="1A1A2E"/>
                <w:sz w:val="17"/>
                <w:szCs w:val="17"/>
                <w:vertAlign w:val="superscript"/>
              </w:rPr>
              <w:t xml:space="preserve">-1.5</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8"/>
                <w:szCs w:val="18"/>
              </w:rPr>
              <w:t xml:space="preserve">Original schedule: linearly increase for warmup steps, then decay proportional to 1/√t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 CONCEPT: Warmup Prevents Early Collapse</w:t>
            </w:r>
          </w:p>
          <w:p>
            <w:pPr>
              <w:spacing w:after="20"/>
            </w:pPr>
            <w:r>
              <w:rPr>
                <w:rFonts w:ascii="Arial" w:cs="Arial" w:eastAsia="Arial" w:hAnsi="Arial"/>
                <w:color w:val="1A1A2E"/>
                <w:sz w:val="19"/>
                <w:szCs w:val="19"/>
              </w:rPr>
              <w:t xml:space="preserve">At initialization, attention weights are random and Q/K dot products are essentially noise. If the learning rate starts high, the optimizer makes large parameter updates based on this noise, which can push the model into a bad region of parameter space that's hard to recover from. Warmup starts with a tiny learning rate, allowing the model to "find its footing" with small updates until attention patterns begin to stabilize, then gradually increases the learning rate to full training speed.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75000" w:sz="4"/>
              <w:bottom w:val="none" w:sz="0"/>
              <w:right w:val="none" w:sz="0"/>
            </w:tcBorders>
            <w:shd w:fill="FFF3E0" w:val="clear"/>
            <w:tcMar>
              <w:top w:type="dxa" w:w="40"/>
              <w:left w:type="dxa" w:w="160"/>
              <w:bottom w:type="dxa" w:w="40"/>
              <w:right w:type="dxa" w:w="160"/>
            </w:tcMar>
          </w:tcPr>
          <w:p>
            <w:pPr>
              <w:spacing w:after="20"/>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Monitor during training: (1) gradient norm per parameter group (should be stable, not growing). (2) Loss curve — should decrease smoothly. Spikes indicate learning rate too high or data issues. (3) Validation loss — divergence from training loss indicates overfitting. (4) Attention entropy over training — should decrease from uniform (random) toward more peaked (learned) distributions.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4"/>
              <w:bottom w:val="none" w:sz="0"/>
              <w:right w:val="none" w:sz="0"/>
            </w:tcBorders>
            <w:shd w:fill="FDE8EC" w:val="clear"/>
            <w:tcMar>
              <w:top w:type="dxa" w:w="40"/>
              <w:left w:type="dxa" w:w="160"/>
              <w:bottom w:type="dxa" w:w="40"/>
              <w:right w:type="dxa" w:w="160"/>
            </w:tcMar>
          </w:tcPr>
          <w:p>
            <w:pPr>
              <w:spacing w:after="20"/>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AdamW stores two extra tensors per parameter (m and v), tripling the memory requirement vs the model itself. For a 100M parameter model: model = 400MB, optimizer state = 800MB, total = 1.2GB in float32. Mixed precision (model in float16, optimizer in float32) helps: model = 200MB, but optimizer still needs float32 accumulation.</w:t>
            </w:r>
          </w:p>
        </w:tc>
      </w:tr>
    </w:tbl>
    <w:r>
      <w:br w:type="page"/>
    </w:r>
    <w:p>
      <w:pPr>
        <w:pStyle w:val="Heading1"/>
      </w:pPr>
      <w:r>
        <w:rPr>
          <w:rFonts w:ascii="Arial" w:cs="Arial" w:eastAsia="Arial" w:hAnsi="Arial"/>
        </w:rPr>
        <w:t xml:space="preserve">Diagnostic Monitor Summary</w:t>
      </w:r>
    </w:p>
    <w:p>
      <w:pPr>
        <w:spacing w:after="100" w:line="276"/>
      </w:pPr>
      <w:r>
        <w:rPr>
          <w:rFonts w:ascii="Arial" w:cs="Arial" w:eastAsia="Arial" w:hAnsi="Arial"/>
          <w:color w:val="1A1A2E"/>
          <w:sz w:val="20"/>
          <w:szCs w:val="20"/>
        </w:rPr>
        <w:t xml:space="preserve">A reference table of what to monitor at each step. These become the basis for production monitoring of your custom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600"/>
        <w:gridCol w:w="2460"/>
      </w:tblGrid>
      <w:tr>
        <w:tc>
          <w:tcPr>
            <w:tcW w:type="dxa" w:w="1500"/>
            <w:tcBorders>
              <w:top w:val="single" w:color="CCCCCC" w:sz="1"/>
              <w:left w:val="single" w:color="CCCCCC" w:sz="1"/>
              <w:bottom w:val="single" w:color="CCCCCC" w:sz="1"/>
              <w:right w:val="single" w:color="CCCCCC" w:sz="1"/>
            </w:tcBorders>
            <w:shd w:fill="0F3460" w:val="clear"/>
            <w:tcMar>
              <w:top w:type="dxa" w:w="50"/>
              <w:left w:type="dxa" w:w="80"/>
              <w:bottom w:type="dxa" w:w="50"/>
              <w:right w:type="dxa" w:w="80"/>
            </w:tcMar>
          </w:tcPr>
          <w:p>
            <w:r>
              <w:rPr>
                <w:rFonts w:ascii="Arial" w:cs="Arial" w:eastAsia="Arial" w:hAnsi="Arial"/>
                <w:b/>
                <w:bCs/>
                <w:color w:val="FFFFFF"/>
                <w:sz w:val="16"/>
                <w:szCs w:val="16"/>
              </w:rPr>
              <w:t xml:space="preserve">Step</w:t>
            </w:r>
          </w:p>
        </w:tc>
        <w:tc>
          <w:tcPr>
            <w:tcW w:type="dxa" w:w="2800"/>
            <w:tcBorders>
              <w:top w:val="single" w:color="CCCCCC" w:sz="1"/>
              <w:left w:val="single" w:color="CCCCCC" w:sz="1"/>
              <w:bottom w:val="single" w:color="CCCCCC" w:sz="1"/>
              <w:right w:val="single" w:color="CCCCCC" w:sz="1"/>
            </w:tcBorders>
            <w:shd w:fill="0F3460" w:val="clear"/>
            <w:tcMar>
              <w:top w:type="dxa" w:w="50"/>
              <w:left w:type="dxa" w:w="80"/>
              <w:bottom w:type="dxa" w:w="50"/>
              <w:right w:type="dxa" w:w="80"/>
            </w:tcMar>
          </w:tcPr>
          <w:p>
            <w:r>
              <w:rPr>
                <w:rFonts w:ascii="Arial" w:cs="Arial" w:eastAsia="Arial" w:hAnsi="Arial"/>
                <w:b/>
                <w:bCs/>
                <w:color w:val="FFFFFF"/>
                <w:sz w:val="16"/>
                <w:szCs w:val="16"/>
              </w:rPr>
              <w:t xml:space="preserve">Geometric</w:t>
            </w:r>
          </w:p>
        </w:tc>
        <w:tc>
          <w:tcPr>
            <w:tcW w:type="dxa" w:w="2600"/>
            <w:tcBorders>
              <w:top w:val="single" w:color="CCCCCC" w:sz="1"/>
              <w:left w:val="single" w:color="CCCCCC" w:sz="1"/>
              <w:bottom w:val="single" w:color="CCCCCC" w:sz="1"/>
              <w:right w:val="single" w:color="CCCCCC" w:sz="1"/>
            </w:tcBorders>
            <w:shd w:fill="0F3460" w:val="clear"/>
            <w:tcMar>
              <w:top w:type="dxa" w:w="50"/>
              <w:left w:type="dxa" w:w="80"/>
              <w:bottom w:type="dxa" w:w="50"/>
              <w:right w:type="dxa" w:w="80"/>
            </w:tcMar>
          </w:tcPr>
          <w:p>
            <w:r>
              <w:rPr>
                <w:rFonts w:ascii="Arial" w:cs="Arial" w:eastAsia="Arial" w:hAnsi="Arial"/>
                <w:b/>
                <w:bCs/>
                <w:color w:val="FFFFFF"/>
                <w:sz w:val="16"/>
                <w:szCs w:val="16"/>
              </w:rPr>
              <w:t xml:space="preserve">Statistical</w:t>
            </w:r>
          </w:p>
        </w:tc>
        <w:tc>
          <w:tcPr>
            <w:tcW w:type="dxa" w:w="2460"/>
            <w:tcBorders>
              <w:top w:val="single" w:color="CCCCCC" w:sz="1"/>
              <w:left w:val="single" w:color="CCCCCC" w:sz="1"/>
              <w:bottom w:val="single" w:color="CCCCCC" w:sz="1"/>
              <w:right w:val="single" w:color="CCCCCC" w:sz="1"/>
            </w:tcBorders>
            <w:shd w:fill="0F3460" w:val="clear"/>
            <w:tcMar>
              <w:top w:type="dxa" w:w="50"/>
              <w:left w:type="dxa" w:w="80"/>
              <w:bottom w:type="dxa" w:w="50"/>
              <w:right w:type="dxa" w:w="80"/>
            </w:tcMar>
          </w:tcPr>
          <w:p>
            <w:r>
              <w:rPr>
                <w:rFonts w:ascii="Arial" w:cs="Arial" w:eastAsia="Arial" w:hAnsi="Arial"/>
                <w:b/>
                <w:bCs/>
                <w:color w:val="FFFFFF"/>
                <w:sz w:val="16"/>
                <w:szCs w:val="16"/>
              </w:rPr>
              <w:t xml:space="preserve">Numerical</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A1A2E"/>
                <w:sz w:val="16"/>
                <w:szCs w:val="16"/>
              </w:rPr>
              <w:t xml:space="preserve">2. Embedding</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A1A2E"/>
                <w:sz w:val="16"/>
                <w:szCs w:val="16"/>
              </w:rPr>
              <w:t xml:space="preserve">Embedding rank, avg cosine sim between pairs</w:t>
            </w:r>
          </w:p>
        </w:tc>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A1A2E"/>
                <w:sz w:val="16"/>
                <w:szCs w:val="16"/>
              </w:rPr>
              <w:t xml:space="preserve">Norm distribution ||E_i||</w:t>
            </w:r>
          </w:p>
        </w:tc>
        <w:tc>
          <w:tcPr>
            <w:tcW w:type="dxa" w:w="24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A1A2E"/>
                <w:sz w:val="16"/>
                <w:szCs w:val="16"/>
              </w:rPr>
              <w:t xml:space="preserve">Memory: V×d×4 bytes</w:t>
            </w:r>
          </w:p>
        </w:tc>
      </w:tr>
      <w:tr>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1A1A2E"/>
                <w:sz w:val="16"/>
                <w:szCs w:val="16"/>
              </w:rPr>
              <w:t xml:space="preserve">3. Position Enc</w:t>
            </w:r>
          </w:p>
        </w:tc>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val="false"/>
                <w:bCs w:val="false"/>
                <w:color w:val="1A1A2E"/>
                <w:sz w:val="16"/>
                <w:szCs w:val="16"/>
              </w:rPr>
              <w:t xml:space="preserve">||PE|| vs ||E|| ratio, PE smoothness</w:t>
            </w:r>
          </w:p>
        </w:tc>
        <w:tc>
          <w:tcPr>
            <w:tcW w:type="dxa" w:w="2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val="false"/>
                <w:bCs w:val="false"/>
                <w:color w:val="1A1A2E"/>
                <w:sz w:val="16"/>
                <w:szCs w:val="16"/>
              </w:rPr>
              <w:t xml:space="preserve">Mean/var of X per position</w:t>
            </w:r>
          </w:p>
        </w:tc>
        <w:tc>
          <w:tcPr>
            <w:tcW w:type="dxa" w:w="24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val="false"/>
                <w:bCs w:val="false"/>
                <w:color w:val="1A1A2E"/>
                <w:sz w:val="16"/>
                <w:szCs w:val="16"/>
              </w:rPr>
              <w:t xml:space="preserve">Bounded [-1,1] for sin/cos</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A1A2E"/>
                <w:sz w:val="16"/>
                <w:szCs w:val="16"/>
              </w:rPr>
              <w:t xml:space="preserve">4. LayerNorm</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A1A2E"/>
                <w:sz w:val="16"/>
                <w:szCs w:val="16"/>
              </w:rPr>
              <w:t xml:space="preserve">Projection onto hyperplane</w:t>
            </w:r>
          </w:p>
        </w:tc>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A1A2E"/>
                <w:sz w:val="16"/>
                <w:szCs w:val="16"/>
              </w:rPr>
              <w:t xml:space="preserve">Post-norm: mean≈β, std≈|γ|</w:t>
            </w:r>
          </w:p>
        </w:tc>
        <w:tc>
          <w:tcPr>
            <w:tcW w:type="dxa" w:w="24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A1A2E"/>
                <w:sz w:val="16"/>
                <w:szCs w:val="16"/>
              </w:rPr>
              <w:t xml:space="preserve">ε value for float16 stability</w:t>
            </w:r>
          </w:p>
        </w:tc>
      </w:tr>
      <w:tr>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1A1A2E"/>
                <w:sz w:val="16"/>
                <w:szCs w:val="16"/>
              </w:rPr>
              <w:t xml:space="preserve">5. Q/K/V</w:t>
            </w:r>
          </w:p>
        </w:tc>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val="false"/>
                <w:bCs w:val="false"/>
                <w:color w:val="1A1A2E"/>
                <w:sz w:val="16"/>
                <w:szCs w:val="16"/>
              </w:rPr>
              <w:t xml:space="preserve">Q/K cosine sim per head, matrix rank</w:t>
            </w:r>
          </w:p>
        </w:tc>
        <w:tc>
          <w:tcPr>
            <w:tcW w:type="dxa" w:w="2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val="false"/>
                <w:bCs w:val="false"/>
                <w:color w:val="1A1A2E"/>
                <w:sz w:val="16"/>
                <w:szCs w:val="16"/>
              </w:rPr>
              <w:t xml:space="preserve">Norm distribution ||Q||, ||K||</w:t>
            </w:r>
          </w:p>
        </w:tc>
        <w:tc>
          <w:tcPr>
            <w:tcW w:type="dxa" w:w="24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val="false"/>
                <w:bCs w:val="false"/>
                <w:color w:val="1A1A2E"/>
                <w:sz w:val="16"/>
                <w:szCs w:val="16"/>
              </w:rPr>
              <w:t xml:space="preserve">3×d² params, O(Bnd²) FLOPs</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A1A2E"/>
                <w:sz w:val="16"/>
                <w:szCs w:val="16"/>
              </w:rPr>
              <w:t xml:space="preserve">6. Attention</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A1A2E"/>
                <w:sz w:val="16"/>
                <w:szCs w:val="16"/>
              </w:rPr>
              <w:t xml:space="preserve">Entropy of attention rows per head</w:t>
            </w:r>
          </w:p>
        </w:tc>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A1A2E"/>
                <w:sz w:val="16"/>
                <w:szCs w:val="16"/>
              </w:rPr>
              <w:t xml:space="preserve">Max weight, attention to defaults</w:t>
            </w:r>
          </w:p>
        </w:tc>
        <w:tc>
          <w:tcPr>
            <w:tcW w:type="dxa" w:w="24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A1A2E"/>
                <w:sz w:val="16"/>
                <w:szCs w:val="16"/>
              </w:rPr>
              <w:t xml:space="preserve">O(n²d_k), softmax overflow</w:t>
            </w:r>
          </w:p>
        </w:tc>
      </w:tr>
      <w:tr>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1A1A2E"/>
                <w:sz w:val="16"/>
                <w:szCs w:val="16"/>
              </w:rPr>
              <w:t xml:space="preserve">7. W^O</w:t>
            </w:r>
          </w:p>
        </w:tc>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val="false"/>
                <w:bCs w:val="false"/>
                <w:color w:val="1A1A2E"/>
                <w:sz w:val="16"/>
                <w:szCs w:val="16"/>
              </w:rPr>
              <w:t xml:space="preserve">Singular values of W^O</w:t>
            </w:r>
          </w:p>
        </w:tc>
        <w:tc>
          <w:tcPr>
            <w:tcW w:type="dxa" w:w="2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val="false"/>
                <w:bCs w:val="false"/>
                <w:color w:val="1A1A2E"/>
                <w:sz w:val="16"/>
                <w:szCs w:val="16"/>
              </w:rPr>
              <w:t xml:space="preserve">Output scale vs input scale</w:t>
            </w:r>
          </w:p>
        </w:tc>
        <w:tc>
          <w:tcPr>
            <w:tcW w:type="dxa" w:w="24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val="false"/>
                <w:bCs w:val="false"/>
                <w:color w:val="1A1A2E"/>
                <w:sz w:val="16"/>
                <w:szCs w:val="16"/>
              </w:rPr>
              <w:t xml:space="preserve">d² params</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A1A2E"/>
                <w:sz w:val="16"/>
                <w:szCs w:val="16"/>
              </w:rPr>
              <w:t xml:space="preserve">8. Residual</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A1A2E"/>
                <w:sz w:val="16"/>
                <w:szCs w:val="16"/>
              </w:rPr>
              <w:t xml:space="preserve">||delta|| / ||X|| ratio per block</w:t>
            </w:r>
          </w:p>
        </w:tc>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A1A2E"/>
                <w:sz w:val="16"/>
                <w:szCs w:val="16"/>
              </w:rPr>
              <w:t xml:space="preserve">Residual stream norm growth</w:t>
            </w:r>
          </w:p>
        </w:tc>
        <w:tc>
          <w:tcPr>
            <w:tcW w:type="dxa" w:w="24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A1A2E"/>
                <w:sz w:val="16"/>
                <w:szCs w:val="16"/>
              </w:rPr>
              <w:t xml:space="preserve">Zero params, O(Bnd)</w:t>
            </w:r>
          </w:p>
        </w:tc>
      </w:tr>
      <w:tr>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1A1A2E"/>
                <w:sz w:val="16"/>
                <w:szCs w:val="16"/>
              </w:rPr>
              <w:t xml:space="preserve">10. FFN</w:t>
            </w:r>
          </w:p>
        </w:tc>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val="false"/>
                <w:bCs w:val="false"/>
                <w:color w:val="1A1A2E"/>
                <w:sz w:val="16"/>
                <w:szCs w:val="16"/>
              </w:rPr>
              <w:t xml:space="preserve">Activation sparsity ratio</w:t>
            </w:r>
          </w:p>
        </w:tc>
        <w:tc>
          <w:tcPr>
            <w:tcW w:type="dxa" w:w="2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val="false"/>
                <w:bCs w:val="false"/>
                <w:color w:val="1A1A2E"/>
                <w:sz w:val="16"/>
                <w:szCs w:val="16"/>
              </w:rPr>
              <w:t xml:space="preserve">||FFN out|| vs ||attn out||</w:t>
            </w:r>
          </w:p>
        </w:tc>
        <w:tc>
          <w:tcPr>
            <w:tcW w:type="dxa" w:w="24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val="false"/>
                <w:bCs w:val="false"/>
                <w:color w:val="1A1A2E"/>
                <w:sz w:val="16"/>
                <w:szCs w:val="16"/>
              </w:rPr>
              <w:t xml:space="preserve">8d² params, 2×O(Bnd_ff)</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A1A2E"/>
                <w:sz w:val="16"/>
                <w:szCs w:val="16"/>
              </w:rPr>
              <w:t xml:space="preserve">12. Cross-Attn</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A1A2E"/>
                <w:sz w:val="16"/>
                <w:szCs w:val="16"/>
              </w:rPr>
              <w:t xml:space="preserve">Alignment pattern sparsity</w:t>
            </w:r>
          </w:p>
        </w:tc>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A1A2E"/>
                <w:sz w:val="16"/>
                <w:szCs w:val="16"/>
              </w:rPr>
              <w:t xml:space="preserve">Attention diversity across heads</w:t>
            </w:r>
          </w:p>
        </w:tc>
        <w:tc>
          <w:tcPr>
            <w:tcW w:type="dxa" w:w="24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A1A2E"/>
                <w:sz w:val="16"/>
                <w:szCs w:val="16"/>
              </w:rPr>
              <w:t xml:space="preserve">O(n_dec×n_enc×d_k)</w:t>
            </w:r>
          </w:p>
        </w:tc>
      </w:tr>
      <w:tr>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1A1A2E"/>
                <w:sz w:val="16"/>
                <w:szCs w:val="16"/>
              </w:rPr>
              <w:t xml:space="preserve">14. Training</w:t>
            </w:r>
          </w:p>
        </w:tc>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val="false"/>
                <w:bCs w:val="false"/>
                <w:color w:val="1A1A2E"/>
                <w:sz w:val="16"/>
                <w:szCs w:val="16"/>
              </w:rPr>
              <w:t xml:space="preserve">—</w:t>
            </w:r>
          </w:p>
        </w:tc>
        <w:tc>
          <w:tcPr>
            <w:tcW w:type="dxa" w:w="2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val="false"/>
                <w:bCs w:val="false"/>
                <w:color w:val="1A1A2E"/>
                <w:sz w:val="16"/>
                <w:szCs w:val="16"/>
              </w:rPr>
              <w:t xml:space="preserve">Loss, grad norm, attn entropy</w:t>
            </w:r>
          </w:p>
        </w:tc>
        <w:tc>
          <w:tcPr>
            <w:tcW w:type="dxa" w:w="24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val="false"/>
                <w:bCs w:val="false"/>
                <w:color w:val="1A1A2E"/>
                <w:sz w:val="16"/>
                <w:szCs w:val="16"/>
              </w:rPr>
              <w:t xml:space="preserve">3× memory for optimizer</w:t>
            </w:r>
          </w:p>
        </w:tc>
      </w:tr>
    </w:tbl>
    <w:p>
      <w:pPr>
        <w:spacing w:after="200"/>
      </w:pPr>
    </w:p>
    <w:p>
      <w:pPr>
        <w:pStyle w:val="Heading2"/>
      </w:pPr>
      <w:r>
        <w:rPr>
          <w:rFonts w:ascii="Arial" w:cs="Arial" w:eastAsia="Arial" w:hAnsi="Arial"/>
        </w:rPr>
        <w:t xml:space="preserve">Total Parameter Count (Per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3000"/>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Cambria Math" w:cs="Cambria Math" w:eastAsia="Cambria Math" w:hAnsi="Cambria Math"/>
                <w:b/>
                <w:bCs/>
                <w:color w:val="FFFFFF"/>
                <w:sz w:val="18"/>
                <w:szCs w:val="18"/>
              </w:rPr>
              <w:t xml:space="preserve">Parameters</w:t>
            </w:r>
          </w:p>
        </w:tc>
        <w:tc>
          <w:tcPr>
            <w:tcW w:type="dxa" w:w="3960"/>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8"/>
                <w:szCs w:val="18"/>
              </w:rPr>
              <w:t xml:space="preserve">For d=512, d_ff=2048, h=8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W^Q, W^K, W^V</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val="false"/>
                <w:bCs w:val="false"/>
                <w:color w:val="1A1A2E"/>
                <w:sz w:val="18"/>
                <w:szCs w:val="18"/>
              </w:rPr>
              <w:t xml:space="preserve">3 × d_model²</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3 × 262,144 = 786,432</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W^O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val="false"/>
                <w:bCs w:val="false"/>
                <w:color w:val="1A1A2E"/>
                <w:sz w:val="18"/>
                <w:szCs w:val="18"/>
              </w:rPr>
              <w:t xml:space="preserve">d_model²</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262,144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FFN W₁, b₁</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val="false"/>
                <w:bCs w:val="false"/>
                <w:color w:val="1A1A2E"/>
                <w:sz w:val="18"/>
                <w:szCs w:val="18"/>
              </w:rPr>
              <w:t xml:space="preserve">d_model × d_ff + d_ff</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1,050,624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FFN W₂, b₂</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val="false"/>
                <w:bCs w:val="false"/>
                <w:color w:val="1A1A2E"/>
                <w:sz w:val="18"/>
                <w:szCs w:val="18"/>
              </w:rPr>
              <w:t xml:space="preserve">d_ff × d_model + d_model</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1,049,088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LayerNorm ×2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val="false"/>
                <w:bCs w:val="false"/>
                <w:color w:val="1A1A2E"/>
                <w:sz w:val="18"/>
                <w:szCs w:val="18"/>
              </w:rPr>
              <w:t xml:space="preserve">4 × d_model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2,048</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1A2E"/>
                <w:sz w:val="18"/>
                <w:szCs w:val="18"/>
              </w:rPr>
              <w:t xml:space="preserve">Total per block</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Cambria Math" w:cs="Cambria Math" w:eastAsia="Cambria Math" w:hAnsi="Cambria Math"/>
                <w:b/>
                <w:bCs/>
                <w:color w:val="1A1A2E"/>
                <w:sz w:val="18"/>
                <w:szCs w:val="18"/>
              </w:rPr>
              <w:t xml:space="preserve">≈12 × d_model²</w:t>
            </w:r>
          </w:p>
        </w:tc>
        <w:tc>
          <w:tcPr>
            <w:tcW w:type="dxa" w:w="3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1A2E"/>
                <w:sz w:val="18"/>
                <w:szCs w:val="18"/>
              </w:rPr>
              <w:t xml:space="preserve">≈3,150,336</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1A2E"/>
                <w:sz w:val="18"/>
                <w:szCs w:val="18"/>
              </w:rPr>
              <w:t xml:space="preserve">6 blocks + embed</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Cambria Math" w:cs="Cambria Math" w:eastAsia="Cambria Math" w:hAnsi="Cambria Math"/>
                <w:b/>
                <w:bCs/>
                <w:color w:val="1A1A2E"/>
                <w:sz w:val="18"/>
                <w:szCs w:val="18"/>
              </w:rPr>
              <w:t xml:space="preserve">+ V × d_model</w:t>
            </w:r>
          </w:p>
        </w:tc>
        <w:tc>
          <w:tcPr>
            <w:tcW w:type="dxa" w:w="3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1A2E"/>
                <w:sz w:val="18"/>
                <w:szCs w:val="18"/>
              </w:rPr>
              <w:t xml:space="preserve">≈34M total</w:t>
            </w:r>
          </w:p>
        </w:tc>
      </w:tr>
    </w:tbl>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Transformer: Complete Calculation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F3460"/>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1A1A2E"/>
      <w:sz w:val="24"/>
      <w:szCs w:val="24"/>
    </w:rPr>
  </w:style>
  <w:style w:type="paragraph" w:styleId="Heading3">
    <w:name w:val="Heading 3"/>
    <w:basedOn w:val="Normal"/>
    <w:next w:val="Normal"/>
    <w:qFormat/>
    <w:pPr>
      <w:spacing w:before="180" w:after="100"/>
      <w:outlineLvl w:val="2"/>
    </w:pPr>
    <w:rPr>
      <w:rFonts w:ascii="Arial" w:cs="Arial" w:eastAsia="Arial" w:hAnsi="Arial"/>
      <w:b/>
      <w:bCs/>
      <w:color w:val="E945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2026-03-13T16:01:13.744Z</dcterms:created>
  <dcterms:modified xsi:type="dcterms:W3CDTF">2026-03-13T16:01:13.745Z</dcterms:modified>
</cp:coreProperties>
</file>

<file path=docProps/custom.xml><?xml version="1.0" encoding="utf-8"?>
<Properties xmlns="http://schemas.openxmlformats.org/officeDocument/2006/custom-properties" xmlns:vt="http://schemas.openxmlformats.org/officeDocument/2006/docPropsVTypes"/>
</file>