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3 Assignment – Binomial Tree Pricing (Detailed Worked Solution)</w:t>
      </w:r>
    </w:p>
    <w:p>
      <w:r>
        <w:t>Parameters: S₀ = ₹100, K = ₹100, r = 6% p.a., σ = 25% p.a., T = 1 year, N = 3 time steps</w:t>
      </w:r>
    </w:p>
    <w:p>
      <w:pPr>
        <w:pStyle w:val="Heading2"/>
      </w:pPr>
      <w:r>
        <w:t>1. Step Size and CRR Parameters</w:t>
      </w:r>
    </w:p>
    <w:p>
      <w:r>
        <w:t>The Cox–Ross–Rubinstein (CRR) model assumes that over each time interval the stock either moves up by a factor u or down by a factor d. Risk-neutral valuation is then used to price derivatives.</w:t>
        <w:br/>
        <w:br/>
        <w:t>Time step:</w:t>
        <w:br/>
        <w:t>Δt = T/N = 1/3 = 0.3333 years</w:t>
        <w:br/>
        <w:br/>
        <w:t>Up factor:</w:t>
        <w:br/>
        <w:t>u = exp(σ√Δt)</w:t>
        <w:br/>
        <w:t>= exp(0.25×√0.3333)</w:t>
        <w:br/>
        <w:t>= 1.1553</w:t>
        <w:br/>
        <w:br/>
        <w:t>Down factor:</w:t>
        <w:br/>
        <w:t>d = 1/u</w:t>
        <w:br/>
        <w:t>= 0.8656</w:t>
        <w:br/>
        <w:br/>
        <w:t>Risk-neutral probability:</w:t>
        <w:br/>
        <w:t>p = (exp(rΔt)-d)/(u-d)</w:t>
        <w:br/>
        <w:t>= (exp(0.06×0.3333)-0.8656)/(1.1553-0.8656)</w:t>
        <w:br/>
        <w:t>= 0.5337</w:t>
        <w:br/>
        <w:br/>
        <w:t>Discount factor:</w:t>
        <w:br/>
        <w:t>exp(-rΔt)=0.9802</w:t>
        <w:br/>
        <w:br/>
        <w:t>Sanity checks:</w:t>
        <w:br/>
        <w:t>• 0&lt;p&lt;1 ✓</w:t>
        <w:br/>
        <w:t>• u×d≈1.0000 ✓ (recombining tree)</w:t>
        <w:br/>
      </w:r>
    </w:p>
    <w:p>
      <w:pPr>
        <w:pStyle w:val="Heading2"/>
      </w:pPr>
      <w:r>
        <w:t>2. Stock Price Tree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Time</w:t>
            </w:r>
          </w:p>
        </w:tc>
        <w:tc>
          <w:tcPr>
            <w:tcW w:type="dxa" w:w="1728"/>
          </w:tcPr>
          <w:p>
            <w:r>
              <w:t>Down Path</w:t>
            </w:r>
          </w:p>
        </w:tc>
        <w:tc>
          <w:tcPr>
            <w:tcW w:type="dxa" w:w="1728"/>
          </w:tcPr>
          <w:p>
            <w:r>
              <w:t>Middle</w:t>
            </w:r>
          </w:p>
        </w:tc>
        <w:tc>
          <w:tcPr>
            <w:tcW w:type="dxa" w:w="1728"/>
          </w:tcPr>
          <w:p>
            <w:r>
              <w:t>Up Path</w:t>
            </w:r>
          </w:p>
        </w:tc>
        <w:tc>
          <w:tcPr>
            <w:tcW w:type="dxa" w:w="1728"/>
          </w:tcPr>
          <w:p>
            <w:r>
              <w:t>Comments</w:t>
            </w:r>
          </w:p>
        </w:tc>
      </w:tr>
      <w:tr>
        <w:tc>
          <w:tcPr>
            <w:tcW w:type="dxa" w:w="1728"/>
          </w:tcPr>
          <w:p>
            <w:r>
              <w:t>t0</w:t>
            </w:r>
          </w:p>
        </w:tc>
        <w:tc>
          <w:tcPr>
            <w:tcW w:type="dxa" w:w="1728"/>
          </w:tcPr>
          <w:p>
            <w:r>
              <w:t>-</w:t>
            </w:r>
          </w:p>
        </w:tc>
        <w:tc>
          <w:tcPr>
            <w:tcW w:type="dxa" w:w="1728"/>
          </w:tcPr>
          <w:p>
            <w:r>
              <w:t>100.0000</w:t>
            </w:r>
          </w:p>
        </w:tc>
        <w:tc>
          <w:tcPr>
            <w:tcW w:type="dxa" w:w="1728"/>
          </w:tcPr>
          <w:p>
            <w:r>
              <w:t>-</w:t>
            </w:r>
          </w:p>
        </w:tc>
        <w:tc>
          <w:tcPr>
            <w:tcW w:type="dxa" w:w="1728"/>
          </w:tcPr>
          <w:p>
            <w:r>
              <w:t>Initial stock price</w:t>
            </w:r>
          </w:p>
        </w:tc>
      </w:tr>
      <w:tr>
        <w:tc>
          <w:tcPr>
            <w:tcW w:type="dxa" w:w="1728"/>
          </w:tcPr>
          <w:p>
            <w:r>
              <w:t>t1</w:t>
            </w:r>
          </w:p>
        </w:tc>
        <w:tc>
          <w:tcPr>
            <w:tcW w:type="dxa" w:w="1728"/>
          </w:tcPr>
          <w:p>
            <w:r>
              <w:t>86.5596</w:t>
            </w:r>
          </w:p>
        </w:tc>
        <w:tc>
          <w:tcPr>
            <w:tcW w:type="dxa" w:w="1728"/>
          </w:tcPr>
          <w:p>
            <w:r>
              <w:t>-</w:t>
            </w:r>
          </w:p>
        </w:tc>
        <w:tc>
          <w:tcPr>
            <w:tcW w:type="dxa" w:w="1728"/>
          </w:tcPr>
          <w:p>
            <w:r>
              <w:t>115.5274</w:t>
            </w:r>
          </w:p>
        </w:tc>
        <w:tc>
          <w:tcPr>
            <w:tcW w:type="dxa" w:w="1728"/>
          </w:tcPr>
          <w:p>
            <w:r>
              <w:t>S₀d and S₀u</w:t>
            </w:r>
          </w:p>
        </w:tc>
      </w:tr>
      <w:tr>
        <w:tc>
          <w:tcPr>
            <w:tcW w:type="dxa" w:w="1728"/>
          </w:tcPr>
          <w:p>
            <w:r>
              <w:t>t2</w:t>
            </w:r>
          </w:p>
        </w:tc>
        <w:tc>
          <w:tcPr>
            <w:tcW w:type="dxa" w:w="1728"/>
          </w:tcPr>
          <w:p>
            <w:r>
              <w:t>74.9256</w:t>
            </w:r>
          </w:p>
        </w:tc>
        <w:tc>
          <w:tcPr>
            <w:tcW w:type="dxa" w:w="1728"/>
          </w:tcPr>
          <w:p>
            <w:r>
              <w:t>100.0000</w:t>
            </w:r>
          </w:p>
        </w:tc>
        <w:tc>
          <w:tcPr>
            <w:tcW w:type="dxa" w:w="1728"/>
          </w:tcPr>
          <w:p>
            <w:r>
              <w:t>133.4658</w:t>
            </w:r>
          </w:p>
        </w:tc>
        <w:tc>
          <w:tcPr>
            <w:tcW w:type="dxa" w:w="1728"/>
          </w:tcPr>
          <w:p>
            <w:r>
              <w:t>Middle node reached by ud or du</w:t>
            </w:r>
          </w:p>
        </w:tc>
      </w:tr>
      <w:tr>
        <w:tc>
          <w:tcPr>
            <w:tcW w:type="dxa" w:w="1728"/>
          </w:tcPr>
          <w:p>
            <w:r>
              <w:t>t3</w:t>
            </w:r>
          </w:p>
        </w:tc>
        <w:tc>
          <w:tcPr>
            <w:tcW w:type="dxa" w:w="1728"/>
          </w:tcPr>
          <w:p>
            <w:r>
              <w:t>64.8552</w:t>
            </w:r>
          </w:p>
        </w:tc>
        <w:tc>
          <w:tcPr>
            <w:tcW w:type="dxa" w:w="1728"/>
          </w:tcPr>
          <w:p>
            <w:r>
              <w:t>86.5596</w:t>
            </w:r>
          </w:p>
        </w:tc>
        <w:tc>
          <w:tcPr>
            <w:tcW w:type="dxa" w:w="1728"/>
          </w:tcPr>
          <w:p>
            <w:r>
              <w:t>115.5274 / 154.1896</w:t>
            </w:r>
          </w:p>
        </w:tc>
        <w:tc>
          <w:tcPr>
            <w:tcW w:type="dxa" w:w="1728"/>
          </w:tcPr>
          <w:p>
            <w:r>
              <w:t>Four terminal prices</w:t>
            </w:r>
          </w:p>
        </w:tc>
      </w:tr>
    </w:tbl>
    <w:p>
      <w:pPr>
        <w:pStyle w:val="Heading2"/>
      </w:pPr>
      <w:r>
        <w:t>3. European Put Pricing</w:t>
      </w:r>
    </w:p>
    <w:p>
      <w:r>
        <w:t>Terminal payoff = max(K−S,0)</w:t>
        <w:br/>
        <w:br/>
        <w:t>S=64.8552  → 35.1448</w:t>
        <w:br/>
        <w:t>S=86.5596  → 13.4404</w:t>
        <w:br/>
        <w:t>S=115.5274 → 0.0000</w:t>
        <w:br/>
        <w:t>S=154.1896 → 0.0000</w:t>
        <w:br/>
        <w:br/>
        <w:t>Backward induction:</w:t>
        <w:br/>
        <w:br/>
        <w:t>Time 2:</w:t>
        <w:br/>
        <w:t>Down node = 0.9802×(0.5337×13.4404 + 0.4663×35.1448)=23.0943</w:t>
        <w:br/>
        <w:t>Middle node = 0.9802×(0.5337×0 +0.4663×13.4404)=6.1430</w:t>
        <w:br/>
        <w:t>Up node =0</w:t>
        <w:br/>
        <w:br/>
        <w:t>Time 1:</w:t>
        <w:br/>
        <w:t>Down node =0.9802×(0.5337×6.1430+0.4663×23.0943)=13.7690</w:t>
        <w:br/>
        <w:t>Up node =0.9802×(0.5337×0+0.4663×6.1430)=2.8077</w:t>
        <w:br/>
        <w:br/>
        <w:t>Time 0:</w:t>
        <w:br/>
        <w:t>European Put</w:t>
        <w:br/>
        <w:t>=0.9802×(0.5337×2.8077+0.4663×13.7690)</w:t>
        <w:br/>
        <w:t>=7.7620</w:t>
        <w:br/>
      </w:r>
    </w:p>
    <w:p>
      <w:pPr>
        <w:pStyle w:val="Heading2"/>
      </w:pPr>
      <w:r>
        <w:t>4. American Put Pricing</w:t>
      </w:r>
    </w:p>
    <w:p>
      <w:r>
        <w:t>For each node, compare the continuation value with the immediate exercise value max(K−S,0). Choose the larger value.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Node</w:t>
            </w:r>
          </w:p>
        </w:tc>
        <w:tc>
          <w:tcPr>
            <w:tcW w:type="dxa" w:w="1440"/>
          </w:tcPr>
          <w:p>
            <w:r>
              <w:t>Stock</w:t>
            </w:r>
          </w:p>
        </w:tc>
        <w:tc>
          <w:tcPr>
            <w:tcW w:type="dxa" w:w="1440"/>
          </w:tcPr>
          <w:p>
            <w:r>
              <w:t>Continuation</w:t>
            </w:r>
          </w:p>
        </w:tc>
        <w:tc>
          <w:tcPr>
            <w:tcW w:type="dxa" w:w="1440"/>
          </w:tcPr>
          <w:p>
            <w:r>
              <w:t>Exercise</w:t>
            </w:r>
          </w:p>
        </w:tc>
        <w:tc>
          <w:tcPr>
            <w:tcW w:type="dxa" w:w="1440"/>
          </w:tcPr>
          <w:p>
            <w:r>
              <w:t>Decision</w:t>
            </w:r>
          </w:p>
        </w:tc>
        <w:tc>
          <w:tcPr>
            <w:tcW w:type="dxa" w:w="1440"/>
          </w:tcPr>
          <w:p>
            <w:r>
              <w:t>Node Value</w:t>
            </w:r>
          </w:p>
        </w:tc>
      </w:tr>
      <w:tr>
        <w:tc>
          <w:tcPr>
            <w:tcW w:type="dxa" w:w="1440"/>
          </w:tcPr>
          <w:p>
            <w:r>
              <w:t>t2 Down</w:t>
            </w:r>
          </w:p>
        </w:tc>
        <w:tc>
          <w:tcPr>
            <w:tcW w:type="dxa" w:w="1440"/>
          </w:tcPr>
          <w:p>
            <w:r>
              <w:t>74.9256</w:t>
            </w:r>
          </w:p>
        </w:tc>
        <w:tc>
          <w:tcPr>
            <w:tcW w:type="dxa" w:w="1440"/>
          </w:tcPr>
          <w:p>
            <w:r>
              <w:t>23.0943</w:t>
            </w:r>
          </w:p>
        </w:tc>
        <w:tc>
          <w:tcPr>
            <w:tcW w:type="dxa" w:w="1440"/>
          </w:tcPr>
          <w:p>
            <w:r>
              <w:t>25.0744</w:t>
            </w:r>
          </w:p>
        </w:tc>
        <w:tc>
          <w:tcPr>
            <w:tcW w:type="dxa" w:w="1440"/>
          </w:tcPr>
          <w:p>
            <w:r>
              <w:t>Exercise</w:t>
            </w:r>
          </w:p>
        </w:tc>
        <w:tc>
          <w:tcPr>
            <w:tcW w:type="dxa" w:w="1440"/>
          </w:tcPr>
          <w:p>
            <w:r>
              <w:t>25.0744</w:t>
            </w:r>
          </w:p>
        </w:tc>
      </w:tr>
      <w:tr>
        <w:tc>
          <w:tcPr>
            <w:tcW w:type="dxa" w:w="1440"/>
          </w:tcPr>
          <w:p>
            <w:r>
              <w:t>t2 Mid</w:t>
            </w:r>
          </w:p>
        </w:tc>
        <w:tc>
          <w:tcPr>
            <w:tcW w:type="dxa" w:w="1440"/>
          </w:tcPr>
          <w:p>
            <w:r>
              <w:t>100.0000</w:t>
            </w:r>
          </w:p>
        </w:tc>
        <w:tc>
          <w:tcPr>
            <w:tcW w:type="dxa" w:w="1440"/>
          </w:tcPr>
          <w:p>
            <w:r>
              <w:t>6.1430</w:t>
            </w:r>
          </w:p>
        </w:tc>
        <w:tc>
          <w:tcPr>
            <w:tcW w:type="dxa" w:w="1440"/>
          </w:tcPr>
          <w:p>
            <w:r>
              <w:t>0</w:t>
            </w:r>
          </w:p>
        </w:tc>
        <w:tc>
          <w:tcPr>
            <w:tcW w:type="dxa" w:w="1440"/>
          </w:tcPr>
          <w:p>
            <w:r>
              <w:t>Hold</w:t>
            </w:r>
          </w:p>
        </w:tc>
        <w:tc>
          <w:tcPr>
            <w:tcW w:type="dxa" w:w="1440"/>
          </w:tcPr>
          <w:p>
            <w:r>
              <w:t>6.1430</w:t>
            </w:r>
          </w:p>
        </w:tc>
      </w:tr>
      <w:tr>
        <w:tc>
          <w:tcPr>
            <w:tcW w:type="dxa" w:w="1440"/>
          </w:tcPr>
          <w:p>
            <w:r>
              <w:t>t2 Up</w:t>
            </w:r>
          </w:p>
        </w:tc>
        <w:tc>
          <w:tcPr>
            <w:tcW w:type="dxa" w:w="1440"/>
          </w:tcPr>
          <w:p>
            <w:r>
              <w:t>133.4658</w:t>
            </w:r>
          </w:p>
        </w:tc>
        <w:tc>
          <w:tcPr>
            <w:tcW w:type="dxa" w:w="1440"/>
          </w:tcPr>
          <w:p>
            <w:r>
              <w:t>0</w:t>
            </w:r>
          </w:p>
        </w:tc>
        <w:tc>
          <w:tcPr>
            <w:tcW w:type="dxa" w:w="1440"/>
          </w:tcPr>
          <w:p>
            <w:r>
              <w:t>0</w:t>
            </w:r>
          </w:p>
        </w:tc>
        <w:tc>
          <w:tcPr>
            <w:tcW w:type="dxa" w:w="1440"/>
          </w:tcPr>
          <w:p>
            <w:r>
              <w:t>Hold</w:t>
            </w:r>
          </w:p>
        </w:tc>
        <w:tc>
          <w:tcPr>
            <w:tcW w:type="dxa" w:w="1440"/>
          </w:tcPr>
          <w:p>
            <w:r>
              <w:t>0</w:t>
            </w:r>
          </w:p>
        </w:tc>
      </w:tr>
      <w:tr>
        <w:tc>
          <w:tcPr>
            <w:tcW w:type="dxa" w:w="1440"/>
          </w:tcPr>
          <w:p>
            <w:r>
              <w:t>t1 Down</w:t>
            </w:r>
          </w:p>
        </w:tc>
        <w:tc>
          <w:tcPr>
            <w:tcW w:type="dxa" w:w="1440"/>
          </w:tcPr>
          <w:p>
            <w:r>
              <w:t>86.5596</w:t>
            </w:r>
          </w:p>
        </w:tc>
        <w:tc>
          <w:tcPr>
            <w:tcW w:type="dxa" w:w="1440"/>
          </w:tcPr>
          <w:p>
            <w:r>
              <w:t>14.6740</w:t>
            </w:r>
          </w:p>
        </w:tc>
        <w:tc>
          <w:tcPr>
            <w:tcW w:type="dxa" w:w="1440"/>
          </w:tcPr>
          <w:p>
            <w:r>
              <w:t>13.4404</w:t>
            </w:r>
          </w:p>
        </w:tc>
        <w:tc>
          <w:tcPr>
            <w:tcW w:type="dxa" w:w="1440"/>
          </w:tcPr>
          <w:p>
            <w:r>
              <w:t>Hold</w:t>
            </w:r>
          </w:p>
        </w:tc>
        <w:tc>
          <w:tcPr>
            <w:tcW w:type="dxa" w:w="1440"/>
          </w:tcPr>
          <w:p>
            <w:r>
              <w:t>14.6740</w:t>
            </w:r>
          </w:p>
        </w:tc>
      </w:tr>
      <w:tr>
        <w:tc>
          <w:tcPr>
            <w:tcW w:type="dxa" w:w="1440"/>
          </w:tcPr>
          <w:p>
            <w:r>
              <w:t>t1 Up</w:t>
            </w:r>
          </w:p>
        </w:tc>
        <w:tc>
          <w:tcPr>
            <w:tcW w:type="dxa" w:w="1440"/>
          </w:tcPr>
          <w:p>
            <w:r>
              <w:t>115.5274</w:t>
            </w:r>
          </w:p>
        </w:tc>
        <w:tc>
          <w:tcPr>
            <w:tcW w:type="dxa" w:w="1440"/>
          </w:tcPr>
          <w:p>
            <w:r>
              <w:t>2.8077</w:t>
            </w:r>
          </w:p>
        </w:tc>
        <w:tc>
          <w:tcPr>
            <w:tcW w:type="dxa" w:w="1440"/>
          </w:tcPr>
          <w:p>
            <w:r>
              <w:t>0</w:t>
            </w:r>
          </w:p>
        </w:tc>
        <w:tc>
          <w:tcPr>
            <w:tcW w:type="dxa" w:w="1440"/>
          </w:tcPr>
          <w:p>
            <w:r>
              <w:t>Hold</w:t>
            </w:r>
          </w:p>
        </w:tc>
        <w:tc>
          <w:tcPr>
            <w:tcW w:type="dxa" w:w="1440"/>
          </w:tcPr>
          <w:p>
            <w:r>
              <w:t>2.8077</w:t>
            </w:r>
          </w:p>
        </w:tc>
      </w:tr>
      <w:tr>
        <w:tc>
          <w:tcPr>
            <w:tcW w:type="dxa" w:w="1440"/>
          </w:tcPr>
          <w:p>
            <w:r>
              <w:t>t0</w:t>
            </w:r>
          </w:p>
        </w:tc>
        <w:tc>
          <w:tcPr>
            <w:tcW w:type="dxa" w:w="1440"/>
          </w:tcPr>
          <w:p>
            <w:r>
              <w:t>100.0000</w:t>
            </w:r>
          </w:p>
        </w:tc>
        <w:tc>
          <w:tcPr>
            <w:tcW w:type="dxa" w:w="1440"/>
          </w:tcPr>
          <w:p>
            <w:r>
              <w:t>8.1756</w:t>
            </w:r>
          </w:p>
        </w:tc>
        <w:tc>
          <w:tcPr>
            <w:tcW w:type="dxa" w:w="1440"/>
          </w:tcPr>
          <w:p>
            <w:r>
              <w:t>0</w:t>
            </w:r>
          </w:p>
        </w:tc>
        <w:tc>
          <w:tcPr>
            <w:tcW w:type="dxa" w:w="1440"/>
          </w:tcPr>
          <w:p>
            <w:r>
              <w:t>Hold</w:t>
            </w:r>
          </w:p>
        </w:tc>
        <w:tc>
          <w:tcPr>
            <w:tcW w:type="dxa" w:w="1440"/>
          </w:tcPr>
          <w:p>
            <w:r>
              <w:t>8.1756</w:t>
            </w:r>
          </w:p>
        </w:tc>
      </w:tr>
    </w:tbl>
    <w:p>
      <w:pPr>
        <w:pStyle w:val="Heading2"/>
      </w:pPr>
      <w:r>
        <w:t>5. Early Exercise Premium</w:t>
      </w:r>
    </w:p>
    <w:p>
      <w:r>
        <w:t>European Put = 7.7620</w:t>
        <w:br/>
        <w:t>American Put = 8.1756</w:t>
        <w:br/>
        <w:br/>
        <w:t>Early Exercise Premium</w:t>
        <w:br/>
        <w:t>= 8.1756 − 7.7620</w:t>
        <w:br/>
        <w:t>= 0.4136</w:t>
        <w:br/>
        <w:br/>
        <w:t>The premium is positive because the American option gives the additional right to exercise before expiry. Although that right is not always valuable, it becomes beneficial once the put is sufficiently deep in-the-money.</w:t>
      </w:r>
    </w:p>
    <w:p>
      <w:pPr>
        <w:pStyle w:val="Heading2"/>
      </w:pPr>
      <w:r>
        <w:t>6. Exercise Boundary</w:t>
      </w:r>
    </w:p>
    <w:p>
      <w:r>
        <w:t>Early exercise is optimal only at the Time-2 Down node where S≈₹74.93.</w:t>
        <w:br/>
        <w:br/>
        <w:t>Exercise Boundary:</w:t>
        <w:br/>
        <w:t>t0 : Hold</w:t>
        <w:br/>
        <w:t>t1 : Hold at both nodes</w:t>
        <w:br/>
        <w:t>t2 : Exercise only at the lowest stock-price node</w:t>
        <w:br/>
        <w:t>t3 : Exercise automatically if payoff is positive at expiry</w:t>
        <w:br/>
        <w:br/>
        <w:t>This illustrates that early exercise occurs only when intrinsic value exceeds continuation value.</w:t>
      </w:r>
    </w:p>
    <w:p>
      <w:pPr>
        <w:pStyle w:val="Heading2"/>
      </w:pPr>
      <w:r>
        <w:t>7. Delta</w:t>
      </w:r>
    </w:p>
    <w:p>
      <w:r>
        <w:t>Using first-layer option values:</w:t>
        <w:br/>
        <w:br/>
        <w:t>Δ=(f_u−f_d)/(S₀u−S₀d)</w:t>
        <w:br/>
        <w:br/>
        <w:t>=(2.8077−14.6740)/(115.5274−86.5596)</w:t>
        <w:br/>
        <w:br/>
        <w:t>=−11.8663/28.9678</w:t>
        <w:br/>
        <w:br/>
        <w:t>Δ=−0.4096</w:t>
        <w:br/>
        <w:br/>
        <w:t>The negative delta is expected because put prices move opposite to the underlying stock price.</w:t>
      </w:r>
    </w:p>
    <w:p>
      <w:pPr>
        <w:pStyle w:val="Heading2"/>
      </w:pPr>
      <w:r>
        <w:t>8. Reflection</w:t>
      </w:r>
    </w:p>
    <w:p>
      <w:r>
        <w:t>This exercise demonstrates the intuition behind American-style options. The flexibility to exercise early has little value when the option is at-the-money or out-of-the-money because waiting preserves time value. However, once the put becomes deep in-the-money and only one step remains until expiry, immediate exercise becomes optimal because the investor receives the strike value earlier and can earn interest on the proceeds. The positive early-exercise premium confirms that an American put can never be worth less than an equivalent European put. The exercise boundary also shows that early exercise is not a frequent event—it occurs only in extreme downside scenarios close to expiry, which matches the theoretical discussion from Week 2.</w:t>
      </w:r>
    </w:p>
    <w:p>
      <w:pPr>
        <w:pStyle w:val="Heading2"/>
      </w:pPr>
      <w:r>
        <w:t>References</w:t>
      </w:r>
    </w:p>
    <w:p>
      <w:r>
        <w:t>• John C. Hull, Options, Futures and Other Derivatives.</w:t>
        <w:br/>
        <w:t>• Cox, Ross &amp; Rubinstein (1979), Option Pricing: A Simplified Approach.</w:t>
        <w:br/>
        <w:t>• Zerodha Varsity – Futures &amp; Options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