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GM System and ADaM integration: team brief</w:t>
      </w:r>
    </w:p>
    <w:p>
      <w:pPr/>
      <w:r>
        <w:t xml:space="preserve">A one-page explanation of how the GM System connects to Kenya's national outbreak tool, what we are building first, and what we still need to find out.</w:t>
      </w:r>
    </w:p>
    <w:p>
      <w:pPr>
        <w:pStyle w:val="Heading2"/>
      </w:pPr>
      <w:r>
        <w:t xml:space="preserve">The short version</w:t>
      </w:r>
    </w:p>
    <w:p>
      <w:pPr/>
      <w:r>
        <w:t xml:space="preserve">Kenya's Ministry of Health already runs an outbreak management tool called </w:t>
      </w:r>
      <w:r>
        <w:rPr>
          <w:b/>
        </w:rPr>
        <w:t xml:space="preserve">ADaM</w:t>
      </w:r>
      <w:r>
        <w:t xml:space="preserve"> (All-Disease Outbreak Module), built by ICAP in Kenya with CDC support. It is the Ministry's single tool for tracking outbreaks. We are </w:t>
      </w:r>
      <w:r>
        <w:rPr>
          <w:b/>
        </w:rPr>
        <w:t xml:space="preserve">not</w:t>
      </w:r>
      <w:r>
        <w:t xml:space="preserve"> rebuilding it. The GM System plugs into it: we detect and monitor at the point of contact, and ADaM owns the official case.</w:t>
      </w:r>
    </w:p>
    <w:p>
      <w:pPr>
        <w:pStyle w:val="Heading2"/>
      </w:pPr>
      <w:r>
        <w:t xml:space="preserve">Who does what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9"/>
        <w:gridCol w:w="4506"/>
        <w:gridCol w:w="3943"/>
      </w:tblGrid>
      <w:tr>
        <w:trPr>
          <w:tblHeader/>
        </w:trPr>
        <w:tc>
          <w:tcPr>
            <w:tcW w:w="909" w:type="dxa"/>
            <w:shd w:val="clear" w:color="auto" w:fill="F2F2F2"/>
          </w:tcPr>
          <w:p>
            <w:pPr/>
          </w:p>
        </w:tc>
        <w:tc>
          <w:tcPr>
            <w:tcW w:w="4506" w:type="dxa"/>
            <w:shd w:val="clear" w:color="auto" w:fill="F2F2F2"/>
          </w:tcPr>
          <w:p>
            <w:pPr/>
            <w:r>
              <w:t xml:space="preserve">GM System</w:t>
            </w:r>
          </w:p>
        </w:tc>
        <w:tc>
          <w:tcPr>
            <w:tcW w:w="3943" w:type="dxa"/>
            <w:shd w:val="clear" w:color="auto" w:fill="F2F2F2"/>
          </w:tcPr>
          <w:p>
            <w:pPr/>
            <w:r>
              <w:t xml:space="preserve">ADaM</w:t>
            </w:r>
          </w:p>
        </w:tc>
      </w:tr>
      <w:tr>
        <w:tc>
          <w:tcPr>
            <w:tcW w:w="909" w:type="dxa"/>
          </w:tcPr>
          <w:p>
            <w:pPr/>
            <w:r>
              <w:t xml:space="preserve">Role</w:t>
            </w:r>
          </w:p>
        </w:tc>
        <w:tc>
          <w:tcPr>
            <w:tcW w:w="4506" w:type="dxa"/>
          </w:tcPr>
          <w:p>
            <w:pPr/>
            <w:r>
              <w:t xml:space="preserve">Screening at entry, continuous monitoring</w:t>
            </w:r>
          </w:p>
        </w:tc>
        <w:tc>
          <w:tcPr>
            <w:tcW w:w="3943" w:type="dxa"/>
          </w:tcPr>
          <w:p>
            <w:pPr/>
            <w:r>
              <w:t xml:space="preserve">Case record, contact tracing, outbreak response</w:t>
            </w:r>
          </w:p>
        </w:tc>
      </w:tr>
      <w:tr>
        <w:tc>
          <w:tcPr>
            <w:tcW w:w="909" w:type="dxa"/>
          </w:tcPr>
          <w:p>
            <w:pPr/>
            <w:r>
              <w:t xml:space="preserve">Owns</w:t>
            </w:r>
          </w:p>
        </w:tc>
        <w:tc>
          <w:tcPr>
            <w:tcW w:w="4506" w:type="dxa"/>
          </w:tcPr>
          <w:p>
            <w:pPr/>
            <w:r>
              <w:t xml:space="preserve">Device readings, risk tier, vitals trends</w:t>
            </w:r>
          </w:p>
        </w:tc>
        <w:tc>
          <w:tcPr>
            <w:tcW w:w="3943" w:type="dxa"/>
          </w:tcPr>
          <w:p>
            <w:pPr/>
            <w:r>
              <w:t xml:space="preserve">The official case and its status</w:t>
            </w:r>
          </w:p>
        </w:tc>
      </w:tr>
      <w:tr>
        <w:tc>
          <w:tcPr>
            <w:tcW w:w="909" w:type="dxa"/>
          </w:tcPr>
          <w:p>
            <w:pPr/>
            <w:r>
              <w:t xml:space="preserve">Active</w:t>
            </w:r>
          </w:p>
        </w:tc>
        <w:tc>
          <w:tcPr>
            <w:tcW w:w="4506" w:type="dxa"/>
          </w:tcPr>
          <w:p>
            <w:pPr/>
            <w:r>
              <w:t xml:space="preserve">Before a case exists, and during follow-up</w:t>
            </w:r>
          </w:p>
        </w:tc>
        <w:tc>
          <w:tcPr>
            <w:tcW w:w="3943" w:type="dxa"/>
          </w:tcPr>
          <w:p>
            <w:pPr/>
            <w:r>
              <w:t xml:space="preserve">From case identification onward</w:t>
            </w:r>
          </w:p>
        </w:tc>
      </w:tr>
    </w:tbl>
    <w:p>
      <w:pPr/>
      <w:r>
        <w:t xml:space="preserve">Rule to remember: </w:t>
      </w:r>
      <w:r>
        <w:rPr>
          <w:b/>
        </w:rPr>
        <w:t xml:space="preserve">ADaM owns the case. GM never creates a competing case file.</w:t>
      </w:r>
      <w:r>
        <w:t xml:space="preserve"> We send notifications and telemetry linked to ADaM's case ID.</w:t>
      </w:r>
    </w:p>
    <w:p>
      <w:pPr>
        <w:pStyle w:val="Heading2"/>
      </w:pPr>
      <w:r>
        <w:t xml:space="preserve">How information flows</w:t>
      </w:r>
    </w:p>
    <w:p>
      <w:pPr>
        <w:pStyle w:val="ListParagraph"/>
        <w:numPr>
          <w:ilvl w:val="0"/>
          <w:numId w:val="2"/>
        </w:numPr>
      </w:pPr>
      <w:r>
        <w:t xml:space="preserve">A person passes the GM Checkpoint, which applies the active disease profile and assigns a risk tier.</w:t>
      </w:r>
    </w:p>
    <w:p>
      <w:pPr>
        <w:pStyle w:val="ListParagraph"/>
        <w:numPr>
          <w:ilvl w:val="0"/>
          <w:numId w:val="2"/>
        </w:numPr>
      </w:pPr>
      <w:r>
        <w:t xml:space="preserve">A nurse confirms an amber or red result matches the case definition.</w:t>
      </w:r>
    </w:p>
    <w:p>
      <w:pPr>
        <w:pStyle w:val="ListParagraph"/>
        <w:numPr>
          <w:ilvl w:val="0"/>
          <w:numId w:val="2"/>
        </w:numPr>
      </w:pPr>
      <w:r>
        <w:t xml:space="preserve">A suspected-case notification goes to ADaM, which opens the case.</w:t>
      </w:r>
    </w:p>
    <w:p>
      <w:pPr>
        <w:pStyle w:val="ListParagraph"/>
        <w:numPr>
          <w:ilvl w:val="0"/>
          <w:numId w:val="2"/>
        </w:numPr>
      </w:pPr>
      <w:r>
        <w:t xml:space="preserve">The person is isolated or followed up and wears the GM Wearable. Vitals trends feed ADaM follow-up as symptom updates.</w:t>
      </w:r>
    </w:p>
    <w:p>
      <w:pPr>
        <w:pStyle w:val="ListParagraph"/>
        <w:numPr>
          <w:ilvl w:val="0"/>
          <w:numId w:val="2"/>
        </w:numPr>
      </w:pPr>
      <w:r>
        <w:t xml:space="preserve">The lab result returns by patient ID. Confirmed means escalate, negative means release from monitoring.</w:t>
      </w:r>
    </w:p>
    <w:p>
      <w:pPr>
        <w:pStyle w:val="ListParagraph"/>
        <w:numPr>
          <w:ilvl w:val="0"/>
          <w:numId w:val="2"/>
        </w:numPr>
      </w:pPr>
      <w:r>
        <w:t xml:space="preserve">Later phase: ADaM tells our platform which outbreak is active so checkpoints load the right disease profile.</w:t>
      </w:r>
    </w:p>
    <w:p>
      <w:pPr>
        <w:pStyle w:val="Heading2"/>
      </w:pPr>
      <w:r>
        <w:t xml:space="preserve">What we send to ADaM</w:t>
      </w:r>
    </w:p>
    <w:p>
      <w:pPr>
        <w:pStyle w:val="ListParagraph"/>
        <w:numPr>
          <w:ilvl w:val="0"/>
          <w:numId w:val="3"/>
        </w:numPr>
      </w:pPr>
      <w:r>
        <w:t xml:space="preserve">Patient ID, site, and timestamp</w:t>
      </w:r>
    </w:p>
    <w:p>
      <w:pPr>
        <w:pStyle w:val="ListParagraph"/>
        <w:numPr>
          <w:ilvl w:val="0"/>
          <w:numId w:val="3"/>
        </w:numPr>
      </w:pPr>
      <w:r>
        <w:t xml:space="preserve">The syndrome and exposure flags that triggered the alert</w:t>
      </w:r>
    </w:p>
    <w:p>
      <w:pPr>
        <w:pStyle w:val="ListParagraph"/>
        <w:numPr>
          <w:ilvl w:val="0"/>
          <w:numId w:val="3"/>
        </w:numPr>
      </w:pPr>
      <w:r>
        <w:t xml:space="preserve">The disease profile that was applied</w:t>
      </w:r>
    </w:p>
    <w:p>
      <w:pPr>
        <w:pStyle w:val="ListParagraph"/>
        <w:numPr>
          <w:ilvl w:val="0"/>
          <w:numId w:val="3"/>
        </w:numPr>
      </w:pPr>
      <w:r>
        <w:t xml:space="preserve">Vitals summaries (not raw sensor streams)</w:t>
      </w:r>
    </w:p>
    <w:p>
      <w:pPr/>
      <w:r>
        <w:t xml:space="preserve">We send suspected cases, not diagnoses. ADaM and the surveillance team classify the case.</w:t>
      </w:r>
    </w:p>
    <w:p>
      <w:pPr>
        <w:pStyle w:val="Heading2"/>
      </w:pPr>
      <w:r>
        <w:t xml:space="preserve">Build phases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Standalone pilot:</w:t>
      </w:r>
      <w:r>
        <w:t xml:space="preserve"> GM runs at one site. The facility surveillance officer enters flagged cases into ADaM by hand from a GM export.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Outbound link:</w:t>
      </w:r>
      <w:r>
        <w:t xml:space="preserve"> an adapter pushes suspected-case notifications to ADaM.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Monitoring link:</w:t>
      </w:r>
      <w:r>
        <w:t xml:space="preserve"> wearable alerts are written into ADaM follow-up records.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Two-way:</w:t>
      </w:r>
      <w:r>
        <w:t xml:space="preserve"> ADaM drives the active disease profile at checkpoints.</w:t>
      </w:r>
    </w:p>
    <w:p>
      <w:pPr/>
      <w:r>
        <w:t xml:space="preserve">Phases 1 and 2 are realistic for the pilot. Phases 3 and 4 depend on what interfaces the Ministry and ICAP are willing to open.</w:t>
      </w:r>
    </w:p>
    <w:p>
      <w:pPr>
        <w:pStyle w:val="Heading2"/>
      </w:pPr>
      <w:r>
        <w:t xml:space="preserve">Design rules for everyone building</w:t>
      </w:r>
    </w:p>
    <w:p>
      <w:pPr>
        <w:pStyle w:val="ListParagraph"/>
        <w:numPr>
          <w:ilvl w:val="0"/>
          <w:numId w:val="5"/>
        </w:numPr>
      </w:pPr>
      <w:r>
        <w:t xml:space="preserve">Keep the GM Platform as the source of truth for device data.</w:t>
      </w:r>
    </w:p>
    <w:p>
      <w:pPr>
        <w:pStyle w:val="ListParagraph"/>
        <w:numPr>
          <w:ilvl w:val="0"/>
          <w:numId w:val="5"/>
        </w:numPr>
      </w:pPr>
      <w:r>
        <w:t xml:space="preserve">Build one adapter layer with a clean FHIR boundary. If ADaM exposes something different, only the adapter changes.</w:t>
      </w:r>
    </w:p>
    <w:p>
      <w:pPr>
        <w:pStyle w:val="ListParagraph"/>
        <w:numPr>
          <w:ilvl w:val="0"/>
          <w:numId w:val="5"/>
        </w:numPr>
      </w:pPr>
      <w:r>
        <w:t xml:space="preserve">Use one shared patient ID and specimen ID, agreed with the Ministry before we build.</w:t>
      </w:r>
    </w:p>
    <w:p>
      <w:pPr>
        <w:pStyle w:val="ListParagraph"/>
        <w:numPr>
          <w:ilvl w:val="0"/>
          <w:numId w:val="5"/>
        </w:numPr>
      </w:pPr>
      <w:r>
        <w:t xml:space="preserve">Every message gets a unique ID so a retry never creates a duplicate case. Checkpoints store messages offline and send when the connection returns.</w:t>
      </w:r>
    </w:p>
    <w:p>
      <w:pPr>
        <w:pStyle w:val="ListParagraph"/>
        <w:numPr>
          <w:ilvl w:val="0"/>
          <w:numId w:val="5"/>
        </w:numPr>
      </w:pPr>
      <w:r>
        <w:t xml:space="preserve">Send the minimum data ADaM needs to act on.</w:t>
      </w:r>
    </w:p>
    <w:p>
      <w:pPr>
        <w:pStyle w:val="Heading2"/>
      </w:pPr>
      <w:r>
        <w:t xml:space="preserve">What we do not know yet</w:t>
      </w:r>
    </w:p>
    <w:p>
      <w:pPr>
        <w:pStyle w:val="ListParagraph"/>
        <w:numPr>
          <w:ilvl w:val="0"/>
          <w:numId w:val="6"/>
        </w:numPr>
      </w:pPr>
      <w:r>
        <w:t xml:space="preserve">We found </w:t>
      </w:r>
      <w:r>
        <w:rPr>
          <w:b/>
        </w:rPr>
        <w:t xml:space="preserve">no public API documentation</w:t>
      </w:r>
      <w:r>
        <w:t xml:space="preserve"> for ADaM. Integration needs an agreement with the Ministry of Health's Division of Disease Surveillance and Response and with ICAP.</w:t>
      </w:r>
    </w:p>
    <w:p>
      <w:pPr>
        <w:pStyle w:val="ListParagraph"/>
        <w:numPr>
          <w:ilvl w:val="0"/>
          <w:numId w:val="6"/>
        </w:numPr>
      </w:pPr>
      <w:r>
        <w:t xml:space="preserve">Whether ADaM accepts FHIR or another format.</w:t>
      </w:r>
    </w:p>
    <w:p>
      <w:pPr>
        <w:pStyle w:val="ListParagraph"/>
        <w:numPr>
          <w:ilvl w:val="0"/>
          <w:numId w:val="6"/>
        </w:numPr>
      </w:pPr>
      <w:r>
        <w:t xml:space="preserve">Which patient identifier the Ministry will want us to use.</w:t>
      </w:r>
    </w:p>
    <w:p>
      <w:pPr>
        <w:pStyle w:val="ListParagraph"/>
        <w:numPr>
          <w:ilvl w:val="0"/>
          <w:numId w:val="6"/>
        </w:numPr>
      </w:pPr>
      <w:r>
        <w:t xml:space="preserve">Data protection requirements under Kenya's Data Protection Act (consent, impact assessment, ODPC registration).</w:t>
      </w:r>
    </w:p>
    <w:p>
      <w:pPr>
        <w:pStyle w:val="Heading2"/>
      </w:pPr>
      <w:r>
        <w:t xml:space="preserve">Limits we must stay honest about</w:t>
      </w:r>
    </w:p>
    <w:p>
      <w:pPr>
        <w:pStyle w:val="ListParagraph"/>
        <w:numPr>
          <w:ilvl w:val="0"/>
          <w:numId w:val="7"/>
        </w:numPr>
      </w:pPr>
      <w:r>
        <w:t xml:space="preserve">Temperature, SpO2 and heart rate are non-specific. The GM System does syndromic triage, not diagnosis. Lab confirmation stays essential.</w:t>
      </w:r>
    </w:p>
    <w:p>
      <w:pPr>
        <w:pStyle w:val="ListParagraph"/>
        <w:numPr>
          <w:ilvl w:val="0"/>
          <w:numId w:val="7"/>
        </w:numPr>
      </w:pPr>
      <w:r>
        <w:t xml:space="preserve">Single-point temperature screening misses early cases, so exposure history matters as much as temperature.</w:t>
      </w:r>
    </w:p>
    <w:p>
      <w:pPr>
        <w:pStyle w:val="ListParagraph"/>
        <w:numPr>
          <w:ilvl w:val="0"/>
          <w:numId w:val="7"/>
        </w:numPr>
      </w:pPr>
      <w:r>
        <w:t xml:space="preserve">The e-nose has no validated disease signature yet and should not drive decisions.</w:t>
      </w:r>
    </w:p>
    <w:p>
      <w:pPr>
        <w:pStyle w:val="Heading2"/>
      </w:pPr>
      <w:r>
        <w:t xml:space="preserve">Next steps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61"/>
        <w:gridCol w:w="7198"/>
      </w:tblGrid>
      <w:tr>
        <w:trPr>
          <w:tblHeader/>
        </w:trPr>
        <w:tc>
          <w:tcPr>
            <w:tcW w:w="2161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7198" w:type="dxa"/>
            <w:shd w:val="clear" w:color="auto" w:fill="F2F2F2"/>
          </w:tcPr>
          <w:p>
            <w:pPr/>
            <w:r>
              <w:t xml:space="preserve">Task</w:t>
            </w:r>
          </w:p>
        </w:tc>
      </w:tr>
      <w:tr>
        <w:tc>
          <w:tcPr>
            <w:tcW w:w="2161" w:type="dxa"/>
          </w:tcPr>
          <w:p>
            <w:pPr/>
            <w:r>
              <w:t xml:space="preserve">Outreach</w:t>
            </w:r>
          </w:p>
        </w:tc>
        <w:tc>
          <w:tcPr>
            <w:tcW w:w="7198" w:type="dxa"/>
          </w:tcPr>
          <w:p>
            <w:pPr/>
            <w:r>
              <w:t xml:space="preserve">Contact the Ministry surveillance unit and ICAP informatics team to ask about integration routes</w:t>
            </w:r>
          </w:p>
        </w:tc>
      </w:tr>
      <w:tr>
        <w:tc>
          <w:tcPr>
            <w:tcW w:w="2161" w:type="dxa"/>
          </w:tcPr>
          <w:p>
            <w:pPr/>
            <w:r>
              <w:t xml:space="preserve">Platform</w:t>
            </w:r>
          </w:p>
        </w:tc>
        <w:tc>
          <w:tcPr>
            <w:tcW w:w="7198" w:type="dxa"/>
          </w:tcPr>
          <w:p>
            <w:pPr/>
            <w:r>
              <w:t xml:space="preserve">Define the notification data fields and the FHIR adapter schema</w:t>
            </w:r>
          </w:p>
        </w:tc>
      </w:tr>
      <w:tr>
        <w:tc>
          <w:tcPr>
            <w:tcW w:w="2161" w:type="dxa"/>
          </w:tcPr>
          <w:p>
            <w:pPr/>
            <w:r>
              <w:t xml:space="preserve">Pilot</w:t>
            </w:r>
          </w:p>
        </w:tc>
        <w:tc>
          <w:tcPr>
            <w:tcW w:w="7198" w:type="dxa"/>
          </w:tcPr>
          <w:p>
            <w:pPr/>
            <w:r>
              <w:t xml:space="preserve">Draft the manual-entry workflow for the surveillance officer</w:t>
            </w:r>
          </w:p>
        </w:tc>
      </w:tr>
      <w:tr>
        <w:tc>
          <w:tcPr>
            <w:tcW w:w="2161" w:type="dxa"/>
          </w:tcPr>
          <w:p>
            <w:pPr/>
            <w:r>
              <w:t xml:space="preserve">Compliance</w:t>
            </w:r>
          </w:p>
        </w:tc>
        <w:tc>
          <w:tcPr>
            <w:tcW w:w="7198" w:type="dxa"/>
          </w:tcPr>
          <w:p>
            <w:pPr/>
            <w:r>
              <w:t xml:space="preserve">Start the data protection impact assessment</w:t>
            </w:r>
          </w:p>
        </w:tc>
      </w:tr>
    </w:tbl>
    <w:p>
      <w:pPr/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GM System and ADaM integration team brief</dc:title>
  <dc:description>Claude Docs node/58bad50e-d75c@7 docx-w7</dc:description>
  <cp:revision>7</cp:revision>
</cp:coreProperties>
</file>