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Next.js/React and MapLibre GL JS workspace reference [ Page.  ]</w:t>
      </w:r>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pPr>
        <w:pStyle w:val="ListBullet"/>
      </w:pPr>
      <w:r>
        <w:t>Figure 2.6 UML component view [ Page.  ]</w:t>
      </w:r>
    </w:p>
    <w:p>
      <w:pPr>
        <w:pStyle w:val="ListBullet"/>
      </w:pPr>
      <w:r>
        <w:t>Figure 2.7 UML sequence for scenario processing [ Page.  ]</w:t>
      </w:r>
    </w:p>
    <w:p>
      <w:pPr>
        <w:pStyle w:val="ListBullet"/>
      </w:pPr>
      <w:r>
        <w:t>Figure 2.8 UML deployment view [ Page.  ]</w:t>
      </w:r>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r>
        <w:t>A spatial scenario workflow is justified since conservation and land-use decisions are place-specific and involve interacting indicators. The digital-twin approach connects reference layers, modelling and review through the Next.js/React workspace, MapLibre GL JS, Mapbox tiles and the FastAPI geospatial services. The use of this web workspace and these geospatial services will be under study to show how it all might be used to 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Library / package</w:t>
            </w:r>
          </w:p>
        </w:tc>
        <w:tc>
          <w:tcPr>
            <w:tcW w:type="dxa" w:w="2430"/>
            <w:vAlign w:val="center"/>
            <w:shd w:fill="5B6573"/>
          </w:tcPr>
          <w:p>
            <w:pPr>
              <w:spacing w:after="40"/>
            </w:pPr>
            <w:r>
              <w:rPr>
                <w:rFonts w:ascii="Aptos" w:hAnsi="Aptos"/>
                <w:b/>
                <w:color w:val="FFFFFF"/>
                <w:sz w:val="17"/>
              </w:rPr>
              <w:t>Version in project</w:t>
            </w:r>
          </w:p>
        </w:tc>
        <w:tc>
          <w:tcPr>
            <w:tcW w:type="dxa" w:w="2430"/>
            <w:vAlign w:val="center"/>
            <w:shd w:fill="5B6573"/>
          </w:tcPr>
          <w:p>
            <w:pPr>
              <w:spacing w:after="40"/>
            </w:pPr>
            <w:r>
              <w:rPr>
                <w:rFonts w:ascii="Aptos" w:hAnsi="Aptos"/>
                <w:b/>
                <w:color w:val="FFFFFF"/>
                <w:sz w:val="17"/>
              </w:rPr>
              <w:t>Explicit use in Seka Kama</w:t>
            </w:r>
          </w:p>
        </w:tc>
        <w:tc>
          <w:tcPr>
            <w:tcW w:type="dxa" w:w="2430"/>
            <w:vAlign w:val="center"/>
            <w:shd w:fill="5B6573"/>
          </w:tcPr>
          <w:p>
            <w:pPr>
              <w:spacing w:after="40"/>
            </w:pPr>
            <w:r>
              <w:rPr>
                <w:rFonts w:ascii="Aptos" w:hAnsi="Aptos"/>
                <w:b/>
                <w:color w:val="FFFFFF"/>
                <w:sz w:val="17"/>
              </w:rPr>
              <w:t>Integration point</w:t>
            </w:r>
          </w:p>
        </w:tc>
      </w:tr>
      <w:tr>
        <w:tc>
          <w:tcPr>
            <w:tcW w:type="dxa" w:w="2430"/>
            <w:vAlign w:val="center"/>
          </w:tcPr>
          <w:p>
            <w:pPr>
              <w:spacing w:after="40"/>
            </w:pPr>
            <w:r>
              <w:rPr>
                <w:rFonts w:ascii="Aptos" w:hAnsi="Aptos"/>
                <w:sz w:val="17"/>
              </w:rPr>
              <w:t>maplibre-gl</w:t>
            </w:r>
          </w:p>
        </w:tc>
        <w:tc>
          <w:tcPr>
            <w:tcW w:type="dxa" w:w="2430"/>
            <w:vAlign w:val="center"/>
          </w:tcPr>
          <w:p>
            <w:pPr>
              <w:spacing w:after="40"/>
            </w:pPr>
            <w:r>
              <w:rPr>
                <w:rFonts w:ascii="Aptos" w:hAnsi="Aptos"/>
                <w:sz w:val="17"/>
              </w:rPr>
              <w:t>^5.24.0</w:t>
            </w:r>
          </w:p>
        </w:tc>
        <w:tc>
          <w:tcPr>
            <w:tcW w:type="dxa" w:w="2430"/>
            <w:vAlign w:val="center"/>
          </w:tcPr>
          <w:p>
            <w:pPr>
              <w:spacing w:after="40"/>
            </w:pPr>
            <w:r>
              <w:rPr>
                <w:rFonts w:ascii="Aptos" w:hAnsi="Aptos"/>
                <w:sz w:val="17"/>
              </w:rPr>
              <w:t>Renders the interactive map canvas, basemap style, camera, sources and visible map layers.</w:t>
            </w:r>
          </w:p>
        </w:tc>
        <w:tc>
          <w:tcPr>
            <w:tcW w:type="dxa" w:w="2430"/>
            <w:vAlign w:val="center"/>
          </w:tcPr>
          <w:p>
            <w:pPr>
              <w:spacing w:after="40"/>
            </w:pPr>
            <w:r>
              <w:rPr>
                <w:rFonts w:ascii="Aptos" w:hAnsi="Aptos"/>
                <w:sz w:val="17"/>
              </w:rPr>
              <w:t>SekaMap.tsx and KeplerMap.tsx</w:t>
            </w:r>
          </w:p>
        </w:tc>
      </w:tr>
      <w:tr>
        <w:tc>
          <w:tcPr>
            <w:tcW w:type="dxa" w:w="2430"/>
            <w:vAlign w:val="center"/>
          </w:tcPr>
          <w:p>
            <w:pPr>
              <w:spacing w:after="40"/>
            </w:pPr>
            <w:r>
              <w:rPr>
                <w:rFonts w:ascii="Aptos" w:hAnsi="Aptos"/>
                <w:sz w:val="17"/>
              </w:rPr>
              <w:t>react-map-gl</w:t>
            </w:r>
          </w:p>
        </w:tc>
        <w:tc>
          <w:tcPr>
            <w:tcW w:type="dxa" w:w="2430"/>
            <w:vAlign w:val="center"/>
          </w:tcPr>
          <w:p>
            <w:pPr>
              <w:spacing w:after="40"/>
            </w:pPr>
            <w:r>
              <w:rPr>
                <w:rFonts w:ascii="Aptos" w:hAnsi="Aptos"/>
                <w:sz w:val="17"/>
              </w:rPr>
              <w:t>^8.1.1</w:t>
            </w:r>
          </w:p>
        </w:tc>
        <w:tc>
          <w:tcPr>
            <w:tcW w:type="dxa" w:w="2430"/>
            <w:vAlign w:val="center"/>
          </w:tcPr>
          <w:p>
            <w:pPr>
              <w:spacing w:after="40"/>
            </w:pPr>
            <w:r>
              <w:rPr>
                <w:rFonts w:ascii="Aptos" w:hAnsi="Aptos"/>
                <w:sz w:val="17"/>
              </w:rPr>
              <w:t>Provides the React component and event wrapper around the map instance.</w:t>
            </w:r>
          </w:p>
        </w:tc>
        <w:tc>
          <w:tcPr>
            <w:tcW w:type="dxa" w:w="2430"/>
            <w:vAlign w:val="center"/>
          </w:tcPr>
          <w:p>
            <w:pPr>
              <w:spacing w:after="40"/>
            </w:pPr>
            <w:r>
              <w:rPr>
                <w:rFonts w:ascii="Aptos" w:hAnsi="Aptos"/>
                <w:sz w:val="17"/>
              </w:rPr>
              <w:t>Map workspace components</w:t>
            </w:r>
          </w:p>
        </w:tc>
      </w:tr>
      <w:tr>
        <w:tc>
          <w:tcPr>
            <w:tcW w:type="dxa" w:w="2430"/>
            <w:vAlign w:val="center"/>
          </w:tcPr>
          <w:p>
            <w:pPr>
              <w:spacing w:after="40"/>
            </w:pPr>
            <w:r>
              <w:rPr>
                <w:rFonts w:ascii="Aptos" w:hAnsi="Aptos"/>
                <w:sz w:val="17"/>
              </w:rPr>
              <w:t>@mapbox/mapbox-gl-draw</w:t>
            </w:r>
          </w:p>
        </w:tc>
        <w:tc>
          <w:tcPr>
            <w:tcW w:type="dxa" w:w="2430"/>
            <w:vAlign w:val="center"/>
          </w:tcPr>
          <w:p>
            <w:pPr>
              <w:spacing w:after="40"/>
            </w:pPr>
            <w:r>
              <w:rPr>
                <w:rFonts w:ascii="Aptos" w:hAnsi="Aptos"/>
                <w:sz w:val="17"/>
              </w:rPr>
              <w:t>^1.5.1</w:t>
            </w:r>
          </w:p>
        </w:tc>
        <w:tc>
          <w:tcPr>
            <w:tcW w:type="dxa" w:w="2430"/>
            <w:vAlign w:val="center"/>
          </w:tcPr>
          <w:p>
            <w:pPr>
              <w:spacing w:after="40"/>
            </w:pPr>
            <w:r>
              <w:rPr>
                <w:rFonts w:ascii="Aptos" w:hAnsi="Aptos"/>
                <w:sz w:val="17"/>
              </w:rPr>
              <w:t>Lets the user draw and edit the scenario area of interest; outputs GeoJSON geometry.</w:t>
            </w:r>
          </w:p>
        </w:tc>
        <w:tc>
          <w:tcPr>
            <w:tcW w:type="dxa" w:w="2430"/>
            <w:vAlign w:val="center"/>
          </w:tcPr>
          <w:p>
            <w:pPr>
              <w:spacing w:after="40"/>
            </w:pPr>
            <w:r>
              <w:rPr>
                <w:rFonts w:ascii="Aptos" w:hAnsi="Aptos"/>
                <w:sz w:val="17"/>
              </w:rPr>
              <w:t>Scenario drawing control</w:t>
            </w:r>
          </w:p>
        </w:tc>
      </w:tr>
      <w:tr>
        <w:tc>
          <w:tcPr>
            <w:tcW w:type="dxa" w:w="2430"/>
            <w:vAlign w:val="center"/>
          </w:tcPr>
          <w:p>
            <w:pPr>
              <w:spacing w:after="40"/>
            </w:pPr>
            <w:r>
              <w:rPr>
                <w:rFonts w:ascii="Aptos" w:hAnsi="Aptos"/>
                <w:sz w:val="17"/>
              </w:rPr>
              <w:t>deck.gl</w:t>
            </w:r>
          </w:p>
        </w:tc>
        <w:tc>
          <w:tcPr>
            <w:tcW w:type="dxa" w:w="2430"/>
            <w:vAlign w:val="center"/>
          </w:tcPr>
          <w:p>
            <w:pPr>
              <w:spacing w:after="40"/>
            </w:pPr>
            <w:r>
              <w:rPr>
                <w:rFonts w:ascii="Aptos" w:hAnsi="Aptos"/>
                <w:sz w:val="17"/>
              </w:rPr>
              <w:t>9.2.11</w:t>
            </w:r>
          </w:p>
        </w:tc>
        <w:tc>
          <w:tcPr>
            <w:tcW w:type="dxa" w:w="2430"/>
            <w:vAlign w:val="center"/>
          </w:tcPr>
          <w:p>
            <w:pPr>
              <w:spacing w:after="40"/>
            </w:pPr>
            <w:r>
              <w:rPr>
                <w:rFonts w:ascii="Aptos" w:hAnsi="Aptos"/>
                <w:sz w:val="17"/>
              </w:rPr>
              <w:t>Renders analytical grid-cell and spatial overlay layers using GPU-accelerated WebGL layers.</w:t>
            </w:r>
          </w:p>
        </w:tc>
        <w:tc>
          <w:tcPr>
            <w:tcW w:type="dxa" w:w="2430"/>
            <w:vAlign w:val="center"/>
          </w:tcPr>
          <w:p>
            <w:pPr>
              <w:spacing w:after="40"/>
            </w:pPr>
            <w:r>
              <w:rPr>
                <w:rFonts w:ascii="Aptos" w:hAnsi="Aptos"/>
                <w:sz w:val="17"/>
              </w:rPr>
              <w:t>Analytical map layers</w:t>
            </w:r>
          </w:p>
        </w:tc>
      </w:tr>
      <w:tr>
        <w:tc>
          <w:tcPr>
            <w:tcW w:type="dxa" w:w="2430"/>
            <w:vAlign w:val="center"/>
          </w:tcPr>
          <w:p>
            <w:pPr>
              <w:spacing w:after="40"/>
            </w:pPr>
            <w:r>
              <w:rPr>
                <w:rFonts w:ascii="Aptos" w:hAnsi="Aptos"/>
                <w:sz w:val="17"/>
              </w:rPr>
              <w:t>kepler.gl</w:t>
            </w:r>
          </w:p>
        </w:tc>
        <w:tc>
          <w:tcPr>
            <w:tcW w:type="dxa" w:w="2430"/>
            <w:vAlign w:val="center"/>
          </w:tcPr>
          <w:p>
            <w:pPr>
              <w:spacing w:after="40"/>
            </w:pPr>
            <w:r>
              <w:rPr>
                <w:rFonts w:ascii="Aptos" w:hAnsi="Aptos"/>
                <w:sz w:val="17"/>
              </w:rPr>
              <w:t>^3.3.0-alpha.0</w:t>
            </w:r>
          </w:p>
        </w:tc>
        <w:tc>
          <w:tcPr>
            <w:tcW w:type="dxa" w:w="2430"/>
            <w:vAlign w:val="center"/>
          </w:tcPr>
          <w:p>
            <w:pPr>
              <w:spacing w:after="40"/>
            </w:pPr>
            <w:r>
              <w:rPr>
                <w:rFonts w:ascii="Aptos" w:hAnsi="Aptos"/>
                <w:sz w:val="17"/>
              </w:rPr>
              <w:t>Provides exploratory geospatial layer inspection and configuration where enabled.</w:t>
            </w:r>
          </w:p>
        </w:tc>
        <w:tc>
          <w:tcPr>
            <w:tcW w:type="dxa" w:w="2430"/>
            <w:vAlign w:val="center"/>
          </w:tcPr>
          <w:p>
            <w:pPr>
              <w:spacing w:after="40"/>
            </w:pPr>
            <w:r>
              <w:rPr>
                <w:rFonts w:ascii="Aptos" w:hAnsi="Aptos"/>
                <w:sz w:val="17"/>
              </w:rPr>
              <w:t>Exploratory map view</w:t>
            </w:r>
          </w:p>
        </w:tc>
      </w:tr>
      <w:tr>
        <w:tc>
          <w:tcPr>
            <w:tcW w:type="dxa" w:w="2430"/>
            <w:vAlign w:val="center"/>
          </w:tcPr>
          <w:p>
            <w:pPr>
              <w:spacing w:after="40"/>
            </w:pPr>
            <w:r>
              <w:rPr>
                <w:rFonts w:ascii="Aptos" w:hAnsi="Aptos"/>
                <w:sz w:val="17"/>
              </w:rPr>
              <w:t>recharts</w:t>
            </w:r>
          </w:p>
        </w:tc>
        <w:tc>
          <w:tcPr>
            <w:tcW w:type="dxa" w:w="2430"/>
            <w:vAlign w:val="center"/>
          </w:tcPr>
          <w:p>
            <w:pPr>
              <w:spacing w:after="40"/>
            </w:pPr>
            <w:r>
              <w:rPr>
                <w:rFonts w:ascii="Aptos" w:hAnsi="Aptos"/>
                <w:sz w:val="17"/>
              </w:rPr>
              <w:t>^2.15.3</w:t>
            </w:r>
          </w:p>
        </w:tc>
        <w:tc>
          <w:tcPr>
            <w:tcW w:type="dxa" w:w="2430"/>
            <w:vAlign w:val="center"/>
          </w:tcPr>
          <w:p>
            <w:pPr>
              <w:spacing w:after="40"/>
            </w:pPr>
            <w:r>
              <w:rPr>
                <w:rFonts w:ascii="Aptos" w:hAnsi="Aptos"/>
                <w:sz w:val="17"/>
              </w:rPr>
              <w:t>Renders the trend, comparison and summary charts associated with the selected map data.</w:t>
            </w:r>
          </w:p>
        </w:tc>
        <w:tc>
          <w:tcPr>
            <w:tcW w:type="dxa" w:w="2430"/>
            <w:vAlign w:val="center"/>
          </w:tcPr>
          <w:p>
            <w:pPr>
              <w:spacing w:after="40"/>
            </w:pPr>
            <w:r>
              <w:rPr>
                <w:rFonts w:ascii="Aptos" w:hAnsi="Aptos"/>
                <w:sz w:val="17"/>
              </w:rPr>
              <w:t>TrendChart.tsx and result panels</w:t>
            </w:r>
          </w:p>
        </w:tc>
      </w:tr>
      <w:tr>
        <w:tc>
          <w:tcPr>
            <w:tcW w:type="dxa" w:w="2430"/>
            <w:vAlign w:val="center"/>
          </w:tcPr>
          <w:p>
            <w:pPr>
              <w:spacing w:after="40"/>
            </w:pPr>
            <w:r>
              <w:rPr>
                <w:rFonts w:ascii="Aptos" w:hAnsi="Aptos"/>
                <w:sz w:val="17"/>
              </w:rPr>
              <w:t>lucide-react</w:t>
            </w:r>
          </w:p>
        </w:tc>
        <w:tc>
          <w:tcPr>
            <w:tcW w:type="dxa" w:w="2430"/>
            <w:vAlign w:val="center"/>
          </w:tcPr>
          <w:p>
            <w:pPr>
              <w:spacing w:after="40"/>
            </w:pPr>
            <w:r>
              <w:rPr>
                <w:rFonts w:ascii="Aptos" w:hAnsi="Aptos"/>
                <w:sz w:val="17"/>
              </w:rPr>
              <w:t>^0.473.0</w:t>
            </w:r>
          </w:p>
        </w:tc>
        <w:tc>
          <w:tcPr>
            <w:tcW w:type="dxa" w:w="2430"/>
            <w:vAlign w:val="center"/>
          </w:tcPr>
          <w:p>
            <w:pPr>
              <w:spacing w:after="40"/>
            </w:pPr>
            <w:r>
              <w:rPr>
                <w:rFonts w:ascii="Aptos" w:hAnsi="Aptos"/>
                <w:sz w:val="17"/>
              </w:rPr>
              <w:t>Provides interface icons for map controls, panels and navigation; it does not render spatial data.</w:t>
            </w:r>
          </w:p>
        </w:tc>
        <w:tc>
          <w:tcPr>
            <w:tcW w:type="dxa" w:w="2430"/>
            <w:vAlign w:val="center"/>
          </w:tcPr>
          <w:p>
            <w:pPr>
              <w:spacing w:after="40"/>
            </w:pPr>
            <w:r>
              <w:rPr>
                <w:rFonts w:ascii="Aptos" w:hAnsi="Aptos"/>
                <w:sz w:val="17"/>
              </w:rPr>
              <w:t>Shared interface components</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Next.js/React workspace will combine the MapLibre GL JS and Mapbox map canvas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t>Figure 2.2 Proposed Next.js/React and MapLibre GL JS 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The presentation layer will provide the MapLibre GL JS/Mapbox canvas, Deck.gl analytical layers and forms. The API layer will validate requests and orchestrate data access. The spatial layer will store and query geographic evidence. The prediction layer will prepare features 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MapLibre GL JS/Mapbox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pPr>
        <w:pStyle w:val="Heading2"/>
      </w:pPr>
      <w:r>
        <w:t>2.9 UML views of the proposed system</w:t>
      </w:r>
    </w:p>
    <w:p>
      <w:pPr/>
      <w:r>
        <w:t>The UML views in this section make the design explicit. They show which component owns each responsibility, the order of a scenario request, and the runtime nodes used to deploy the system. Together with the context diagram, DFD and ER design, they provide a traceable design record for Chapter Two.</w:t>
      </w:r>
    </w:p>
    <w:p>
      <w:pPr>
        <w:pStyle w:val="Heading3"/>
      </w:pPr>
      <w:r>
        <w:t>UML component view</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467100"/>
                    </a:xfrm>
                    <a:prstGeom prst="rect"/>
                  </pic:spPr>
                </pic:pic>
              </a:graphicData>
            </a:graphic>
          </wp:inline>
        </w:drawing>
      </w:r>
    </w:p>
    <w:p>
      <w:pPr>
        <w:pStyle w:val="Caption"/>
      </w:pPr>
      <w:r>
        <w:t>Figure 2.6 UML component view of the Seka Kama platform.</w:t>
      </w:r>
    </w:p>
    <w:p>
      <w:pPr>
        <w:pStyle w:val="Heading3"/>
      </w:pPr>
      <w:r>
        <w:t>UML sequence view</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235960"/>
                    </a:xfrm>
                    <a:prstGeom prst="rect"/>
                  </pic:spPr>
                </pic:pic>
              </a:graphicData>
            </a:graphic>
          </wp:inline>
        </w:drawing>
      </w:r>
    </w:p>
    <w:p>
      <w:pPr>
        <w:pStyle w:val="Caption"/>
      </w:pPr>
      <w:r>
        <w:t>Figure 2.7 UML sequence for scenario processing.</w:t>
      </w:r>
    </w:p>
    <w:p>
      <w:pPr>
        <w:pStyle w:val="Heading3"/>
      </w:pPr>
      <w:r>
        <w:t>UML deployment view</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67100"/>
                    </a:xfrm>
                    <a:prstGeom prst="rect"/>
                  </pic:spPr>
                </pic:pic>
              </a:graphicData>
            </a:graphic>
          </wp:inline>
        </w:drawing>
      </w:r>
    </w:p>
    <w:p>
      <w:pPr>
        <w:pStyle w:val="Caption"/>
      </w:pPr>
      <w:r>
        <w:t>Figure 2.8 UML deployment view.</w:t>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MapLibre GL JS canvas, configured with Mapbox styles and tiles,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GL JS renders the Mapbox basemap, @mapbox/mapbox-gl-draw captures the area of interest, Deck.gl renders analytical layers, and Recharts explains the selected results.</w:t>
      </w:r>
    </w:p>
    <w:p>
      <w:pPr/>
      <w:r>
        <w:t>The MapLibre GL JS layer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MapLibre GL JS, Mapbox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pPr>
        <w:pStyle w:val="Heading2"/>
      </w:pPr>
      <w:r>
        <w:t>4.6 Reproducible map implementation specification</w:t>
      </w:r>
    </w:p>
    <w:p>
      <w:pPr/>
      <w:r>
        <w:t>The Next.js/React map workspace is implemented as a composition of named libraries, rather than as a single mapping package. This distinction matters because each library owns a different part of the interaction model. The following specification is taken from web-app/seka_kama/package.json and the component files in web-app/seka_kama/components. A library is listed as an implementation dependency only where the repository manifest records it; the document does not infer capabilities from a package name alone.</w:t>
      </w:r>
    </w:p>
    <w:p>
      <w:pPr>
        <w:pStyle w:val="Caption"/>
      </w:pPr>
      <w:r>
        <w:t>Table 4.7 Exact map and visualisation dependencies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Library and version</w:t>
            </w:r>
          </w:p>
        </w:tc>
        <w:tc>
          <w:tcPr>
            <w:tcW w:type="dxa" w:w="2430"/>
            <w:vAlign w:val="center"/>
            <w:shd w:fill="5B6573"/>
          </w:tcPr>
          <w:p>
            <w:pPr>
              <w:spacing w:after="40"/>
            </w:pPr>
            <w:r>
              <w:rPr>
                <w:rFonts w:ascii="Aptos" w:hAnsi="Aptos"/>
                <w:b/>
                <w:color w:val="FFFFFF"/>
                <w:sz w:val="16"/>
              </w:rPr>
              <w:t>Integration point</w:t>
            </w:r>
          </w:p>
        </w:tc>
        <w:tc>
          <w:tcPr>
            <w:tcW w:type="dxa" w:w="2430"/>
            <w:vAlign w:val="center"/>
            <w:shd w:fill="5B6573"/>
          </w:tcPr>
          <w:p>
            <w:pPr>
              <w:spacing w:after="40"/>
            </w:pPr>
            <w:r>
              <w:rPr>
                <w:rFonts w:ascii="Aptos" w:hAnsi="Aptos"/>
                <w:b/>
                <w:color w:val="FFFFFF"/>
                <w:sz w:val="16"/>
              </w:rPr>
              <w:t>Documented responsibility</w:t>
            </w:r>
          </w:p>
        </w:tc>
        <w:tc>
          <w:tcPr>
            <w:tcW w:type="dxa" w:w="2430"/>
            <w:vAlign w:val="center"/>
            <w:shd w:fill="5B6573"/>
          </w:tcPr>
          <w:p>
            <w:pPr>
              <w:spacing w:after="40"/>
            </w:pPr>
            <w:r>
              <w:rPr>
                <w:rFonts w:ascii="Aptos" w:hAnsi="Aptos"/>
                <w:b/>
                <w:color w:val="FFFFFF"/>
                <w:sz w:val="16"/>
              </w:rPr>
              <w:t>Evidence source</w:t>
            </w:r>
          </w:p>
        </w:tc>
      </w:tr>
      <w:tr>
        <w:tc>
          <w:tcPr>
            <w:tcW w:type="dxa" w:w="2430"/>
            <w:vAlign w:val="center"/>
          </w:tcPr>
          <w:p>
            <w:pPr>
              <w:spacing w:after="40"/>
            </w:pPr>
            <w:r>
              <w:rPr>
                <w:rFonts w:ascii="Aptos" w:hAnsi="Aptos"/>
                <w:sz w:val="16"/>
              </w:rPr>
              <w:t>maplibre-gl ^5.24.0</w:t>
            </w:r>
          </w:p>
        </w:tc>
        <w:tc>
          <w:tcPr>
            <w:tcW w:type="dxa" w:w="2430"/>
            <w:vAlign w:val="center"/>
          </w:tcPr>
          <w:p>
            <w:pPr>
              <w:spacing w:after="40"/>
            </w:pPr>
            <w:r>
              <w:rPr>
                <w:rFonts w:ascii="Aptos" w:hAnsi="Aptos"/>
                <w:sz w:val="16"/>
              </w:rPr>
              <w:t>Map canvas and style runtime</w:t>
            </w:r>
          </w:p>
        </w:tc>
        <w:tc>
          <w:tcPr>
            <w:tcW w:type="dxa" w:w="2430"/>
            <w:vAlign w:val="center"/>
          </w:tcPr>
          <w:p>
            <w:pPr>
              <w:spacing w:after="40"/>
            </w:pPr>
            <w:r>
              <w:rPr>
                <w:rFonts w:ascii="Aptos" w:hAnsi="Aptos"/>
                <w:sz w:val="16"/>
              </w:rPr>
              <w:t>Renders the interactive basemap, camera, sources and map layers.</w:t>
            </w:r>
          </w:p>
        </w:tc>
        <w:tc>
          <w:tcPr>
            <w:tcW w:type="dxa" w:w="2430"/>
            <w:vAlign w:val="center"/>
          </w:tcPr>
          <w:p>
            <w:pPr>
              <w:spacing w:after="40"/>
            </w:pPr>
            <w:r>
              <w:rPr>
                <w:rFonts w:ascii="Aptos" w:hAnsi="Aptos"/>
                <w:sz w:val="16"/>
              </w:rPr>
              <w:t>web-app/seka_kama/package.json; components/KeplerMap.tsx and SekaMap.tsx</w:t>
            </w:r>
          </w:p>
        </w:tc>
      </w:tr>
      <w:tr>
        <w:tc>
          <w:tcPr>
            <w:tcW w:type="dxa" w:w="2430"/>
            <w:vAlign w:val="center"/>
          </w:tcPr>
          <w:p>
            <w:pPr>
              <w:spacing w:after="40"/>
            </w:pPr>
            <w:r>
              <w:rPr>
                <w:rFonts w:ascii="Aptos" w:hAnsi="Aptos"/>
                <w:sz w:val="16"/>
              </w:rPr>
              <w:t>react-map-gl ^8.1.1</w:t>
            </w:r>
          </w:p>
        </w:tc>
        <w:tc>
          <w:tcPr>
            <w:tcW w:type="dxa" w:w="2430"/>
            <w:vAlign w:val="center"/>
          </w:tcPr>
          <w:p>
            <w:pPr>
              <w:spacing w:after="40"/>
            </w:pPr>
            <w:r>
              <w:rPr>
                <w:rFonts w:ascii="Aptos" w:hAnsi="Aptos"/>
                <w:sz w:val="16"/>
              </w:rPr>
              <w:t>React map wrapper</w:t>
            </w:r>
          </w:p>
        </w:tc>
        <w:tc>
          <w:tcPr>
            <w:tcW w:type="dxa" w:w="2430"/>
            <w:vAlign w:val="center"/>
          </w:tcPr>
          <w:p>
            <w:pPr>
              <w:spacing w:after="40"/>
            </w:pPr>
            <w:r>
              <w:rPr>
                <w:rFonts w:ascii="Aptos" w:hAnsi="Aptos"/>
                <w:sz w:val="16"/>
              </w:rPr>
              <w:t>Connects React state and lifecycle to the map instance used by the workspace.</w:t>
            </w:r>
          </w:p>
        </w:tc>
        <w:tc>
          <w:tcPr>
            <w:tcW w:type="dxa" w:w="2430"/>
            <w:vAlign w:val="center"/>
          </w:tcPr>
          <w:p>
            <w:pPr>
              <w:spacing w:after="40"/>
            </w:pPr>
            <w:r>
              <w:rPr>
                <w:rFonts w:ascii="Aptos" w:hAnsi="Aptos"/>
                <w:sz w:val="16"/>
              </w:rPr>
              <w:t>web-app/seka_kama/package.json; map components</w:t>
            </w:r>
          </w:p>
        </w:tc>
      </w:tr>
      <w:tr>
        <w:tc>
          <w:tcPr>
            <w:tcW w:type="dxa" w:w="2430"/>
            <w:vAlign w:val="center"/>
          </w:tcPr>
          <w:p>
            <w:pPr>
              <w:spacing w:after="40"/>
            </w:pPr>
            <w:r>
              <w:rPr>
                <w:rFonts w:ascii="Aptos" w:hAnsi="Aptos"/>
                <w:sz w:val="16"/>
              </w:rPr>
              <w:t>@mapbox/mapbox-gl-draw ^1.5.1</w:t>
            </w:r>
          </w:p>
        </w:tc>
        <w:tc>
          <w:tcPr>
            <w:tcW w:type="dxa" w:w="2430"/>
            <w:vAlign w:val="center"/>
          </w:tcPr>
          <w:p>
            <w:pPr>
              <w:spacing w:after="40"/>
            </w:pPr>
            <w:r>
              <w:rPr>
                <w:rFonts w:ascii="Aptos" w:hAnsi="Aptos"/>
                <w:sz w:val="16"/>
              </w:rPr>
              <w:t>Geometry editing control</w:t>
            </w:r>
          </w:p>
        </w:tc>
        <w:tc>
          <w:tcPr>
            <w:tcW w:type="dxa" w:w="2430"/>
            <w:vAlign w:val="center"/>
          </w:tcPr>
          <w:p>
            <w:pPr>
              <w:spacing w:after="40"/>
            </w:pPr>
            <w:r>
              <w:rPr>
                <w:rFonts w:ascii="Aptos" w:hAnsi="Aptos"/>
                <w:sz w:val="16"/>
              </w:rPr>
              <w:t>Captures the user-defined area of interest as GeoJSON for scenario requests.</w:t>
            </w:r>
          </w:p>
        </w:tc>
        <w:tc>
          <w:tcPr>
            <w:tcW w:type="dxa" w:w="2430"/>
            <w:vAlign w:val="center"/>
          </w:tcPr>
          <w:p>
            <w:pPr>
              <w:spacing w:after="40"/>
            </w:pPr>
            <w:r>
              <w:rPr>
                <w:rFonts w:ascii="Aptos" w:hAnsi="Aptos"/>
                <w:sz w:val="16"/>
              </w:rPr>
              <w:t>web-app/seka_kama/package.json; scenario UI components</w:t>
            </w:r>
          </w:p>
        </w:tc>
      </w:tr>
      <w:tr>
        <w:tc>
          <w:tcPr>
            <w:tcW w:type="dxa" w:w="2430"/>
            <w:vAlign w:val="center"/>
          </w:tcPr>
          <w:p>
            <w:pPr>
              <w:spacing w:after="40"/>
            </w:pPr>
            <w:r>
              <w:rPr>
                <w:rFonts w:ascii="Aptos" w:hAnsi="Aptos"/>
                <w:sz w:val="16"/>
              </w:rPr>
              <w:t>deck.gl 9.2.11</w:t>
            </w:r>
          </w:p>
        </w:tc>
        <w:tc>
          <w:tcPr>
            <w:tcW w:type="dxa" w:w="2430"/>
            <w:vAlign w:val="center"/>
          </w:tcPr>
          <w:p>
            <w:pPr>
              <w:spacing w:after="40"/>
            </w:pPr>
            <w:r>
              <w:rPr>
                <w:rFonts w:ascii="Aptos" w:hAnsi="Aptos"/>
                <w:sz w:val="16"/>
              </w:rPr>
              <w:t>Analytical rendering layer</w:t>
            </w:r>
          </w:p>
        </w:tc>
        <w:tc>
          <w:tcPr>
            <w:tcW w:type="dxa" w:w="2430"/>
            <w:vAlign w:val="center"/>
          </w:tcPr>
          <w:p>
            <w:pPr>
              <w:spacing w:after="40"/>
            </w:pPr>
            <w:r>
              <w:rPr>
                <w:rFonts w:ascii="Aptos" w:hAnsi="Aptos"/>
                <w:sz w:val="16"/>
              </w:rPr>
              <w:t>Provides GPU-accelerated layers for dense grid-cell and spatial overlays.</w:t>
            </w:r>
          </w:p>
        </w:tc>
        <w:tc>
          <w:tcPr>
            <w:tcW w:type="dxa" w:w="2430"/>
            <w:vAlign w:val="center"/>
          </w:tcPr>
          <w:p>
            <w:pPr>
              <w:spacing w:after="40"/>
            </w:pPr>
            <w:r>
              <w:rPr>
                <w:rFonts w:ascii="Aptos" w:hAnsi="Aptos"/>
                <w:sz w:val="16"/>
              </w:rPr>
              <w:t>web-app/seka_kama/package.json; deck.gl overrides</w:t>
            </w:r>
          </w:p>
        </w:tc>
      </w:tr>
      <w:tr>
        <w:tc>
          <w:tcPr>
            <w:tcW w:type="dxa" w:w="2430"/>
            <w:vAlign w:val="center"/>
          </w:tcPr>
          <w:p>
            <w:pPr>
              <w:spacing w:after="40"/>
            </w:pPr>
            <w:r>
              <w:rPr>
                <w:rFonts w:ascii="Aptos" w:hAnsi="Aptos"/>
                <w:sz w:val="16"/>
              </w:rPr>
              <w:t>kepler.gl ^3.3.0-alpha.0</w:t>
            </w:r>
          </w:p>
        </w:tc>
        <w:tc>
          <w:tcPr>
            <w:tcW w:type="dxa" w:w="2430"/>
            <w:vAlign w:val="center"/>
          </w:tcPr>
          <w:p>
            <w:pPr>
              <w:spacing w:after="40"/>
            </w:pPr>
            <w:r>
              <w:rPr>
                <w:rFonts w:ascii="Aptos" w:hAnsi="Aptos"/>
                <w:sz w:val="16"/>
              </w:rPr>
              <w:t>Exploratory geospatial view</w:t>
            </w:r>
          </w:p>
        </w:tc>
        <w:tc>
          <w:tcPr>
            <w:tcW w:type="dxa" w:w="2430"/>
            <w:vAlign w:val="center"/>
          </w:tcPr>
          <w:p>
            <w:pPr>
              <w:spacing w:after="40"/>
            </w:pPr>
            <w:r>
              <w:rPr>
                <w:rFonts w:ascii="Aptos" w:hAnsi="Aptos"/>
                <w:sz w:val="16"/>
              </w:rPr>
              <w:t>Supports exploratory layer inspection and map-based analysis where enabled by the application.</w:t>
            </w:r>
          </w:p>
        </w:tc>
        <w:tc>
          <w:tcPr>
            <w:tcW w:type="dxa" w:w="2430"/>
            <w:vAlign w:val="center"/>
          </w:tcPr>
          <w:p>
            <w:pPr>
              <w:spacing w:after="40"/>
            </w:pPr>
            <w:r>
              <w:rPr>
                <w:rFonts w:ascii="Aptos" w:hAnsi="Aptos"/>
                <w:sz w:val="16"/>
              </w:rPr>
              <w:t>web-app/seka_kama/package.json</w:t>
            </w:r>
          </w:p>
        </w:tc>
      </w:tr>
      <w:tr>
        <w:tc>
          <w:tcPr>
            <w:tcW w:type="dxa" w:w="2430"/>
            <w:vAlign w:val="center"/>
          </w:tcPr>
          <w:p>
            <w:pPr>
              <w:spacing w:after="40"/>
            </w:pPr>
            <w:r>
              <w:rPr>
                <w:rFonts w:ascii="Aptos" w:hAnsi="Aptos"/>
                <w:sz w:val="16"/>
              </w:rPr>
              <w:t>recharts ^2.15.3</w:t>
            </w:r>
          </w:p>
        </w:tc>
        <w:tc>
          <w:tcPr>
            <w:tcW w:type="dxa" w:w="2430"/>
            <w:vAlign w:val="center"/>
          </w:tcPr>
          <w:p>
            <w:pPr>
              <w:spacing w:after="40"/>
            </w:pPr>
            <w:r>
              <w:rPr>
                <w:rFonts w:ascii="Aptos" w:hAnsi="Aptos"/>
                <w:sz w:val="16"/>
              </w:rPr>
              <w:t>Chart components</w:t>
            </w:r>
          </w:p>
        </w:tc>
        <w:tc>
          <w:tcPr>
            <w:tcW w:type="dxa" w:w="2430"/>
            <w:vAlign w:val="center"/>
          </w:tcPr>
          <w:p>
            <w:pPr>
              <w:spacing w:after="40"/>
            </w:pPr>
            <w:r>
              <w:rPr>
                <w:rFonts w:ascii="Aptos" w:hAnsi="Aptos"/>
                <w:sz w:val="16"/>
              </w:rPr>
              <w:t>Renders time-series, comparison and summary charts alongside the map.</w:t>
            </w:r>
          </w:p>
        </w:tc>
        <w:tc>
          <w:tcPr>
            <w:tcW w:type="dxa" w:w="2430"/>
            <w:vAlign w:val="center"/>
          </w:tcPr>
          <w:p>
            <w:pPr>
              <w:spacing w:after="40"/>
            </w:pPr>
            <w:r>
              <w:rPr>
                <w:rFonts w:ascii="Aptos" w:hAnsi="Aptos"/>
                <w:sz w:val="16"/>
              </w:rPr>
              <w:t>web-app/seka_kama/package.json; TrendChart.tsx</w:t>
            </w:r>
          </w:p>
        </w:tc>
      </w:tr>
      <w:tr>
        <w:tc>
          <w:tcPr>
            <w:tcW w:type="dxa" w:w="2430"/>
            <w:vAlign w:val="center"/>
          </w:tcPr>
          <w:p>
            <w:pPr>
              <w:spacing w:after="40"/>
            </w:pPr>
            <w:r>
              <w:rPr>
                <w:rFonts w:ascii="Aptos" w:hAnsi="Aptos"/>
                <w:sz w:val="16"/>
              </w:rPr>
              <w:t>lucide-react ^0.473.0</w:t>
            </w:r>
          </w:p>
        </w:tc>
        <w:tc>
          <w:tcPr>
            <w:tcW w:type="dxa" w:w="2430"/>
            <w:vAlign w:val="center"/>
          </w:tcPr>
          <w:p>
            <w:pPr>
              <w:spacing w:after="40"/>
            </w:pPr>
            <w:r>
              <w:rPr>
                <w:rFonts w:ascii="Aptos" w:hAnsi="Aptos"/>
                <w:sz w:val="16"/>
              </w:rPr>
              <w:t>Interface icons</w:t>
            </w:r>
          </w:p>
        </w:tc>
        <w:tc>
          <w:tcPr>
            <w:tcW w:type="dxa" w:w="2430"/>
            <w:vAlign w:val="center"/>
          </w:tcPr>
          <w:p>
            <w:pPr>
              <w:spacing w:after="40"/>
            </w:pPr>
            <w:r>
              <w:rPr>
                <w:rFonts w:ascii="Aptos" w:hAnsi="Aptos"/>
                <w:sz w:val="16"/>
              </w:rPr>
              <w:t>Provides consistent icons for controls and navigation; it is not a spatial analysis library.</w:t>
            </w:r>
          </w:p>
        </w:tc>
        <w:tc>
          <w:tcPr>
            <w:tcW w:type="dxa" w:w="2430"/>
            <w:vAlign w:val="center"/>
          </w:tcPr>
          <w:p>
            <w:pPr>
              <w:spacing w:after="40"/>
            </w:pPr>
            <w:r>
              <w:rPr>
                <w:rFonts w:ascii="Aptos" w:hAnsi="Aptos"/>
                <w:sz w:val="16"/>
              </w:rPr>
              <w:t>web-app/seka_kama/package.json</w:t>
            </w:r>
          </w:p>
        </w:tc>
      </w:tr>
    </w:tbl>
    <w:p>
      <w:pPr/>
      <w:r>
        <w:t>The map-to-model contract is explicit. The draw control produces GeoJSON; the client sends the geometry to the FastAPI scenario route; the backend converts it to a spatial query, identifies intersecting grid cells and returns result GeoJSON for rendering by MapLibre GL JS and Deck.gl. Baseline, predicted and scenario layers must be styled separately so a reader can distinguish observed or stored values from model output. The implementation must also expose the source date, model version, feature units and missing-data state in the layer metadata or result panel.</w:t>
      </w:r>
    </w:p>
    <w:p>
      <w:pPr>
        <w:pStyle w:val="Heading2"/>
      </w:pPr>
      <w:r>
        <w:t>4.7 Exact model feature inventory</w:t>
      </w:r>
    </w:p>
    <w:p>
      <w:pPr/>
      <w:r>
        <w:t>The prediction service loads 43 feature names from backend/models/feature_names.pkl. These names are the authoritative input order for the scaler and XGBoost model. The repository does not provide a complete scientific definition or unit for every feature; therefore the dictionary below records the name and family and marks the unit as requiring confirmation where the source schema does not define it. This prevents a software label from being presented as an ecological measurement without evidence.</w:t>
      </w:r>
    </w:p>
    <w:p>
      <w:pPr>
        <w:pStyle w:val="Caption"/>
      </w:pPr>
      <w:r>
        <w:t>Table 4.8 Authoritative model feature inventory</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Index</w:t>
            </w:r>
          </w:p>
        </w:tc>
        <w:tc>
          <w:tcPr>
            <w:tcW w:type="dxa" w:w="2430"/>
            <w:vAlign w:val="center"/>
            <w:shd w:fill="5B6573"/>
          </w:tcPr>
          <w:p>
            <w:pPr>
              <w:spacing w:after="40"/>
            </w:pPr>
            <w:r>
              <w:rPr>
                <w:rFonts w:ascii="Aptos" w:hAnsi="Aptos"/>
                <w:b/>
                <w:color w:val="FFFFFF"/>
                <w:sz w:val="16"/>
              </w:rPr>
              <w:t>Feature name</w:t>
            </w:r>
          </w:p>
        </w:tc>
        <w:tc>
          <w:tcPr>
            <w:tcW w:type="dxa" w:w="2430"/>
            <w:vAlign w:val="center"/>
            <w:shd w:fill="5B6573"/>
          </w:tcPr>
          <w:p>
            <w:pPr>
              <w:spacing w:after="40"/>
            </w:pPr>
            <w:r>
              <w:rPr>
                <w:rFonts w:ascii="Aptos" w:hAnsi="Aptos"/>
                <w:b/>
                <w:color w:val="FFFFFF"/>
                <w:sz w:val="16"/>
              </w:rPr>
              <w:t>Feature family</w:t>
            </w:r>
          </w:p>
        </w:tc>
        <w:tc>
          <w:tcPr>
            <w:tcW w:type="dxa" w:w="2430"/>
            <w:vAlign w:val="center"/>
            <w:shd w:fill="5B6573"/>
          </w:tcPr>
          <w:p>
            <w:pPr>
              <w:spacing w:after="40"/>
            </w:pPr>
            <w:r>
              <w:rPr>
                <w:rFonts w:ascii="Aptos" w:hAnsi="Aptos"/>
                <w:b/>
                <w:color w:val="FFFFFF"/>
                <w:sz w:val="16"/>
              </w:rPr>
              <w:t>Unit / definition status</w:t>
            </w:r>
          </w:p>
        </w:tc>
      </w:tr>
      <w:tr>
        <w:tc>
          <w:tcPr>
            <w:tcW w:type="dxa" w:w="2430"/>
            <w:vAlign w:val="center"/>
          </w:tcPr>
          <w:p>
            <w:pPr>
              <w:spacing w:after="40"/>
            </w:pPr>
            <w:r>
              <w:rPr>
                <w:rFonts w:ascii="Aptos" w:hAnsi="Aptos"/>
                <w:sz w:val="16"/>
              </w:rPr>
              <w:t>1</w:t>
            </w:r>
          </w:p>
        </w:tc>
        <w:tc>
          <w:tcPr>
            <w:tcW w:type="dxa" w:w="2430"/>
            <w:vAlign w:val="center"/>
          </w:tcPr>
          <w:p>
            <w:pPr>
              <w:spacing w:after="40"/>
            </w:pPr>
            <w:r>
              <w:rPr>
                <w:rFonts w:ascii="Aptos" w:hAnsi="Aptos"/>
                <w:sz w:val="16"/>
              </w:rPr>
              <w:t>longterm_slope_mean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w:t>
            </w:r>
          </w:p>
        </w:tc>
        <w:tc>
          <w:tcPr>
            <w:tcW w:type="dxa" w:w="2430"/>
            <w:vAlign w:val="center"/>
          </w:tcPr>
          <w:p>
            <w:pPr>
              <w:spacing w:after="40"/>
            </w:pPr>
            <w:r>
              <w:rPr>
                <w:rFonts w:ascii="Aptos" w:hAnsi="Aptos"/>
                <w:sz w:val="16"/>
              </w:rPr>
              <w:t>longterm_slope_std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w:t>
            </w:r>
          </w:p>
        </w:tc>
        <w:tc>
          <w:tcPr>
            <w:tcW w:type="dxa" w:w="2430"/>
            <w:vAlign w:val="center"/>
          </w:tcPr>
          <w:p>
            <w:pPr>
              <w:spacing w:after="40"/>
            </w:pPr>
            <w:r>
              <w:rPr>
                <w:rFonts w:ascii="Aptos" w:hAnsi="Aptos"/>
                <w:sz w:val="16"/>
              </w:rPr>
              <w:t>all_skew_mean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w:t>
            </w:r>
          </w:p>
        </w:tc>
        <w:tc>
          <w:tcPr>
            <w:tcW w:type="dxa" w:w="2430"/>
            <w:vAlign w:val="center"/>
          </w:tcPr>
          <w:p>
            <w:pPr>
              <w:spacing w:after="40"/>
            </w:pPr>
            <w:r>
              <w:rPr>
                <w:rFonts w:ascii="Aptos" w:hAnsi="Aptos"/>
                <w:sz w:val="16"/>
              </w:rPr>
              <w:t>all_skew_std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5</w:t>
            </w:r>
          </w:p>
        </w:tc>
        <w:tc>
          <w:tcPr>
            <w:tcW w:type="dxa" w:w="2430"/>
            <w:vAlign w:val="center"/>
          </w:tcPr>
          <w:p>
            <w:pPr>
              <w:spacing w:after="40"/>
            </w:pPr>
            <w:r>
              <w:rPr>
                <w:rFonts w:ascii="Aptos" w:hAnsi="Aptos"/>
                <w:sz w:val="16"/>
              </w:rPr>
              <w:t>all_mean_mean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6</w:t>
            </w:r>
          </w:p>
        </w:tc>
        <w:tc>
          <w:tcPr>
            <w:tcW w:type="dxa" w:w="2430"/>
            <w:vAlign w:val="center"/>
          </w:tcPr>
          <w:p>
            <w:pPr>
              <w:spacing w:after="40"/>
            </w:pPr>
            <w:r>
              <w:rPr>
                <w:rFonts w:ascii="Aptos" w:hAnsi="Aptos"/>
                <w:sz w:val="16"/>
              </w:rPr>
              <w:t>all_mean_std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7</w:t>
            </w:r>
          </w:p>
        </w:tc>
        <w:tc>
          <w:tcPr>
            <w:tcW w:type="dxa" w:w="2430"/>
            <w:vAlign w:val="center"/>
          </w:tcPr>
          <w:p>
            <w:pPr>
              <w:spacing w:after="40"/>
            </w:pPr>
            <w:r>
              <w:rPr>
                <w:rFonts w:ascii="Aptos" w:hAnsi="Aptos"/>
                <w:sz w:val="16"/>
              </w:rPr>
              <w:t>all_kurtosis_mean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8</w:t>
            </w:r>
          </w:p>
        </w:tc>
        <w:tc>
          <w:tcPr>
            <w:tcW w:type="dxa" w:w="2430"/>
            <w:vAlign w:val="center"/>
          </w:tcPr>
          <w:p>
            <w:pPr>
              <w:spacing w:after="40"/>
            </w:pPr>
            <w:r>
              <w:rPr>
                <w:rFonts w:ascii="Aptos" w:hAnsi="Aptos"/>
                <w:sz w:val="16"/>
              </w:rPr>
              <w:t>all_kurtosis_std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9</w:t>
            </w:r>
          </w:p>
        </w:tc>
        <w:tc>
          <w:tcPr>
            <w:tcW w:type="dxa" w:w="2430"/>
            <w:vAlign w:val="center"/>
          </w:tcPr>
          <w:p>
            <w:pPr>
              <w:spacing w:after="40"/>
            </w:pPr>
            <w:r>
              <w:rPr>
                <w:rFonts w:ascii="Aptos" w:hAnsi="Aptos"/>
                <w:sz w:val="16"/>
              </w:rPr>
              <w:t>all_median_mean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10</w:t>
            </w:r>
          </w:p>
        </w:tc>
        <w:tc>
          <w:tcPr>
            <w:tcW w:type="dxa" w:w="2430"/>
            <w:vAlign w:val="center"/>
          </w:tcPr>
          <w:p>
            <w:pPr>
              <w:spacing w:after="40"/>
            </w:pPr>
            <w:r>
              <w:rPr>
                <w:rFonts w:ascii="Aptos" w:hAnsi="Aptos"/>
                <w:sz w:val="16"/>
              </w:rPr>
              <w:t>all_median_std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11</w:t>
            </w:r>
          </w:p>
        </w:tc>
        <w:tc>
          <w:tcPr>
            <w:tcW w:type="dxa" w:w="2430"/>
            <w:vAlign w:val="center"/>
          </w:tcPr>
          <w:p>
            <w:pPr>
              <w:spacing w:after="40"/>
            </w:pPr>
            <w:r>
              <w:rPr>
                <w:rFonts w:ascii="Aptos" w:hAnsi="Aptos"/>
                <w:sz w:val="16"/>
              </w:rPr>
              <w:t>all_variance_mean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12</w:t>
            </w:r>
          </w:p>
        </w:tc>
        <w:tc>
          <w:tcPr>
            <w:tcW w:type="dxa" w:w="2430"/>
            <w:vAlign w:val="center"/>
          </w:tcPr>
          <w:p>
            <w:pPr>
              <w:spacing w:after="40"/>
            </w:pPr>
            <w:r>
              <w:rPr>
                <w:rFonts w:ascii="Aptos" w:hAnsi="Aptos"/>
                <w:sz w:val="16"/>
              </w:rPr>
              <w:t>all_variance_std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13</w:t>
            </w:r>
          </w:p>
        </w:tc>
        <w:tc>
          <w:tcPr>
            <w:tcW w:type="dxa" w:w="2430"/>
            <w:vAlign w:val="center"/>
          </w:tcPr>
          <w:p>
            <w:pPr>
              <w:spacing w:after="40"/>
            </w:pPr>
            <w:r>
              <w:rPr>
                <w:rFonts w:ascii="Aptos" w:hAnsi="Aptos"/>
                <w:sz w:val="16"/>
              </w:rPr>
              <w:t>licorr_slope_mean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14</w:t>
            </w:r>
          </w:p>
        </w:tc>
        <w:tc>
          <w:tcPr>
            <w:tcW w:type="dxa" w:w="2430"/>
            <w:vAlign w:val="center"/>
          </w:tcPr>
          <w:p>
            <w:pPr>
              <w:spacing w:after="40"/>
            </w:pPr>
            <w:r>
              <w:rPr>
                <w:rFonts w:ascii="Aptos" w:hAnsi="Aptos"/>
                <w:sz w:val="16"/>
              </w:rPr>
              <w:t>licorr_slope_std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15</w:t>
            </w:r>
          </w:p>
        </w:tc>
        <w:tc>
          <w:tcPr>
            <w:tcW w:type="dxa" w:w="2430"/>
            <w:vAlign w:val="center"/>
          </w:tcPr>
          <w:p>
            <w:pPr>
              <w:spacing w:after="40"/>
            </w:pPr>
            <w:r>
              <w:rPr>
                <w:rFonts w:ascii="Aptos" w:hAnsi="Aptos"/>
                <w:sz w:val="16"/>
              </w:rPr>
              <w:t>longterm_intercept_mean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16</w:t>
            </w:r>
          </w:p>
        </w:tc>
        <w:tc>
          <w:tcPr>
            <w:tcW w:type="dxa" w:w="2430"/>
            <w:vAlign w:val="center"/>
          </w:tcPr>
          <w:p>
            <w:pPr>
              <w:spacing w:after="40"/>
            </w:pPr>
            <w:r>
              <w:rPr>
                <w:rFonts w:ascii="Aptos" w:hAnsi="Aptos"/>
                <w:sz w:val="16"/>
              </w:rPr>
              <w:t>longterm_intercept_std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17</w:t>
            </w:r>
          </w:p>
        </w:tc>
        <w:tc>
          <w:tcPr>
            <w:tcW w:type="dxa" w:w="2430"/>
            <w:vAlign w:val="center"/>
          </w:tcPr>
          <w:p>
            <w:pPr>
              <w:spacing w:after="40"/>
            </w:pPr>
            <w:r>
              <w:rPr>
                <w:rFonts w:ascii="Aptos" w:hAnsi="Aptos"/>
                <w:sz w:val="16"/>
              </w:rPr>
              <w:t>longterm_r2_mean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18</w:t>
            </w:r>
          </w:p>
        </w:tc>
        <w:tc>
          <w:tcPr>
            <w:tcW w:type="dxa" w:w="2430"/>
            <w:vAlign w:val="center"/>
          </w:tcPr>
          <w:p>
            <w:pPr>
              <w:spacing w:after="40"/>
            </w:pPr>
            <w:r>
              <w:rPr>
                <w:rFonts w:ascii="Aptos" w:hAnsi="Aptos"/>
                <w:sz w:val="16"/>
              </w:rPr>
              <w:t>longterm_r2_std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19</w:t>
            </w:r>
          </w:p>
        </w:tc>
        <w:tc>
          <w:tcPr>
            <w:tcW w:type="dxa" w:w="2430"/>
            <w:vAlign w:val="center"/>
          </w:tcPr>
          <w:p>
            <w:pPr>
              <w:spacing w:after="40"/>
            </w:pPr>
            <w:r>
              <w:rPr>
                <w:rFonts w:ascii="Aptos" w:hAnsi="Aptos"/>
                <w:sz w:val="16"/>
              </w:rPr>
              <w:t>pop2018_mean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20</w:t>
            </w:r>
          </w:p>
        </w:tc>
        <w:tc>
          <w:tcPr>
            <w:tcW w:type="dxa" w:w="2430"/>
            <w:vAlign w:val="center"/>
          </w:tcPr>
          <w:p>
            <w:pPr>
              <w:spacing w:after="40"/>
            </w:pPr>
            <w:r>
              <w:rPr>
                <w:rFonts w:ascii="Aptos" w:hAnsi="Aptos"/>
                <w:sz w:val="16"/>
              </w:rPr>
              <w:t>pop2018_std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21</w:t>
            </w:r>
          </w:p>
        </w:tc>
        <w:tc>
          <w:tcPr>
            <w:tcW w:type="dxa" w:w="2430"/>
            <w:vAlign w:val="center"/>
          </w:tcPr>
          <w:p>
            <w:pPr>
              <w:spacing w:after="40"/>
            </w:pPr>
            <w:r>
              <w:rPr>
                <w:rFonts w:ascii="Aptos" w:hAnsi="Aptos"/>
                <w:sz w:val="16"/>
              </w:rPr>
              <w:t>primary_acf_mean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22</w:t>
            </w:r>
          </w:p>
        </w:tc>
        <w:tc>
          <w:tcPr>
            <w:tcW w:type="dxa" w:w="2430"/>
            <w:vAlign w:val="center"/>
          </w:tcPr>
          <w:p>
            <w:pPr>
              <w:spacing w:after="40"/>
            </w:pPr>
            <w:r>
              <w:rPr>
                <w:rFonts w:ascii="Aptos" w:hAnsi="Aptos"/>
                <w:sz w:val="16"/>
              </w:rPr>
              <w:t>primary_acf_std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23</w:t>
            </w:r>
          </w:p>
        </w:tc>
        <w:tc>
          <w:tcPr>
            <w:tcW w:type="dxa" w:w="2430"/>
            <w:vAlign w:val="center"/>
          </w:tcPr>
          <w:p>
            <w:pPr>
              <w:spacing w:after="40"/>
            </w:pPr>
            <w:r>
              <w:rPr>
                <w:rFonts w:ascii="Aptos" w:hAnsi="Aptos"/>
                <w:sz w:val="16"/>
              </w:rPr>
              <w:t>primary_prominence_mean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24</w:t>
            </w:r>
          </w:p>
        </w:tc>
        <w:tc>
          <w:tcPr>
            <w:tcW w:type="dxa" w:w="2430"/>
            <w:vAlign w:val="center"/>
          </w:tcPr>
          <w:p>
            <w:pPr>
              <w:spacing w:after="40"/>
            </w:pPr>
            <w:r>
              <w:rPr>
                <w:rFonts w:ascii="Aptos" w:hAnsi="Aptos"/>
                <w:sz w:val="16"/>
              </w:rPr>
              <w:t>primary_prominence_std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25</w:t>
            </w:r>
          </w:p>
        </w:tc>
        <w:tc>
          <w:tcPr>
            <w:tcW w:type="dxa" w:w="2430"/>
            <w:vAlign w:val="center"/>
          </w:tcPr>
          <w:p>
            <w:pPr>
              <w:spacing w:after="40"/>
            </w:pPr>
            <w:r>
              <w:rPr>
                <w:rFonts w:ascii="Aptos" w:hAnsi="Aptos"/>
                <w:sz w:val="16"/>
              </w:rPr>
              <w:t>secondary_acf_mean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26</w:t>
            </w:r>
          </w:p>
        </w:tc>
        <w:tc>
          <w:tcPr>
            <w:tcW w:type="dxa" w:w="2430"/>
            <w:vAlign w:val="center"/>
          </w:tcPr>
          <w:p>
            <w:pPr>
              <w:spacing w:after="40"/>
            </w:pPr>
            <w:r>
              <w:rPr>
                <w:rFonts w:ascii="Aptos" w:hAnsi="Aptos"/>
                <w:sz w:val="16"/>
              </w:rPr>
              <w:t>secondary_acf_std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27</w:t>
            </w:r>
          </w:p>
        </w:tc>
        <w:tc>
          <w:tcPr>
            <w:tcW w:type="dxa" w:w="2430"/>
            <w:vAlign w:val="center"/>
          </w:tcPr>
          <w:p>
            <w:pPr>
              <w:spacing w:after="40"/>
            </w:pPr>
            <w:r>
              <w:rPr>
                <w:rFonts w:ascii="Aptos" w:hAnsi="Aptos"/>
                <w:sz w:val="16"/>
              </w:rPr>
              <w:t>secondary_prominence_mean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28</w:t>
            </w:r>
          </w:p>
        </w:tc>
        <w:tc>
          <w:tcPr>
            <w:tcW w:type="dxa" w:w="2430"/>
            <w:vAlign w:val="center"/>
          </w:tcPr>
          <w:p>
            <w:pPr>
              <w:spacing w:after="40"/>
            </w:pPr>
            <w:r>
              <w:rPr>
                <w:rFonts w:ascii="Aptos" w:hAnsi="Aptos"/>
                <w:sz w:val="16"/>
              </w:rPr>
              <w:t>secondary_prominence_std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29</w:t>
            </w:r>
          </w:p>
        </w:tc>
        <w:tc>
          <w:tcPr>
            <w:tcW w:type="dxa" w:w="2430"/>
            <w:vAlign w:val="center"/>
          </w:tcPr>
          <w:p>
            <w:pPr>
              <w:spacing w:after="40"/>
            </w:pPr>
            <w:r>
              <w:rPr>
                <w:rFonts w:ascii="Aptos" w:hAnsi="Aptos"/>
                <w:sz w:val="16"/>
              </w:rPr>
              <w:t>ann_amp_mean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30</w:t>
            </w:r>
          </w:p>
        </w:tc>
        <w:tc>
          <w:tcPr>
            <w:tcW w:type="dxa" w:w="2430"/>
            <w:vAlign w:val="center"/>
          </w:tcPr>
          <w:p>
            <w:pPr>
              <w:spacing w:after="40"/>
            </w:pPr>
            <w:r>
              <w:rPr>
                <w:rFonts w:ascii="Aptos" w:hAnsi="Aptos"/>
                <w:sz w:val="16"/>
              </w:rPr>
              <w:t>ann_amp_std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31</w:t>
            </w:r>
          </w:p>
        </w:tc>
        <w:tc>
          <w:tcPr>
            <w:tcW w:type="dxa" w:w="2430"/>
            <w:vAlign w:val="center"/>
          </w:tcPr>
          <w:p>
            <w:pPr>
              <w:spacing w:after="40"/>
            </w:pPr>
            <w:r>
              <w:rPr>
                <w:rFonts w:ascii="Aptos" w:hAnsi="Aptos"/>
                <w:sz w:val="16"/>
              </w:rPr>
              <w:t>ann_cv_mean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32</w:t>
            </w:r>
          </w:p>
        </w:tc>
        <w:tc>
          <w:tcPr>
            <w:tcW w:type="dxa" w:w="2430"/>
            <w:vAlign w:val="center"/>
          </w:tcPr>
          <w:p>
            <w:pPr>
              <w:spacing w:after="40"/>
            </w:pPr>
            <w:r>
              <w:rPr>
                <w:rFonts w:ascii="Aptos" w:hAnsi="Aptos"/>
                <w:sz w:val="16"/>
              </w:rPr>
              <w:t>ann_cv_std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33</w:t>
            </w:r>
          </w:p>
        </w:tc>
        <w:tc>
          <w:tcPr>
            <w:tcW w:type="dxa" w:w="2430"/>
            <w:vAlign w:val="center"/>
          </w:tcPr>
          <w:p>
            <w:pPr>
              <w:spacing w:after="40"/>
            </w:pPr>
            <w:r>
              <w:rPr>
                <w:rFonts w:ascii="Aptos" w:hAnsi="Aptos"/>
                <w:sz w:val="16"/>
              </w:rPr>
              <w:t>ann_peak_month_mean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34</w:t>
            </w:r>
          </w:p>
        </w:tc>
        <w:tc>
          <w:tcPr>
            <w:tcW w:type="dxa" w:w="2430"/>
            <w:vAlign w:val="center"/>
          </w:tcPr>
          <w:p>
            <w:pPr>
              <w:spacing w:after="40"/>
            </w:pPr>
            <w:r>
              <w:rPr>
                <w:rFonts w:ascii="Aptos" w:hAnsi="Aptos"/>
                <w:sz w:val="16"/>
              </w:rPr>
              <w:t>ann_peak_month_std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35</w:t>
            </w:r>
          </w:p>
        </w:tc>
        <w:tc>
          <w:tcPr>
            <w:tcW w:type="dxa" w:w="2430"/>
            <w:vAlign w:val="center"/>
          </w:tcPr>
          <w:p>
            <w:pPr>
              <w:spacing w:after="40"/>
            </w:pPr>
            <w:r>
              <w:rPr>
                <w:rFonts w:ascii="Aptos" w:hAnsi="Aptos"/>
                <w:sz w:val="16"/>
              </w:rPr>
              <w:t>ann_trend_mean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36</w:t>
            </w:r>
          </w:p>
        </w:tc>
        <w:tc>
          <w:tcPr>
            <w:tcW w:type="dxa" w:w="2430"/>
            <w:vAlign w:val="center"/>
          </w:tcPr>
          <w:p>
            <w:pPr>
              <w:spacing w:after="40"/>
            </w:pPr>
            <w:r>
              <w:rPr>
                <w:rFonts w:ascii="Aptos" w:hAnsi="Aptos"/>
                <w:sz w:val="16"/>
              </w:rPr>
              <w:t>ann_trend_std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37</w:t>
            </w:r>
          </w:p>
        </w:tc>
        <w:tc>
          <w:tcPr>
            <w:tcW w:type="dxa" w:w="2430"/>
            <w:vAlign w:val="center"/>
          </w:tcPr>
          <w:p>
            <w:pPr>
              <w:spacing w:after="40"/>
            </w:pPr>
            <w:r>
              <w:rPr>
                <w:rFonts w:ascii="Aptos" w:hAnsi="Aptos"/>
                <w:sz w:val="16"/>
              </w:rPr>
              <w:t>ann_mean_mean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38</w:t>
            </w:r>
          </w:p>
        </w:tc>
        <w:tc>
          <w:tcPr>
            <w:tcW w:type="dxa" w:w="2430"/>
            <w:vAlign w:val="center"/>
          </w:tcPr>
          <w:p>
            <w:pPr>
              <w:spacing w:after="40"/>
            </w:pPr>
            <w:r>
              <w:rPr>
                <w:rFonts w:ascii="Aptos" w:hAnsi="Aptos"/>
                <w:sz w:val="16"/>
              </w:rPr>
              <w:t>ann_mean_std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39</w:t>
            </w:r>
          </w:p>
        </w:tc>
        <w:tc>
          <w:tcPr>
            <w:tcW w:type="dxa" w:w="2430"/>
            <w:vAlign w:val="center"/>
          </w:tcPr>
          <w:p>
            <w:pPr>
              <w:spacing w:after="40"/>
            </w:pPr>
            <w:r>
              <w:rPr>
                <w:rFonts w:ascii="Aptos" w:hAnsi="Aptos"/>
                <w:sz w:val="16"/>
              </w:rPr>
              <w:t>density_code</w:t>
            </w:r>
          </w:p>
        </w:tc>
        <w:tc>
          <w:tcPr>
            <w:tcW w:type="dxa" w:w="2430"/>
            <w:vAlign w:val="center"/>
          </w:tcPr>
          <w:p>
            <w:pPr>
              <w:spacing w:after="40"/>
            </w:pPr>
            <w:r>
              <w:rPr>
                <w:rFonts w:ascii="Aptos" w:hAnsi="Aptos"/>
                <w:sz w:val="16"/>
              </w:rPr>
              <w:t>Encoded density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40</w:t>
            </w:r>
          </w:p>
        </w:tc>
        <w:tc>
          <w:tcPr>
            <w:tcW w:type="dxa" w:w="2430"/>
            <w:vAlign w:val="center"/>
          </w:tcPr>
          <w:p>
            <w:pPr>
              <w:spacing w:after="40"/>
            </w:pPr>
            <w:r>
              <w:rPr>
                <w:rFonts w:ascii="Aptos" w:hAnsi="Aptos"/>
                <w:sz w:val="16"/>
              </w:rPr>
              <w:t>hist_lag1</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41</w:t>
            </w:r>
          </w:p>
        </w:tc>
        <w:tc>
          <w:tcPr>
            <w:tcW w:type="dxa" w:w="2430"/>
            <w:vAlign w:val="center"/>
          </w:tcPr>
          <w:p>
            <w:pPr>
              <w:spacing w:after="40"/>
            </w:pPr>
            <w:r>
              <w:rPr>
                <w:rFonts w:ascii="Aptos" w:hAnsi="Aptos"/>
                <w:sz w:val="16"/>
              </w:rPr>
              <w:t>hist_lag2</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42</w:t>
            </w:r>
          </w:p>
        </w:tc>
        <w:tc>
          <w:tcPr>
            <w:tcW w:type="dxa" w:w="2430"/>
            <w:vAlign w:val="center"/>
          </w:tcPr>
          <w:p>
            <w:pPr>
              <w:spacing w:after="40"/>
            </w:pPr>
            <w:r>
              <w:rPr>
                <w:rFonts w:ascii="Aptos" w:hAnsi="Aptos"/>
                <w:sz w:val="16"/>
              </w:rPr>
              <w:t>cheetah_abundance</w:t>
            </w:r>
          </w:p>
        </w:tc>
        <w:tc>
          <w:tcPr>
            <w:tcW w:type="dxa" w:w="2430"/>
            <w:vAlign w:val="center"/>
          </w:tcPr>
          <w:p>
            <w:pPr>
              <w:spacing w:after="40"/>
            </w:pPr>
            <w:r>
              <w:rPr>
                <w:rFonts w:ascii="Aptos" w:hAnsi="Aptos"/>
                <w:sz w:val="16"/>
              </w:rPr>
              <w:t>Ecological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43</w:t>
            </w:r>
          </w:p>
        </w:tc>
        <w:tc>
          <w:tcPr>
            <w:tcW w:type="dxa" w:w="2430"/>
            <w:vAlign w:val="center"/>
          </w:tcPr>
          <w:p>
            <w:pPr>
              <w:spacing w:after="40"/>
            </w:pPr>
            <w:r>
              <w:rPr>
                <w:rFonts w:ascii="Aptos" w:hAnsi="Aptos"/>
                <w:sz w:val="16"/>
              </w:rPr>
              <w:t>dist_to_protected_km</w:t>
            </w:r>
          </w:p>
        </w:tc>
        <w:tc>
          <w:tcPr>
            <w:tcW w:type="dxa" w:w="2430"/>
            <w:vAlign w:val="center"/>
          </w:tcPr>
          <w:p>
            <w:pPr>
              <w:spacing w:after="40"/>
            </w:pPr>
            <w:r>
              <w:rPr>
                <w:rFonts w:ascii="Aptos" w:hAnsi="Aptos"/>
                <w:sz w:val="16"/>
              </w:rPr>
              <w:t>Spatial distance feature</w:t>
            </w:r>
          </w:p>
        </w:tc>
        <w:tc>
          <w:tcPr>
            <w:tcW w:type="dxa" w:w="2430"/>
            <w:vAlign w:val="center"/>
          </w:tcPr>
          <w:p>
            <w:pPr>
              <w:spacing w:after="40"/>
            </w:pPr>
            <w:r>
              <w:rPr>
                <w:rFonts w:ascii="Aptos" w:hAnsi="Aptos"/>
                <w:sz w:val="16"/>
              </w:rPr>
              <w:t>km for distance</w:t>
            </w:r>
          </w:p>
        </w:tc>
      </w:tr>
    </w:tbl>
    <w:p>
      <w:pPr>
        <w:pStyle w:val="Heading2"/>
      </w:pPr>
      <w:r>
        <w:t>4.8 Methodological limits and unresolved definitions</w:t>
      </w:r>
    </w:p>
    <w:p>
      <w:pPr/>
      <w:r>
        <w:t>The production map provider is Mapbox. The application uses MapLibre GL JS as the client renderer with the approved Mapbox style, tiles and access configuration. Mapbox attribution, token handling and licensing conditions must be retained in the deployment configuration and user-facing map view.</w:t>
      </w:r>
    </w:p>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Submission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