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V9/V11 XAI Report</w:t>
      </w:r>
    </w:p>
    <w:p>
      <w:r>
        <w:t>This document collects the explainability plots already produced in the project and pairs them with the research-backed methods most appropriate for ECG models.</w:t>
      </w:r>
    </w:p>
    <w:p>
      <w:pPr>
        <w:pStyle w:val="Heading1"/>
      </w:pPr>
      <w:r>
        <w:t>Why These XAI Methods</w:t>
      </w:r>
    </w:p>
    <w:p>
      <w:r>
        <w:t>Integrated Gradients is well suited to raw ECG waveforms because it attributes the output along a path from a baseline to the input and satisfies attribution axioms.</w:t>
      </w:r>
    </w:p>
    <w:p>
      <w:r>
        <w:t>Grad-CAM is appropriate for convolutional branches because it highlights the final convolutional feature maps that drive the prediction.</w:t>
      </w:r>
    </w:p>
    <w:p>
      <w:r>
        <w:t>SHAP / WindowSHAP style explanations are appropriate for handcrafted RR and morphology features because they give additive feature contributions.</w:t>
      </w:r>
    </w:p>
    <w:p>
      <w:r>
        <w:t>Occlusion sensitivity is a useful sanity check because it measures how the prediction changes when a region is masked.</w:t>
      </w:r>
    </w:p>
    <w:p>
      <w:pPr>
        <w:pStyle w:val="Heading1"/>
      </w:pPr>
      <w:r>
        <w:t>What The Layers Mean</w:t>
      </w:r>
    </w:p>
    <w:p>
      <w:r>
        <w:t>Waveform-level explanations target the ECG beats themselves.</w:t>
      </w:r>
    </w:p>
    <w:p>
      <w:r>
        <w:t>Lead-level heatmaps show which ECG leads matter most.</w:t>
      </w:r>
    </w:p>
    <w:p>
      <w:r>
        <w:t>Feature-level explanations show which handcrafted descriptors and RR values carry the decision.</w:t>
      </w:r>
    </w:p>
    <w:p>
      <w:r>
        <w:t>Fusion-level plots show how the model combines experts.</w:t>
      </w:r>
    </w:p>
    <w:p>
      <w:pPr>
        <w:pStyle w:val="Heading1"/>
      </w:pPr>
      <w:r>
        <w:t>V11 Fusion-Level XAI Plots</w:t>
      </w:r>
    </w:p>
    <w:p>
      <w:r>
        <w:t>How often each fusion strategy was selected across folds.</w:t>
      </w:r>
    </w:p>
    <w:p>
      <w:r>
        <w:drawing>
          <wp:inline xmlns:a="http://schemas.openxmlformats.org/drawingml/2006/main" xmlns:pic="http://schemas.openxmlformats.org/drawingml/2006/picture">
            <wp:extent cx="5486400" cy="3483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1_xai_choice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Fold-wise improvement of V11 over the core V9 deep expert.</w:t>
      </w:r>
    </w:p>
    <w:p>
      <w:r>
        <w:drawing>
          <wp:inline xmlns:a="http://schemas.openxmlformats.org/drawingml/2006/main" xmlns:pic="http://schemas.openxmlformats.org/drawingml/2006/picture">
            <wp:extent cx="5486400" cy="3038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1_xai_delta_vs_v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Relative reliance on V8, V9, and XGBoost in folds where weighted-grid fusion won.</w:t>
      </w:r>
    </w:p>
    <w:p>
      <w:r>
        <w:drawing>
          <wp:inline xmlns:a="http://schemas.openxmlformats.org/drawingml/2006/main" xmlns:pic="http://schemas.openxmlformats.org/drawingml/2006/picture">
            <wp:extent cx="5486400" cy="3250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1_xai_weighted_expert_m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Method matrix CSV saved at: C:\Users\Admin\Desktop\Projects\8th Sem\Codex\reports\assets\v11_xai_method_matrix.csv</w:t>
      </w:r>
    </w:p>
    <w:p>
      <w:pPr>
        <w:pStyle w:val="Heading1"/>
      </w:pPr>
      <w:r>
        <w:t>Saved XAI Plots</w:t>
      </w:r>
    </w:p>
    <w:p>
      <w:r>
        <w:t>xai1_integrated_gradients_per_class.png</w:t>
      </w:r>
    </w:p>
    <w:p>
      <w:r>
        <w:drawing>
          <wp:inline xmlns:a="http://schemas.openxmlformats.org/drawingml/2006/main" xmlns:pic="http://schemas.openxmlformats.org/drawingml/2006/picture">
            <wp:extent cx="5760720" cy="1432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1_integrated_gradients_per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xai1_ig_lead_heatmap.png</w:t>
      </w:r>
    </w:p>
    <w:p>
      <w:r>
        <w:drawing>
          <wp:inline xmlns:a="http://schemas.openxmlformats.org/drawingml/2006/main" xmlns:pic="http://schemas.openxmlformats.org/drawingml/2006/picture">
            <wp:extent cx="5760720" cy="1588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1_ig_lead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xai2_gradcam_per_class.png</w:t>
      </w:r>
    </w:p>
    <w:p>
      <w:r>
        <w:drawing>
          <wp:inline xmlns:a="http://schemas.openxmlformats.org/drawingml/2006/main" xmlns:pic="http://schemas.openxmlformats.org/drawingml/2006/picture">
            <wp:extent cx="5760720" cy="1432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2_gradcam_per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2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xai2_gradcam_vs_ig_agreement.png</w:t>
      </w:r>
    </w:p>
    <w:p>
      <w:r>
        <w:drawing>
          <wp:inline xmlns:a="http://schemas.openxmlformats.org/drawingml/2006/main" xmlns:pic="http://schemas.openxmlformats.org/drawingml/2006/picture">
            <wp:extent cx="5760720" cy="14323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2_gradcam_vs_ig_agre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xai4_occlusion_sensitivity.png</w:t>
      </w:r>
    </w:p>
    <w:p>
      <w:r>
        <w:drawing>
          <wp:inline xmlns:a="http://schemas.openxmlformats.org/drawingml/2006/main" xmlns:pic="http://schemas.openxmlformats.org/drawingml/2006/picture">
            <wp:extent cx="5760720" cy="14329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4_occlusion_sensi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2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xai5_cross_attention_weights.png</w:t>
      </w:r>
    </w:p>
    <w:p>
      <w:r>
        <w:drawing>
          <wp:inline xmlns:a="http://schemas.openxmlformats.org/drawingml/2006/main" xmlns:pic="http://schemas.openxmlformats.org/drawingml/2006/picture">
            <wp:extent cx="5760720" cy="20483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5_cross_attention_weigh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shap_global_importance.png</w:t>
      </w:r>
    </w:p>
    <w:p>
      <w:r>
        <w:drawing>
          <wp:inline xmlns:a="http://schemas.openxmlformats.org/drawingml/2006/main" xmlns:pic="http://schemas.openxmlformats.org/drawingml/2006/picture">
            <wp:extent cx="5760720" cy="39840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shap_summary_normal_non-cardiac.png</w:t>
      </w:r>
    </w:p>
    <w:p>
      <w:r>
        <w:drawing>
          <wp:inline xmlns:a="http://schemas.openxmlformats.org/drawingml/2006/main" xmlns:pic="http://schemas.openxmlformats.org/drawingml/2006/picture">
            <wp:extent cx="5760720" cy="71037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normal_non-cardia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shap_summary_structural heart disease.png</w:t>
      </w:r>
    </w:p>
    <w:p>
      <w:r>
        <w:drawing>
          <wp:inline xmlns:a="http://schemas.openxmlformats.org/drawingml/2006/main" xmlns:pic="http://schemas.openxmlformats.org/drawingml/2006/picture">
            <wp:extent cx="5760720" cy="70481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structural heart disea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4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shap_summary_arrhythmia &amp; electrical.png</w:t>
      </w:r>
    </w:p>
    <w:p>
      <w:r>
        <w:drawing>
          <wp:inline xmlns:a="http://schemas.openxmlformats.org/drawingml/2006/main" xmlns:pic="http://schemas.openxmlformats.org/drawingml/2006/picture">
            <wp:extent cx="5760720" cy="71037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arrhythmia &amp; electric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How To Interpret The Figures</w:t>
      </w:r>
    </w:p>
    <w:p>
      <w:r>
        <w:t>Integrated Gradients: strong positive color around a beat segment means that segment pushes the prediction toward the class.</w:t>
      </w:r>
    </w:p>
    <w:p>
      <w:r>
        <w:t>Grad-CAM: hotter regions mean the final conv layer pays more attention there; this often corresponds to QRS or T-wave morphology.</w:t>
      </w:r>
    </w:p>
    <w:p>
      <w:r>
        <w:t>Occlusion: a large score drop after masking indicates the masked segment is important.</w:t>
      </w:r>
    </w:p>
    <w:p>
      <w:r>
        <w:t>SHAP: features with larger absolute values have stronger global importance; sign indicates direction of contribution.</w:t>
      </w:r>
    </w:p>
    <w:p>
      <w:r>
        <w:t>Cross-attention weights: higher weights indicate the rhythm branch is steering morphology interpretation more strongly.</w:t>
      </w:r>
    </w:p>
    <w:p>
      <w:pPr>
        <w:pStyle w:val="Heading1"/>
      </w:pPr>
      <w:r>
        <w:t>Recommended XAI Narrative</w:t>
      </w:r>
    </w:p>
    <w:p>
      <w:r>
        <w:t>For the paper, describe XAI at three levels: input waveform, clinical features, and fusion behavior. That matches how pediatric ECG clinicians reason in practice.</w:t>
      </w:r>
    </w:p>
    <w:p>
      <w:r>
        <w:t>If you want, the next step can be to regenerate these explanations for the new pretrained baseline once we finish its benchmark.</w:t>
      </w:r>
    </w:p>
    <w:p>
      <w:pPr>
        <w:pStyle w:val="Heading1"/>
      </w:pPr>
      <w:r>
        <w:t>References Used For Method Choice</w:t>
      </w:r>
    </w:p>
    <w:p>
      <w:r>
        <w:t>Sundararajan et al., Axiomatic Attribution for Deep Networks, Integrated Gradients.</w:t>
      </w:r>
    </w:p>
    <w:p>
      <w:r>
        <w:t>Selvaraju et al., Grad-CAM: Visual Explanations from Deep Networks via Gradient-based Localization.</w:t>
      </w:r>
    </w:p>
    <w:p>
      <w:r>
        <w:t>Nayebi et al., WindowSHAP: Shapley-based explanations for time-series classifiers.</w:t>
      </w:r>
    </w:p>
    <w:p>
      <w:r>
        <w:t>Evaluating gradient-based explanation methods for neural network ECG analysis using heatmaps.</w:t>
      </w:r>
    </w:p>
    <w:p>
      <w:r>
        <w:t>Explainable artificial intelligence in electrocardiography: A systematic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