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456"/>
      </w:tblGrid>
      <w:tr>
        <w:tc>
          <w:tcPr>
            <w:tcW w:type="dxa" w:w="4896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JAMIESON </w:t>
            </w:r>
            <w:r>
              <w:rPr>
                <w:rFonts w:ascii="Calibri" w:hAnsi="Calibri"/>
                <w:b/>
                <w:i w:val="0"/>
                <w:color w:val="0099E5"/>
                <w:sz w:val="36"/>
              </w:rPr>
              <w:t>AUTOMATION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Smart-home · Starlink · WiFi · Security</w:t>
            </w:r>
          </w:p>
        </w:tc>
        <w:tc>
          <w:tcPr>
            <w:tcW w:type="dxa" w:w="4896"/>
            <w:shd w:val="clear" w:color="auto" w:fill="002052"/>
            <w:tcMar>
              <w:top w:w="13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jamiesonautomation.com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(252) ___-____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36"/>
      </w:tblGrid>
      <w:tr>
        <w:tc>
          <w:tcPr>
            <w:tcW w:type="dxa" w:w="9792"/>
            <w:shd w:val="clear" w:color="auto" w:fill="0099E5"/>
            <w:tcMar>
              <w:top w:w="40" w:type="dxa"/>
              <w:bottom w:w="4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PROPERTY MANAGEMENT PORTFOLIO AGREEMENT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D2733"/>
          <w:sz w:val="20"/>
        </w:rPr>
        <w:t>This Property Management Portfolio Agreement (the “Agreement”) is entered into as of [date] by and between: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4968"/>
        <w:gridCol w:w="4968"/>
      </w:tblGrid>
      <w:tr>
        <w:tc>
          <w:tcPr>
            <w:tcW w:type="dxa" w:w="489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PROVIDER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Jamieson Automation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[address]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[email] · (252) ___-____</w:t>
            </w:r>
          </w:p>
        </w:tc>
        <w:tc>
          <w:tcPr>
            <w:tcW w:type="dxa" w:w="489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CLIENT (PROPERTY MANAGER)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[Company name]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[address]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[contact name] · [email] · [phone]</w:t>
            </w:r>
          </w:p>
        </w:tc>
      </w:tr>
    </w:tbl>
    <w:p>
      <w:pPr>
        <w:spacing w:after="80" w:before="80"/>
      </w:pPr>
      <w:r>
        <w:rPr>
          <w:rFonts w:ascii="Calibri" w:hAnsi="Calibri"/>
          <w:b w:val="0"/>
          <w:i/>
          <w:color w:val="5B6573"/>
          <w:sz w:val="18"/>
        </w:rPr>
        <w:t>Provider and Client may be referred to individually as a “Party” and together as the “Parties.”</w:t>
      </w:r>
    </w:p>
    <w:p>
      <w:pPr>
        <w:spacing w:before="16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1 · Purpose &amp; Committed Door Count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D2733"/>
          <w:sz w:val="20"/>
        </w:rPr>
        <w:t>Client engages Provider to install and support the Rental-Ready Tech package across multiple properties (each property installation, a “Door”). In exchange for committing a minimum number of Doors, Client receives the volume pricing set out in Section 2. The committed count is: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2160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Price / door (this tier)</w:t>
            </w:r>
          </w:p>
        </w:tc>
        <w:tc>
          <w:tcPr>
            <w:tcW w:type="dxa" w:w="1440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Qty</w:t>
            </w:r>
          </w:p>
        </w:tc>
        <w:tc>
          <w:tcPr>
            <w:tcW w:type="dxa" w:w="2448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value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Essentials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Plus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Pro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[$ per tier]</w:t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  <w:tr>
        <w:tc>
          <w:tcPr>
            <w:tcW w:type="dxa" w:w="388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Total committed Doors</w:t>
            </w:r>
          </w:p>
        </w:tc>
        <w:tc>
          <w:tcPr>
            <w:tcW w:type="dxa" w:w="216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</w:r>
          </w:p>
        </w:tc>
        <w:tc>
          <w:tcPr>
            <w:tcW w:type="dxa" w:w="1440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[__]</w:t>
            </w:r>
          </w:p>
        </w:tc>
        <w:tc>
          <w:tcPr>
            <w:tcW w:type="dxa" w:w="2448"/>
            <w:tcMar>
              <w:top w:w="48" w:type="dxa"/>
              <w:bottom w:w="48" w:type="dxa"/>
              <w:start w:w="90" w:type="dxa"/>
              <w:end w:w="90" w:type="dxa"/>
            </w:tcMar>
            <w:vAlign w:val="center"/>
            <w:shd w:val="clear" w:color="auto" w:fill="EAF4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 [______]</w:t>
            </w:r>
          </w:p>
        </w:tc>
      </w:tr>
    </w:tbl>
    <w:p>
      <w:pPr>
        <w:spacing w:after="80" w:before="60"/>
      </w:pPr>
      <w:r>
        <w:rPr>
          <w:rFonts w:ascii="Calibri" w:hAnsi="Calibri"/>
          <w:b w:val="0"/>
          <w:i/>
          <w:color w:val="5B6573"/>
          <w:sz w:val="18"/>
        </w:rPr>
        <w:t>The specific properties, packages, and per-Door scope are listed in the attached property schedule / individual proposals, which are incorporated into this Agreement by reference.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2 · Volume Pricing Tiers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D2733"/>
          <w:sz w:val="20"/>
        </w:rPr>
        <w:t>Per-Door pricing is set by the total committed Door count, applied to Provider’s standard installed per-Door price (hardware billed at cost plus markup, plus flat install labor):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3264"/>
        <w:gridCol w:w="3264"/>
        <w:gridCol w:w="3264"/>
      </w:tblGrid>
      <w:tr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Committed Doors</w:t>
            </w:r>
          </w:p>
        </w:tc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Volume discount (off per-Door)</w:t>
            </w:r>
          </w:p>
        </w:tc>
        <w:tc>
          <w:tcPr>
            <w:tcW w:type="dxa" w:w="3312"/>
            <w:shd w:val="clear" w:color="auto" w:fill="334E7B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Managed Plan / home / mo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1–2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List price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$75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3–5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5%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$75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6–10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8%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$65</w:t>
            </w:r>
          </w:p>
        </w:tc>
      </w:tr>
      <w:tr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D2733"/>
                <w:sz w:val="19"/>
              </w:rPr>
              <w:t>11+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12% off</w:t>
            </w:r>
          </w:p>
        </w:tc>
        <w:tc>
          <w:tcPr>
            <w:tcW w:type="dxa" w:w="3312"/>
            <w:tcMar>
              <w:top w:w="46" w:type="dxa"/>
              <w:bottom w:w="46" w:type="dxa"/>
              <w:start w:w="90" w:type="dxa"/>
              <w:end w:w="90" w:type="dxa"/>
            </w:tcMar>
            <w:vAlign w:val="center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D2733"/>
                <w:sz w:val="19"/>
              </w:rPr>
              <w:t>$55</w:t>
            </w:r>
          </w:p>
        </w:tc>
      </w:tr>
    </w:tbl>
    <w:p>
      <w:pPr>
        <w:spacing w:after="80" w:before="60"/>
      </w:pPr>
      <w:r>
        <w:rPr>
          <w:rFonts w:ascii="Calibri" w:hAnsi="Calibri"/>
          <w:b w:val="0"/>
          <w:i/>
          <w:color w:val="5B6573"/>
          <w:sz w:val="18"/>
        </w:rPr>
        <w:t>The discount tier is locked to the committed Door count in Section 1 and applies to all Doors installed under this Agreement during the Term. Hardware remains billed at cost plus markup as an itemized line on each proposal; the volume discount reflects the efficiency of installing the committed portfolio.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2.1.  </w:t>
      </w:r>
      <w:r>
        <w:rPr>
          <w:rFonts w:ascii="Calibri" w:hAnsi="Calibri"/>
          <w:b/>
          <w:i w:val="0"/>
          <w:color w:val="002052"/>
          <w:sz w:val="20"/>
        </w:rPr>
        <w:t xml:space="preserve">Shortfall adjustment.  </w:t>
      </w:r>
      <w:r>
        <w:rPr>
          <w:rFonts w:ascii="Calibri" w:hAnsi="Calibri"/>
          <w:b w:val="0"/>
          <w:i w:val="0"/>
          <w:color w:val="1D2733"/>
          <w:sz w:val="20"/>
        </w:rPr>
        <w:t>If Client installs fewer Doors than the committed count in Section 1 during the Term, Provider may re-price the installed Doors at the tier corresponding to the actual count, and invoice the difference. [Confirm mechanism with attorney.]</w:t>
      </w:r>
    </w:p>
    <w:p>
      <w:pPr>
        <w:spacing w:before="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3 · Scope, Orders &amp; Scheduling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3.1.  </w:t>
      </w:r>
      <w:r>
        <w:rPr>
          <w:rFonts w:ascii="Calibri" w:hAnsi="Calibri"/>
          <w:b/>
          <w:i w:val="0"/>
          <w:color w:val="002052"/>
          <w:sz w:val="20"/>
        </w:rPr>
        <w:t xml:space="preserve">Per-Door orders.  </w:t>
      </w:r>
      <w:r>
        <w:rPr>
          <w:rFonts w:ascii="Calibri" w:hAnsi="Calibri"/>
          <w:b w:val="0"/>
          <w:i w:val="0"/>
          <w:color w:val="1D2733"/>
          <w:sz w:val="20"/>
        </w:rPr>
        <w:t>Each Door is documented on an individual proposal/order specifying property, package, scope, and price, signed or authorized by Client. Each order is governed by this Agreement.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3.2.  </w:t>
      </w:r>
      <w:r>
        <w:rPr>
          <w:rFonts w:ascii="Calibri" w:hAnsi="Calibri"/>
          <w:b/>
          <w:i w:val="0"/>
          <w:color w:val="002052"/>
          <w:sz w:val="20"/>
        </w:rPr>
        <w:t xml:space="preserve">Scheduling.  </w:t>
      </w:r>
      <w:r>
        <w:rPr>
          <w:rFonts w:ascii="Calibri" w:hAnsi="Calibri"/>
          <w:b w:val="0"/>
          <w:i w:val="0"/>
          <w:color w:val="1D2733"/>
          <w:sz w:val="20"/>
        </w:rPr>
        <w:t>Installs are scheduled in batches by mutual agreement. Portfolio clients under this Agreement receive priority scheduling over non-portfolio work, subject to hardware availability and property access.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3.3.  </w:t>
      </w:r>
      <w:r>
        <w:rPr>
          <w:rFonts w:ascii="Calibri" w:hAnsi="Calibri"/>
          <w:b/>
          <w:i w:val="0"/>
          <w:color w:val="002052"/>
          <w:sz w:val="20"/>
        </w:rPr>
        <w:t xml:space="preserve">Client responsibilities.  </w:t>
      </w:r>
      <w:r>
        <w:rPr>
          <w:rFonts w:ascii="Calibri" w:hAnsi="Calibri"/>
          <w:b w:val="0"/>
          <w:i w:val="0"/>
          <w:color w:val="1D2733"/>
          <w:sz w:val="20"/>
        </w:rPr>
        <w:t>Client (or the property owner) provides timely property access, working power, and—where Starlink is included—an active Starlink account, as detailed in each order and the pre-install checklist.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4 · Pricing, Deposits &amp; Payment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4.1.  </w:t>
      </w:r>
      <w:r>
        <w:rPr>
          <w:rFonts w:ascii="Calibri" w:hAnsi="Calibri"/>
          <w:b/>
          <w:i w:val="0"/>
          <w:color w:val="002052"/>
          <w:sz w:val="20"/>
        </w:rPr>
        <w:t xml:space="preserve">Deposit.  </w:t>
      </w:r>
      <w:r>
        <w:rPr>
          <w:rFonts w:ascii="Calibri" w:hAnsi="Calibri"/>
          <w:b w:val="0"/>
          <w:i w:val="0"/>
          <w:color w:val="1D2733"/>
          <w:sz w:val="20"/>
        </w:rPr>
        <w:t>A deposit of [50]% of each order is due upon authorization to schedule and order hardware; the balance is due upon completion of that Door.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4.2.  </w:t>
      </w:r>
      <w:r>
        <w:rPr>
          <w:rFonts w:ascii="Calibri" w:hAnsi="Calibri"/>
          <w:b/>
          <w:i w:val="0"/>
          <w:color w:val="002052"/>
          <w:sz w:val="20"/>
        </w:rPr>
        <w:t xml:space="preserve">Hardware pricing.  </w:t>
      </w:r>
      <w:r>
        <w:rPr>
          <w:rFonts w:ascii="Calibri" w:hAnsi="Calibri"/>
          <w:b w:val="0"/>
          <w:i w:val="0"/>
          <w:color w:val="1D2733"/>
          <w:sz w:val="20"/>
        </w:rPr>
        <w:t>Hardware is billed at cost plus markup as an itemized line. Prices reflect supplier costs at the time of order and may adjust with documented supplier changes.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4.3.  </w:t>
      </w:r>
      <w:r>
        <w:rPr>
          <w:rFonts w:ascii="Calibri" w:hAnsi="Calibri"/>
          <w:b/>
          <w:i w:val="0"/>
          <w:color w:val="002052"/>
          <w:sz w:val="20"/>
        </w:rPr>
        <w:t xml:space="preserve">Payment terms.  </w:t>
      </w:r>
      <w:r>
        <w:rPr>
          <w:rFonts w:ascii="Calibri" w:hAnsi="Calibri"/>
          <w:b w:val="0"/>
          <w:i w:val="0"/>
          <w:color w:val="1D2733"/>
          <w:sz w:val="20"/>
        </w:rPr>
        <w:t>Invoices are due [net 15] from completion of each Door. Late balances may accrue [__]% interest per month. [Confirm rate/legality with attorney.]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4.4.  </w:t>
      </w:r>
      <w:r>
        <w:rPr>
          <w:rFonts w:ascii="Calibri" w:hAnsi="Calibri"/>
          <w:b/>
          <w:i w:val="0"/>
          <w:color w:val="002052"/>
          <w:sz w:val="20"/>
        </w:rPr>
        <w:t xml:space="preserve">Taxes.  </w:t>
      </w:r>
      <w:r>
        <w:rPr>
          <w:rFonts w:ascii="Calibri" w:hAnsi="Calibri"/>
          <w:b w:val="0"/>
          <w:i w:val="0"/>
          <w:color w:val="1D2733"/>
          <w:sz w:val="20"/>
        </w:rPr>
        <w:t>Prices exclude applicable sales and use taxes, which are the Client’s responsibility unless an exemption certificate is provided.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5 · Managed Plan &amp; Recurring Services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5.1.  </w:t>
      </w:r>
      <w:r>
        <w:rPr>
          <w:rFonts w:ascii="Calibri" w:hAnsi="Calibri"/>
          <w:b/>
          <w:i w:val="0"/>
          <w:color w:val="002052"/>
          <w:sz w:val="20"/>
        </w:rPr>
        <w:t xml:space="preserve">Managed Plan.  </w:t>
      </w:r>
      <w:r>
        <w:rPr>
          <w:rFonts w:ascii="Calibri" w:hAnsi="Calibri"/>
          <w:b w:val="0"/>
          <w:i w:val="0"/>
          <w:color w:val="1D2733"/>
          <w:sz w:val="20"/>
        </w:rPr>
        <w:t>Doors enrolled in the Managed Plan receive remote monitoring, firmware updates, guest-code management, priority support, and seasonal checks at the per-home monthly rate in Section 2, billed monthly. The Plan is month-to-month and may be cancelled by either Party on [30] days’ notice.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5.2.  </w:t>
      </w:r>
      <w:r>
        <w:rPr>
          <w:rFonts w:ascii="Calibri" w:hAnsi="Calibri"/>
          <w:b/>
          <w:i w:val="0"/>
          <w:color w:val="002052"/>
          <w:sz w:val="20"/>
        </w:rPr>
        <w:t xml:space="preserve">Starlink service.  </w:t>
      </w:r>
      <w:r>
        <w:rPr>
          <w:rFonts w:ascii="Calibri" w:hAnsi="Calibri"/>
          <w:b w:val="0"/>
          <w:i w:val="0"/>
          <w:color w:val="1D2733"/>
          <w:sz w:val="20"/>
        </w:rPr>
        <w:t>Provider installs Starlink hardware; the monthly Starlink subscription is contracted and paid by the property owner directly with Starlink and is not part of Provider’s fees.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6 · Warranty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6.1.  </w:t>
      </w:r>
      <w:r>
        <w:rPr>
          <w:rFonts w:ascii="Calibri" w:hAnsi="Calibri"/>
          <w:b/>
          <w:i w:val="0"/>
          <w:color w:val="002052"/>
          <w:sz w:val="20"/>
        </w:rPr>
        <w:t xml:space="preserve">Workmanship.  </w:t>
      </w:r>
      <w:r>
        <w:rPr>
          <w:rFonts w:ascii="Calibri" w:hAnsi="Calibri"/>
          <w:b w:val="0"/>
          <w:i w:val="0"/>
          <w:color w:val="1D2733"/>
          <w:sz w:val="20"/>
        </w:rPr>
        <w:t>Provider warrants its installation workmanship for ninety (90) days from completion of each Door. Manufacturer warranties on hardware pass through to Client/owner. The Managed Plan extends support coverage while active.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6.2.  </w:t>
      </w:r>
      <w:r>
        <w:rPr>
          <w:rFonts w:ascii="Calibri" w:hAnsi="Calibri"/>
          <w:b/>
          <w:i w:val="0"/>
          <w:color w:val="002052"/>
          <w:sz w:val="20"/>
        </w:rPr>
        <w:t xml:space="preserve">Exclusions.  </w:t>
      </w:r>
      <w:r>
        <w:rPr>
          <w:rFonts w:ascii="Calibri" w:hAnsi="Calibri"/>
          <w:b w:val="0"/>
          <w:i w:val="0"/>
          <w:color w:val="1D2733"/>
          <w:sz w:val="20"/>
        </w:rPr>
        <w:t>Warranty excludes damage from misuse, tampering, power events, acts of nature, third-party changes, or loss of internet/Starlink service outside Provider’s control. [Attorney to finalize.]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7 · Term, Privacy &amp; General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7.1.  </w:t>
      </w:r>
      <w:r>
        <w:rPr>
          <w:rFonts w:ascii="Calibri" w:hAnsi="Calibri"/>
          <w:b/>
          <w:i w:val="0"/>
          <w:color w:val="002052"/>
          <w:sz w:val="20"/>
        </w:rPr>
        <w:t xml:space="preserve">Term.  </w:t>
      </w:r>
      <w:r>
        <w:rPr>
          <w:rFonts w:ascii="Calibri" w:hAnsi="Calibri"/>
          <w:b w:val="0"/>
          <w:i w:val="0"/>
          <w:color w:val="1D2733"/>
          <w:sz w:val="20"/>
        </w:rPr>
        <w:t>This Agreement begins on the effective date and continues for [12] months, renewing for successive [12]-month terms unless either Party gives [30] days’ written notice. Completed installs and active Managed Plans survive non-renewal per their own terms.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7.2.  </w:t>
      </w:r>
      <w:r>
        <w:rPr>
          <w:rFonts w:ascii="Calibri" w:hAnsi="Calibri"/>
          <w:b/>
          <w:i w:val="0"/>
          <w:color w:val="002052"/>
          <w:sz w:val="20"/>
        </w:rPr>
        <w:t xml:space="preserve">Camera privacy.  </w:t>
      </w:r>
      <w:r>
        <w:rPr>
          <w:rFonts w:ascii="Calibri" w:hAnsi="Calibri"/>
          <w:b w:val="0"/>
          <w:i w:val="0"/>
          <w:color w:val="1D2733"/>
          <w:sz w:val="20"/>
        </w:rPr>
        <w:t>Cameras are installed exterior-only and must be disclosed to guests as required by platform and North Carolina law. Client is responsible for guest-facing disclosure.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7.3.  </w:t>
      </w:r>
      <w:r>
        <w:rPr>
          <w:rFonts w:ascii="Calibri" w:hAnsi="Calibri"/>
          <w:b/>
          <w:i w:val="0"/>
          <w:color w:val="002052"/>
          <w:sz w:val="20"/>
        </w:rPr>
        <w:t xml:space="preserve">Electrical scope.  </w:t>
      </w:r>
      <w:r>
        <w:rPr>
          <w:rFonts w:ascii="Calibri" w:hAnsi="Calibri"/>
          <w:b w:val="0"/>
          <w:i w:val="0"/>
          <w:color w:val="1D2733"/>
          <w:sz w:val="20"/>
        </w:rPr>
        <w:t>Work is limited to low-voltage, network, and plug-in devices. Line-voltage electrical work is referred to a licensed electrician.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7.4.  </w:t>
      </w:r>
      <w:r>
        <w:rPr>
          <w:rFonts w:ascii="Calibri" w:hAnsi="Calibri"/>
          <w:b/>
          <w:i w:val="0"/>
          <w:color w:val="002052"/>
          <w:sz w:val="20"/>
        </w:rPr>
        <w:t xml:space="preserve">Limitation of liability.  </w:t>
      </w:r>
      <w:r>
        <w:rPr>
          <w:rFonts w:ascii="Calibri" w:hAnsi="Calibri"/>
          <w:b w:val="0"/>
          <w:i w:val="0"/>
          <w:color w:val="1D2733"/>
          <w:sz w:val="20"/>
        </w:rPr>
        <w:t>Provider’s total liability under this Agreement is limited to [the amounts paid for the affected Door]. Provider is not liable for indirect or consequential damages. [Attorney to finalize—critical clause.]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7.5.  </w:t>
      </w:r>
      <w:r>
        <w:rPr>
          <w:rFonts w:ascii="Calibri" w:hAnsi="Calibri"/>
          <w:b/>
          <w:i w:val="0"/>
          <w:color w:val="002052"/>
          <w:sz w:val="20"/>
        </w:rPr>
        <w:t xml:space="preserve">Insurance.  </w:t>
      </w:r>
      <w:r>
        <w:rPr>
          <w:rFonts w:ascii="Calibri" w:hAnsi="Calibri"/>
          <w:b w:val="0"/>
          <w:i w:val="0"/>
          <w:color w:val="1D2733"/>
          <w:sz w:val="20"/>
        </w:rPr>
        <w:t>Provider maintains [general liability] insurance and will provide a certificate on request. [Confirm coverage.]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7.6.  </w:t>
      </w:r>
      <w:r>
        <w:rPr>
          <w:rFonts w:ascii="Calibri" w:hAnsi="Calibri"/>
          <w:b/>
          <w:i w:val="0"/>
          <w:color w:val="002052"/>
          <w:sz w:val="20"/>
        </w:rPr>
        <w:t xml:space="preserve">Independent contractor.  </w:t>
      </w:r>
      <w:r>
        <w:rPr>
          <w:rFonts w:ascii="Calibri" w:hAnsi="Calibri"/>
          <w:b w:val="0"/>
          <w:i w:val="0"/>
          <w:color w:val="1D2733"/>
          <w:sz w:val="20"/>
        </w:rPr>
        <w:t>Provider is an independent contractor; nothing herein creates an agency, partnership, or employment relationship.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7.7.  </w:t>
      </w:r>
      <w:r>
        <w:rPr>
          <w:rFonts w:ascii="Calibri" w:hAnsi="Calibri"/>
          <w:b/>
          <w:i w:val="0"/>
          <w:color w:val="002052"/>
          <w:sz w:val="20"/>
        </w:rPr>
        <w:t xml:space="preserve">Governing law.  </w:t>
      </w:r>
      <w:r>
        <w:rPr>
          <w:rFonts w:ascii="Calibri" w:hAnsi="Calibri"/>
          <w:b w:val="0"/>
          <w:i w:val="0"/>
          <w:color w:val="1D2733"/>
          <w:sz w:val="20"/>
        </w:rPr>
        <w:t>This Agreement is governed by the laws of the State of North Carolina. [Venue/dispute-resolution clause to be added by attorney.]</w:t>
      </w:r>
    </w:p>
    <w:p>
      <w:pPr>
        <w:spacing w:after="100" w:before="60" w:line="269" w:lineRule="auto"/>
      </w:pPr>
      <w:r>
        <w:rPr>
          <w:rFonts w:ascii="Calibri" w:hAnsi="Calibri"/>
          <w:b/>
          <w:i w:val="0"/>
          <w:color w:val="0099E5"/>
          <w:sz w:val="20"/>
        </w:rPr>
        <w:t xml:space="preserve">7.8.  </w:t>
      </w:r>
      <w:r>
        <w:rPr>
          <w:rFonts w:ascii="Calibri" w:hAnsi="Calibri"/>
          <w:b/>
          <w:i w:val="0"/>
          <w:color w:val="002052"/>
          <w:sz w:val="20"/>
        </w:rPr>
        <w:t xml:space="preserve">Entire agreement.  </w:t>
      </w:r>
      <w:r>
        <w:rPr>
          <w:rFonts w:ascii="Calibri" w:hAnsi="Calibri"/>
          <w:b w:val="0"/>
          <w:i w:val="0"/>
          <w:color w:val="1D2733"/>
          <w:sz w:val="20"/>
        </w:rPr>
        <w:t>This Agreement, with the attached schedule and orders, is the entire agreement between the Parties and supersedes prior discussions. Amendments must be in writing and signed by both Parties.</w:t>
      </w:r>
    </w:p>
    <w:p>
      <w:pPr>
        <w:spacing w:before="240" w:after="100"/>
        <w:pBdr>
          <w:bottom w:val="single" w:sz="12" w:space="2" w:color="0099E5"/>
        </w:pBdr>
      </w:pPr>
      <w:r>
        <w:rPr>
          <w:rFonts w:ascii="Calibri" w:hAnsi="Calibri"/>
          <w:b/>
          <w:i w:val="0"/>
          <w:color w:val="002052"/>
          <w:sz w:val="25"/>
        </w:rPr>
        <w:t>8 · Acceptance &amp; Signatures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1D2733"/>
          <w:sz w:val="20"/>
        </w:rPr>
        <w:t>By signing, each Party agrees to the terms of this Agreement, including the committed Door count in Section 1 and the volume pricing in Section 2.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896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CLIENT — PROPERTY MANAGER</w:t>
            </w:r>
          </w:p>
          <w:p>
            <w:pPr>
              <w:spacing w:before="32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\s1\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Signature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\n1\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Name / Title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\d1\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Date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99E5"/>
                <w:sz w:val="17"/>
              </w:rPr>
              <w:t>JAMIESON AUTOMATION</w:t>
            </w:r>
          </w:p>
          <w:p>
            <w:pPr>
              <w:spacing w:before="32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\s2\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Signature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\n2\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Name / Title</w:t>
            </w:r>
          </w:p>
          <w:p>
            <w:pPr>
              <w:spacing w:before="240" w:after="0"/>
              <w:pBdr>
                <w:top w:val="single" w:sz="6" w:space="1" w:color="888888"/>
              </w:pBdr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\d2\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573"/>
                <w:sz w:val="16"/>
              </w:rPr>
              <w:t>Date</w:t>
            </w:r>
          </w:p>
        </w:tc>
      </w:tr>
    </w:tbl>
    <w:p>
      <w:pPr>
        <w:spacing w:after="120" w:before="200"/>
      </w:pPr>
      <w:r>
        <w:rPr>
          <w:rFonts w:ascii="Calibri" w:hAnsi="Calibri"/>
          <w:b w:val="0"/>
          <w:i/>
          <w:color w:val="5B6573"/>
          <w:sz w:val="16"/>
        </w:rPr>
        <w:t xml:space="preserve">DocuSign note: tokens \s1\ \n1\ \d1\ (Client) and \s2\ \n2\ \d2\ (Jamieson) are white-text auto-anchor tags for AutoPlace. Remove this line before sending. </w:t>
      </w:r>
      <w:r>
        <w:rPr>
          <w:rFonts w:ascii="Calibri" w:hAnsi="Calibri"/>
          <w:b/>
          <w:i/>
          <w:color w:val="B01B1B"/>
          <w:sz w:val="16"/>
        </w:rPr>
      </w:r>
    </w:p>
    <w:sectPr w:rsidR="00FC693F" w:rsidRPr="0006063C" w:rsidSect="00034616">
      <w:footerReference w:type="default" r:id="rId9"/>
      <w:pgSz w:w="12240" w:h="15840"/>
      <w:pgMar w:top="864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5"/>
      </w:rPr>
      <w:t>Jamieson Automation · PM Portfolio Agreement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