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765ADD52" w14:textId="77777777" w:rsidR="00CE66BE" w:rsidRDefault="00CE66BE" w:rsidP="00CE66BE">
      <w:pPr>
        <w:spacing w:before="240" w:after="240"/>
        <w:jc w:val="center"/>
        <w:rPr>
          <w:b/>
          <w:sz w:val="24"/>
          <w:szCs w:val="24"/>
          <w:lang w:val="es-ES"/>
        </w:rPr>
      </w:pP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CE66BE">
      <w:pPr>
        <w:numPr>
          <w:ilvl w:val="0"/>
          <w:numId w:val="1"/>
        </w:numPr>
        <w:spacing w:after="240"/>
        <w:jc w:val="right"/>
        <w:rPr>
          <w:b/>
          <w:sz w:val="24"/>
          <w:szCs w:val="24"/>
          <w:lang w:val="es-ES"/>
        </w:rPr>
      </w:pPr>
      <w:r>
        <w:rPr>
          <w:b/>
          <w:sz w:val="24"/>
          <w:szCs w:val="24"/>
          <w:lang w:val="es-ES"/>
        </w:rPr>
        <w:t>Ray Yépez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Ninfa Baron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7777777"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parcialmente), estos se registran en el lote de mercancías no conformes y, simultáneamente, se documentan en el apartado de mercancías enviadas.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w:t>
      </w:r>
      <w:r w:rsidR="00144BE7">
        <w:rPr>
          <w:bCs/>
          <w:iCs/>
          <w:sz w:val="24"/>
        </w:rPr>
        <w:lastRenderedPageBreak/>
        <w:t xml:space="preserve">elementos, </w:t>
      </w:r>
      <w:r w:rsidR="00072246">
        <w:rPr>
          <w:bCs/>
          <w:iCs/>
          <w:sz w:val="24"/>
        </w:rPr>
        <w:t xml:space="preserve">que </w:t>
      </w:r>
      <w:r w:rsidR="00144BE7">
        <w:rPr>
          <w:bCs/>
          <w:iCs/>
          <w:sz w:val="24"/>
        </w:rPr>
        <w:t>cubran</w:t>
      </w:r>
      <w:r w:rsidR="00072246">
        <w:rPr>
          <w:bCs/>
          <w:iCs/>
          <w:sz w:val="24"/>
        </w:rPr>
        <w:t xml:space="preserve">, protejan de la humedad y aseguren el producto 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4B78EA" w:rsidRDefault="00367032" w:rsidP="00462EB2">
      <w:pPr>
        <w:pStyle w:val="Prrafodelista"/>
        <w:numPr>
          <w:ilvl w:val="0"/>
          <w:numId w:val="29"/>
        </w:numPr>
        <w:spacing w:after="240"/>
        <w:jc w:val="both"/>
        <w:rPr>
          <w:b/>
          <w:i/>
          <w:sz w:val="24"/>
        </w:rPr>
      </w:pPr>
      <w:r>
        <w:rPr>
          <w:b/>
          <w:sz w:val="24"/>
        </w:rPr>
        <w:t>Funciones de apoyo:</w:t>
      </w:r>
    </w:p>
    <w:p w14:paraId="14589C65" w14:textId="77777777" w:rsidR="002C632D" w:rsidRPr="002C632D" w:rsidRDefault="004B78EA" w:rsidP="00462EB2">
      <w:pPr>
        <w:pStyle w:val="Prrafodelista"/>
        <w:numPr>
          <w:ilvl w:val="1"/>
          <w:numId w:val="29"/>
        </w:numPr>
        <w:spacing w:after="240"/>
        <w:jc w:val="both"/>
        <w:rPr>
          <w:bCs/>
          <w:sz w:val="24"/>
        </w:rPr>
      </w:pPr>
      <w:r w:rsidRPr="002C632D">
        <w:rPr>
          <w:b/>
          <w:sz w:val="24"/>
        </w:rPr>
        <w:t>Inventario general</w:t>
      </w:r>
      <w:r w:rsidR="00072246" w:rsidRPr="002C632D">
        <w:rPr>
          <w:b/>
          <w:sz w:val="24"/>
        </w:rPr>
        <w:t xml:space="preserve">: </w:t>
      </w:r>
      <w:r w:rsidR="002C632D" w:rsidRPr="002C632D">
        <w:rPr>
          <w:bCs/>
          <w:sz w:val="24"/>
        </w:rPr>
        <w:t>El inventario general constituye un componente fundamental dentro de los procesos logísticos y contables de la organización, ya que centraliza y sistematiza la información relacionada con todos los productos bajo custodia de la empresa. Su principal objetivo es mantener un registro preciso y actualizado que permita ejercer un control efectivo sobre el movimiento de mercancías.</w:t>
      </w:r>
    </w:p>
    <w:p w14:paraId="26749DF8" w14:textId="77777777" w:rsidR="002C632D" w:rsidRPr="002C632D" w:rsidRDefault="002C632D" w:rsidP="002C632D">
      <w:pPr>
        <w:pStyle w:val="Prrafodelista"/>
        <w:spacing w:after="240"/>
        <w:ind w:left="1440"/>
        <w:jc w:val="both"/>
        <w:rPr>
          <w:bCs/>
          <w:sz w:val="24"/>
        </w:rPr>
      </w:pPr>
      <w:r w:rsidRPr="002C632D">
        <w:rPr>
          <w:bCs/>
          <w:sz w:val="24"/>
        </w:rPr>
        <w:t>Esta herramienta de gestión documenta meticulosamente diversas transacciones clave, entre las que destacan:</w:t>
      </w:r>
    </w:p>
    <w:p w14:paraId="62DCED50" w14:textId="77777777" w:rsidR="002C632D" w:rsidRPr="002C632D" w:rsidRDefault="002C632D" w:rsidP="002C632D">
      <w:pPr>
        <w:pStyle w:val="Prrafodelista"/>
        <w:spacing w:after="240"/>
        <w:ind w:left="1440"/>
        <w:jc w:val="both"/>
        <w:rPr>
          <w:bCs/>
          <w:sz w:val="24"/>
        </w:rPr>
      </w:pPr>
      <w:r w:rsidRPr="002C632D">
        <w:rPr>
          <w:bCs/>
          <w:sz w:val="24"/>
        </w:rPr>
        <w:t>Devoluciones: Registra tanto las mercancías retornadas por los clientes como aquellas que la empresa devuelve a sus proveedores, garantizando el adecuado ajuste de existencias.</w:t>
      </w:r>
    </w:p>
    <w:p w14:paraId="5088F512" w14:textId="77777777" w:rsidR="002C632D" w:rsidRPr="002C632D" w:rsidRDefault="002C632D" w:rsidP="002C632D">
      <w:pPr>
        <w:pStyle w:val="Prrafodelista"/>
        <w:spacing w:after="240"/>
        <w:ind w:left="1440"/>
        <w:jc w:val="both"/>
        <w:rPr>
          <w:bCs/>
          <w:sz w:val="24"/>
        </w:rPr>
      </w:pPr>
      <w:r w:rsidRPr="002C632D">
        <w:rPr>
          <w:bCs/>
          <w:sz w:val="24"/>
        </w:rPr>
        <w:t>Existencias: Mantiene un control detallado de los niveles de stock por producto, facilitando la planificación de compras y la gestión de almacenes.</w:t>
      </w:r>
    </w:p>
    <w:p w14:paraId="312E99AB" w14:textId="77777777" w:rsidR="002C632D" w:rsidRPr="002C632D" w:rsidRDefault="002C632D" w:rsidP="002C632D">
      <w:pPr>
        <w:pStyle w:val="Prrafodelista"/>
        <w:spacing w:after="240"/>
        <w:ind w:left="1440"/>
        <w:jc w:val="both"/>
        <w:rPr>
          <w:bCs/>
          <w:sz w:val="24"/>
        </w:rPr>
      </w:pPr>
      <w:r w:rsidRPr="002C632D">
        <w:rPr>
          <w:bCs/>
          <w:sz w:val="24"/>
        </w:rPr>
        <w:t>Productos en proceso de facturación: Incluye un apartado especial para mercancías ya embaladas y listas para despacho, las cuales, aunque físicamente presentes, deben contabilizarse como pendientes de salida del inventario.</w:t>
      </w:r>
    </w:p>
    <w:p w14:paraId="63C9FEB3" w14:textId="77777777" w:rsidR="002C632D" w:rsidRPr="002C632D" w:rsidRDefault="002C632D" w:rsidP="002C632D">
      <w:pPr>
        <w:pStyle w:val="Prrafodelista"/>
        <w:spacing w:after="240"/>
        <w:ind w:left="1440"/>
        <w:jc w:val="both"/>
        <w:rPr>
          <w:bCs/>
          <w:sz w:val="24"/>
        </w:rPr>
      </w:pPr>
      <w:r w:rsidRPr="002C632D">
        <w:rPr>
          <w:bCs/>
          <w:sz w:val="24"/>
        </w:rPr>
        <w:t>La implementación rigurosa de este sistema de registro permite a la organización optimizar sus operaciones logísticas, minimizar discrepancias y mantener una trazabilidad completa de todos sus productos. Particularmente durante los procesos de toma física de inventario, esta información resulta invaluable, ya que sirve como base para la verificación de existencias y la identificación de posibles inconsistencias.</w:t>
      </w:r>
    </w:p>
    <w:p w14:paraId="573D011A" w14:textId="77777777" w:rsidR="002C632D" w:rsidRPr="002C632D" w:rsidRDefault="002C632D" w:rsidP="002C632D">
      <w:pPr>
        <w:pStyle w:val="Prrafodelista"/>
        <w:spacing w:after="240"/>
        <w:ind w:left="1440"/>
        <w:jc w:val="both"/>
        <w:rPr>
          <w:bCs/>
          <w:sz w:val="24"/>
        </w:rPr>
      </w:pPr>
      <w:r w:rsidRPr="002C632D">
        <w:rPr>
          <w:bCs/>
          <w:sz w:val="24"/>
        </w:rPr>
        <w:t>La correcta administración del inventario general no solo contribuye a la eficiencia operativa, sino que también fortalece los mecanismos de control interno, proporcionando información confiable para la toma de decisiones estratégicas en áreas como compras, ventas y gestión de almacenes.</w:t>
      </w:r>
    </w:p>
    <w:p w14:paraId="5A6027BF" w14:textId="77777777" w:rsidR="002C632D" w:rsidRPr="002C632D" w:rsidRDefault="002C632D" w:rsidP="002C632D">
      <w:pPr>
        <w:pStyle w:val="Prrafodelista"/>
        <w:spacing w:after="240"/>
        <w:ind w:left="1440"/>
        <w:jc w:val="both"/>
        <w:rPr>
          <w:bCs/>
          <w:sz w:val="24"/>
        </w:rPr>
      </w:pPr>
      <w:r w:rsidRPr="002C632D">
        <w:rPr>
          <w:bCs/>
          <w:sz w:val="24"/>
        </w:rPr>
        <w:t>Beneficios clave:</w:t>
      </w:r>
    </w:p>
    <w:p w14:paraId="35E1BA68" w14:textId="77777777" w:rsidR="002C632D" w:rsidRPr="002C632D" w:rsidRDefault="002C632D" w:rsidP="002C632D">
      <w:pPr>
        <w:pStyle w:val="Prrafodelista"/>
        <w:spacing w:after="240"/>
        <w:ind w:left="1440"/>
        <w:jc w:val="both"/>
        <w:rPr>
          <w:bCs/>
          <w:sz w:val="24"/>
        </w:rPr>
      </w:pPr>
      <w:r w:rsidRPr="002C632D">
        <w:rPr>
          <w:bCs/>
          <w:sz w:val="24"/>
        </w:rPr>
        <w:t>Proporciona datos precisos para la reconciliación física-contable</w:t>
      </w:r>
    </w:p>
    <w:p w14:paraId="2FB8F077" w14:textId="77777777" w:rsidR="002C632D" w:rsidRPr="002C632D" w:rsidRDefault="002C632D" w:rsidP="002C632D">
      <w:pPr>
        <w:pStyle w:val="Prrafodelista"/>
        <w:spacing w:after="240"/>
        <w:ind w:left="1440"/>
        <w:jc w:val="both"/>
        <w:rPr>
          <w:bCs/>
          <w:sz w:val="24"/>
        </w:rPr>
      </w:pPr>
      <w:r w:rsidRPr="002C632D">
        <w:rPr>
          <w:bCs/>
          <w:sz w:val="24"/>
        </w:rPr>
        <w:t>Facilita la identificación de tendencias en el movimiento de mercancías</w:t>
      </w:r>
    </w:p>
    <w:p w14:paraId="64EDC00C" w14:textId="77777777" w:rsidR="002C632D" w:rsidRPr="002C632D" w:rsidRDefault="002C632D" w:rsidP="002C632D">
      <w:pPr>
        <w:spacing w:after="240"/>
        <w:ind w:left="1080"/>
        <w:jc w:val="both"/>
        <w:rPr>
          <w:bCs/>
          <w:sz w:val="24"/>
        </w:rPr>
      </w:pPr>
      <w:r w:rsidRPr="002C632D">
        <w:rPr>
          <w:bCs/>
          <w:sz w:val="24"/>
        </w:rPr>
        <w:t>Reduce riesgos operativos y financieros</w:t>
      </w:r>
    </w:p>
    <w:p w14:paraId="0FED7CC1" w14:textId="77777777" w:rsidR="002C632D" w:rsidRPr="002C632D" w:rsidRDefault="002C632D" w:rsidP="002C632D">
      <w:pPr>
        <w:pStyle w:val="Prrafodelista"/>
        <w:spacing w:after="240"/>
        <w:ind w:left="1440"/>
        <w:jc w:val="both"/>
        <w:rPr>
          <w:bCs/>
          <w:sz w:val="24"/>
        </w:rPr>
      </w:pPr>
      <w:r w:rsidRPr="002C632D">
        <w:rPr>
          <w:bCs/>
          <w:sz w:val="24"/>
        </w:rPr>
        <w:t>Optimiza los procesos de planificación y abastecimiento</w:t>
      </w:r>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880A8A3" w14:textId="77777777" w:rsidR="004560C0" w:rsidRPr="004560C0" w:rsidRDefault="004B78EA" w:rsidP="00462EB2">
      <w:pPr>
        <w:pStyle w:val="Prrafodelista"/>
        <w:numPr>
          <w:ilvl w:val="1"/>
          <w:numId w:val="30"/>
        </w:numPr>
        <w:spacing w:after="240"/>
        <w:jc w:val="both"/>
        <w:rPr>
          <w:bCs/>
          <w:sz w:val="24"/>
        </w:rPr>
      </w:pPr>
      <w:r>
        <w:rPr>
          <w:b/>
          <w:sz w:val="24"/>
        </w:rPr>
        <w:t>Aprobación de pedidos grandes:</w:t>
      </w:r>
      <w:r w:rsidR="00107EBD">
        <w:rPr>
          <w:b/>
          <w:sz w:val="24"/>
        </w:rPr>
        <w:t xml:space="preserve"> </w:t>
      </w:r>
      <w:r w:rsidR="004560C0" w:rsidRPr="004560C0">
        <w:rPr>
          <w:bCs/>
          <w:sz w:val="24"/>
        </w:rPr>
        <w:t>En el contexto de las operaciones comerciales de la organización, se entiende por pedido de gran volumen aquella solicitud de compra que, por sus características particulares, requiere un proceso de evaluación y autorización especializado. Estos pedidos se distinguen por su capacidad de impactar significativamente en aspectos estratégicos del negocio, ya sea por la magnitud de los recursos comprometidos, las implicaciones logísticas o los riesgos financieros asociados.</w:t>
      </w:r>
    </w:p>
    <w:p w14:paraId="5AD26216" w14:textId="77777777" w:rsidR="004560C0" w:rsidRPr="004560C0" w:rsidRDefault="004560C0" w:rsidP="004560C0">
      <w:pPr>
        <w:pStyle w:val="Prrafodelista"/>
        <w:spacing w:after="240"/>
        <w:ind w:left="1440"/>
        <w:jc w:val="both"/>
        <w:rPr>
          <w:bCs/>
          <w:sz w:val="24"/>
        </w:rPr>
      </w:pPr>
      <w:r w:rsidRPr="004560C0">
        <w:rPr>
          <w:bCs/>
          <w:sz w:val="24"/>
        </w:rPr>
        <w:t>La determinación de lo que constituye un pedido de gran volumen se establece mediante parámetros cuantitativos y cualitativos claramente definidos. Desde la perspectiva cuantitativa, se consideran aquellos pedidos que representan un porcentaje sustancial del inventario disponible, típicamente superior al 15% de las existencias actuales de un producto específico. Asimismo, se incluyen aquellas transacciones que exceden los montos preestablecidos para las operaciones comerciales rutinarias. En el ámbito cualitativo, se contemplan situaciones especiales que requieren condiciones de crédito extendido, generalmente por plazos superiores a los 30 días establecidos como estándar, o que implican desafíos operativos significativos en términos de capacidad de producción, almacenamiento o distribución.</w:t>
      </w:r>
    </w:p>
    <w:p w14:paraId="5409BCE8" w14:textId="77777777" w:rsidR="004560C0" w:rsidRPr="004560C0" w:rsidRDefault="004560C0" w:rsidP="004560C0">
      <w:pPr>
        <w:pStyle w:val="Prrafodelista"/>
        <w:spacing w:after="240"/>
        <w:ind w:left="1440"/>
        <w:jc w:val="both"/>
        <w:rPr>
          <w:bCs/>
          <w:sz w:val="24"/>
        </w:rPr>
      </w:pPr>
      <w:r w:rsidRPr="004560C0">
        <w:rPr>
          <w:bCs/>
          <w:sz w:val="24"/>
        </w:rPr>
        <w:t>El proceso de evaluación y autorización de estos pedidos sigue una metodología estructurada que involucra a múltiples áreas de la organización. Inicia con una revisión preliminar por parte del área comercial, donde se verifica la viabilidad básica de la operación y se recopila la información esencial. Posteriormente, el departamento financiero realiza un análisis exhaustivo del riesgo crediticio, evaluando la solvencia del cliente y el impacto potencial en el flujo de caja de la empresa. La fase operativa examina la capacidad real de cumplimiento, considerando factores como disponibilidad de materias primas, capacidad productiva y logística de entrega.</w:t>
      </w:r>
    </w:p>
    <w:p w14:paraId="14A10519" w14:textId="77777777" w:rsidR="004560C0" w:rsidRPr="004560C0" w:rsidRDefault="004560C0" w:rsidP="004560C0">
      <w:pPr>
        <w:pStyle w:val="Prrafodelista"/>
        <w:spacing w:after="240"/>
        <w:ind w:left="1440"/>
        <w:jc w:val="both"/>
        <w:rPr>
          <w:bCs/>
          <w:sz w:val="24"/>
        </w:rPr>
      </w:pPr>
      <w:r w:rsidRPr="004560C0">
        <w:rPr>
          <w:bCs/>
          <w:sz w:val="24"/>
        </w:rPr>
        <w:t>La documentación requerida para sustentar el proceso de aprobación es rigurosa y completa. Debe incluir un análisis detallado del impacto en inventario, proyecciones financieras actualizadas, un plan logístico completo y, cuando corresponda, el historial crediticio del cliente. Esta información permite a los tomadores de decisión contar con una visión integral de la operación propuesta.</w:t>
      </w:r>
    </w:p>
    <w:p w14:paraId="004D4A61" w14:textId="77777777" w:rsidR="004560C0" w:rsidRPr="004560C0" w:rsidRDefault="004560C0" w:rsidP="004560C0">
      <w:pPr>
        <w:pStyle w:val="Prrafodelista"/>
        <w:spacing w:after="240"/>
        <w:ind w:left="1440"/>
        <w:jc w:val="both"/>
        <w:rPr>
          <w:bCs/>
          <w:sz w:val="24"/>
        </w:rPr>
      </w:pPr>
      <w:r w:rsidRPr="004560C0">
        <w:rPr>
          <w:bCs/>
          <w:sz w:val="24"/>
        </w:rPr>
        <w:lastRenderedPageBreak/>
        <w:t>Los criterios fundamentales que guían el proceso de autorización abarcan múltiples dimensiones del negocio. Se evalúa meticulosamente la disponibilidad real de la mercancía solicitada, evitando comprometer inventarios críticos. 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7777777"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límites de autorización claramente definidos por nivel jerárquico, sistemas de alerta temprana para identificar pedidos críticos, y procesos de auditoría periódica que permiten evaluar la calidad de las decisiones tomadas. En casos excepcionales que requieran desviaciones a las políticas establecidas, se exige una justificación documentada exhaustiva, el aval de múltiples instancias gerenciales y la presentación de un plan de mitigación de riesgos debidamente sustentado.</w:t>
      </w:r>
    </w:p>
    <w:p w14:paraId="0317CF35" w14:textId="77777777" w:rsidR="004560C0" w:rsidRPr="004560C0" w:rsidRDefault="004560C0" w:rsidP="004560C0">
      <w:pPr>
        <w:pStyle w:val="Prrafodelista"/>
        <w:spacing w:after="240"/>
        <w:ind w:left="1440"/>
        <w:jc w:val="both"/>
        <w:rPr>
          <w:bCs/>
          <w:sz w:val="24"/>
        </w:rPr>
      </w:pPr>
      <w:r w:rsidRPr="004560C0">
        <w:rPr>
          <w:bCs/>
          <w:sz w:val="24"/>
        </w:rPr>
        <w:t>El objetivo fundamental de este procedimiento es mantener un equilibrio óptimo entre la satisfacción del cliente, la salud financiera de la organización y la capacidad operativa. Al mismo tiempo, busca minimizar la exposición a riesgos innecesarios mientras se capitalizan oportunidades de negocio estratégicas. Este marco de trabajo aplica tanto para transacciones con clientes externos como para compras internas de importancia, asegurando coherencia en la toma de decisiones corporativas y alineación con los objetivos globales de la organización.</w:t>
      </w:r>
    </w:p>
    <w:p w14:paraId="49AF69B3" w14:textId="3B0F7F63" w:rsidR="004B78EA" w:rsidRPr="004560C0" w:rsidRDefault="004560C0" w:rsidP="004560C0">
      <w:pPr>
        <w:pStyle w:val="Prrafodelista"/>
        <w:spacing w:after="240"/>
        <w:ind w:left="1440"/>
        <w:jc w:val="both"/>
        <w:rPr>
          <w:bCs/>
          <w:sz w:val="24"/>
        </w:rPr>
      </w:pPr>
      <w:r w:rsidRPr="004560C0">
        <w:rPr>
          <w:bCs/>
          <w:sz w:val="24"/>
        </w:rPr>
        <w:t>La implementación de este procedimiento ha demostrado ser fundamental para mantener la estabilidad operativa y financiera de la empresa, particularmente en contextos de alta demanda o restricción de recursos. Además, proporciona un marco de referencia claro para todos los involucrados en el proceso, desde el personal operativo hasta los niveles directivos, facilitando la toma de decisiones informadas y oportunas.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77777777"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603975">
        <w:rPr>
          <w:b/>
          <w:sz w:val="24"/>
        </w:rPr>
        <w:t xml:space="preserve"> </w:t>
      </w:r>
      <w:r w:rsidR="00DC39D6" w:rsidRPr="00DC39D6">
        <w:rPr>
          <w:bCs/>
          <w:sz w:val="24"/>
        </w:rPr>
        <w:t>Esta función consiste en realizar un análisis detallado de sectores o eventos donde se hayan identificado fallas, ya sea en el control de inventario o en la entrega de productos.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lastRenderedPageBreak/>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De igual manera, cuando un cliente reporta un producto en mal estado o presenta una queja, se lleva a cabo una revisión exhaustiva del proceso de 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6CA3D76D" w14:textId="77777777" w:rsidR="00984062" w:rsidRPr="00984062" w:rsidRDefault="004B78EA" w:rsidP="00462EB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La toma física de inventarios constituye un proceso fundamental para garantizar la integridad de los registros contables y operativos de una organización. Este procedimiento implica una planificación meticulosa y una ejecución sistemática, con el objetivo de verificar las existencias reales en almacén y contrastarlas con los registros contables, permitiendo así identificar y corregir posibles discrepancias.</w:t>
      </w:r>
    </w:p>
    <w:p w14:paraId="648C74B2" w14:textId="77777777" w:rsidR="00984062" w:rsidRPr="00984062" w:rsidRDefault="00984062" w:rsidP="00984062">
      <w:pPr>
        <w:pStyle w:val="Prrafodelista"/>
        <w:spacing w:after="240"/>
        <w:ind w:left="1440"/>
        <w:jc w:val="both"/>
        <w:rPr>
          <w:bCs/>
          <w:sz w:val="24"/>
        </w:rPr>
      </w:pPr>
      <w:r w:rsidRPr="00984062">
        <w:rPr>
          <w:bCs/>
          <w:sz w:val="24"/>
        </w:rPr>
        <w:t>La toma física va más allá de una simple investigación de diferencias, ya que representa un ejercicio integral de verificación que abarca tanto el aspecto contable como el operativo. Su ejecución requiere de una coordinación interdepartamental, donde participan áreas como almacén, contabilidad y auditoría interna, asegurando así la objetividad y precisión del proceso.</w:t>
      </w:r>
    </w:p>
    <w:p w14:paraId="7B65B37E" w14:textId="77777777" w:rsidR="00984062" w:rsidRPr="00984062" w:rsidRDefault="00984062" w:rsidP="00984062">
      <w:pPr>
        <w:pStyle w:val="Prrafodelista"/>
        <w:spacing w:after="240"/>
        <w:ind w:left="1440"/>
        <w:jc w:val="both"/>
        <w:rPr>
          <w:bCs/>
          <w:sz w:val="24"/>
        </w:rPr>
      </w:pPr>
      <w:r w:rsidRPr="00984062">
        <w:rPr>
          <w:bCs/>
          <w:sz w:val="24"/>
        </w:rPr>
        <w:t>El éxito de la toma física depende en gran medida de una adecuada preparación previa. Esto incluye la definición de un cronograma que considere los periodos de menor actividad en el almacén, así como la disponibilidad de recursos humanos y tecnológicos necesarios. Asimismo, es fundamental preparar el espacio físico, garantizando que los productos estén debidamente organizados, identificados y accesibles para facilitar el conteo.</w:t>
      </w:r>
    </w:p>
    <w:p w14:paraId="07A3D905" w14:textId="77777777" w:rsidR="00984062" w:rsidRPr="00984062" w:rsidRDefault="00984062" w:rsidP="00984062">
      <w:pPr>
        <w:pStyle w:val="Prrafodelista"/>
        <w:spacing w:after="240"/>
        <w:ind w:left="1440"/>
        <w:jc w:val="both"/>
        <w:rPr>
          <w:bCs/>
          <w:sz w:val="24"/>
        </w:rPr>
      </w:pPr>
      <w:r w:rsidRPr="00984062">
        <w:rPr>
          <w:bCs/>
          <w:sz w:val="24"/>
        </w:rPr>
        <w:t>Durante la ejecución, se implementan metodologías estandarizadas de conteo y verificación, apoyadas por herramientas tecnológicas cuando sea posible. Los resultados obtenidos se registran minuciosamente y posteriormente se contrastan con los sistemas de información de la empresa. Las discrepancias identificadas son analizadas para determinar su origen, ya sea por errores de registro, mermas no contabilizadas o posibles irregularidades.</w:t>
      </w:r>
    </w:p>
    <w:p w14:paraId="33C94C31" w14:textId="77777777" w:rsidR="00984062" w:rsidRPr="00984062" w:rsidRDefault="00984062" w:rsidP="00984062">
      <w:pPr>
        <w:pStyle w:val="Prrafodelista"/>
        <w:spacing w:after="240"/>
        <w:ind w:left="1440"/>
        <w:jc w:val="both"/>
        <w:rPr>
          <w:bCs/>
          <w:sz w:val="24"/>
        </w:rPr>
      </w:pPr>
      <w:r w:rsidRPr="00984062">
        <w:rPr>
          <w:bCs/>
          <w:sz w:val="24"/>
        </w:rPr>
        <w:t>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prevengan futuras discrepancias.</w:t>
      </w:r>
    </w:p>
    <w:p w14:paraId="4DFA3CD9" w14:textId="752A1A81" w:rsidR="00B249DB" w:rsidRDefault="00984062" w:rsidP="00B249DB">
      <w:pPr>
        <w:pStyle w:val="Prrafodelista"/>
        <w:spacing w:after="240"/>
        <w:ind w:left="1440"/>
        <w:jc w:val="both"/>
        <w:rPr>
          <w:bCs/>
          <w:sz w:val="24"/>
        </w:rPr>
      </w:pPr>
      <w:r w:rsidRPr="00984062">
        <w:rPr>
          <w:bCs/>
          <w:sz w:val="24"/>
        </w:rPr>
        <w:lastRenderedPageBreak/>
        <w:t>La toma física periódica se consolida así como una herramienta esencial para mantener la confiabilidad de la información patrimonial de la organización, facilitando la toma de decisiones basada en datos precisos y actualizados.</w:t>
      </w: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43132BE" w:rsidR="00874A39" w:rsidRPr="00874A39" w:rsidRDefault="00874A39" w:rsidP="00874A39">
      <w:pPr>
        <w:spacing w:after="240"/>
        <w:jc w:val="both"/>
        <w:rPr>
          <w:i/>
          <w:sz w:val="24"/>
        </w:rPr>
      </w:pPr>
      <w:r>
        <w:rPr>
          <w:i/>
          <w:noProof/>
          <w:sz w:val="24"/>
        </w:rPr>
        <w:drawing>
          <wp:inline distT="0" distB="0" distL="0" distR="0" wp14:anchorId="7E748879" wp14:editId="3A705444">
            <wp:extent cx="5997575" cy="5324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n de recepcion de activos.png"/>
                    <pic:cNvPicPr/>
                  </pic:nvPicPr>
                  <pic:blipFill rotWithShape="1">
                    <a:blip r:embed="rId21" cstate="print">
                      <a:extLst>
                        <a:ext uri="{28A0092B-C50C-407E-A947-70E740481C1C}">
                          <a14:useLocalDpi xmlns:a14="http://schemas.microsoft.com/office/drawing/2010/main" val="0"/>
                        </a:ext>
                      </a:extLst>
                    </a:blip>
                    <a:srcRect t="9905" b="24181"/>
                    <a:stretch/>
                  </pic:blipFill>
                  <pic:spPr bwMode="auto">
                    <a:xfrm>
                      <a:off x="0" y="0"/>
                      <a:ext cx="5997575" cy="5324475"/>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FFAC9D5" w:rsidR="00B74BA3" w:rsidRPr="00B74BA3" w:rsidRDefault="00B74BA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60288" behindDoc="0" locked="0" layoutInCell="1" allowOverlap="1" wp14:anchorId="2A6C07C3" wp14:editId="343AD992">
            <wp:simplePos x="0" y="0"/>
            <wp:positionH relativeFrom="margin">
              <wp:posOffset>-497935</wp:posOffset>
            </wp:positionH>
            <wp:positionV relativeFrom="margin">
              <wp:posOffset>289589</wp:posOffset>
            </wp:positionV>
            <wp:extent cx="6033135" cy="50419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umento en blanco.png"/>
                    <pic:cNvPicPr/>
                  </pic:nvPicPr>
                  <pic:blipFill rotWithShape="1">
                    <a:blip r:embed="rId22" cstate="print">
                      <a:extLst>
                        <a:ext uri="{28A0092B-C50C-407E-A947-70E740481C1C}">
                          <a14:useLocalDpi xmlns:a14="http://schemas.microsoft.com/office/drawing/2010/main" val="0"/>
                        </a:ext>
                      </a:extLst>
                    </a:blip>
                    <a:srcRect l="13976" t="-309" r="70" b="309"/>
                    <a:stretch/>
                  </pic:blipFill>
                  <pic:spPr bwMode="auto">
                    <a:xfrm>
                      <a:off x="0" y="0"/>
                      <a:ext cx="6033135" cy="504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Pr="00B74BA3">
        <w:rPr>
          <w:i/>
          <w:sz w:val="24"/>
        </w:rPr>
        <w:br w:type="page"/>
      </w:r>
    </w:p>
    <w:p w14:paraId="07899B90" w14:textId="77777777" w:rsidR="00B74BA3" w:rsidRPr="00B74BA3" w:rsidRDefault="00B74BA3" w:rsidP="00B74BA3">
      <w:pPr>
        <w:pStyle w:val="Prrafodelista"/>
        <w:spacing w:after="240"/>
        <w:jc w:val="both"/>
        <w:rPr>
          <w:i/>
          <w:sz w:val="24"/>
        </w:rPr>
      </w:pPr>
    </w:p>
    <w:p w14:paraId="63B28DF2" w14:textId="11440DBC" w:rsidR="006607BF" w:rsidRPr="006607BF" w:rsidRDefault="006607BF" w:rsidP="006607BF">
      <w:pPr>
        <w:pStyle w:val="Prrafodelista"/>
        <w:numPr>
          <w:ilvl w:val="0"/>
          <w:numId w:val="30"/>
        </w:numPr>
        <w:spacing w:after="240"/>
        <w:jc w:val="both"/>
        <w:rPr>
          <w:i/>
          <w:sz w:val="24"/>
        </w:rPr>
      </w:pPr>
      <w:r>
        <w:rPr>
          <w:sz w:val="24"/>
        </w:rPr>
        <w:t>Devolución de ventas</w:t>
      </w:r>
    </w:p>
    <w:p w14:paraId="5F6DA0E1" w14:textId="35ADE907" w:rsidR="00874A39" w:rsidRPr="00874A39" w:rsidRDefault="00B74BA3" w:rsidP="00874A39">
      <w:pPr>
        <w:spacing w:after="240"/>
        <w:ind w:left="360"/>
        <w:jc w:val="both"/>
        <w:rPr>
          <w:i/>
          <w:sz w:val="24"/>
        </w:rPr>
      </w:pPr>
      <w:r>
        <w:rPr>
          <w:i/>
          <w:noProof/>
          <w:sz w:val="24"/>
        </w:rPr>
        <w:drawing>
          <wp:inline distT="0" distB="0" distL="0" distR="0" wp14:anchorId="6BD18B4E" wp14:editId="61546AB4">
            <wp:extent cx="5516956" cy="44288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5519743" cy="4431079"/>
                    </a:xfrm>
                    <a:prstGeom prst="rect">
                      <a:avLst/>
                    </a:prstGeom>
                    <a:ln>
                      <a:noFill/>
                    </a:ln>
                    <a:extLst>
                      <a:ext uri="{53640926-AAD7-44D8-BBD7-CCE9431645EC}">
                        <a14:shadowObscured xmlns:a14="http://schemas.microsoft.com/office/drawing/2010/main"/>
                      </a:ext>
                    </a:extLst>
                  </pic:spPr>
                </pic:pic>
              </a:graphicData>
            </a:graphic>
          </wp:inline>
        </w:drawing>
      </w:r>
    </w:p>
    <w:p w14:paraId="221BB83E" w14:textId="77777777" w:rsidR="00866ADE" w:rsidRPr="00866ADE" w:rsidRDefault="00866ADE" w:rsidP="001469A4">
      <w:pPr>
        <w:spacing w:after="240"/>
        <w:jc w:val="both"/>
        <w:rPr>
          <w:sz w:val="24"/>
        </w:rPr>
      </w:pP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experimenta en general un problema de comunicación entre sus diferentes departamentos,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Pr>
          <w:sz w:val="24"/>
          <w:u w:val="single"/>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3766D533" w14:textId="77777777"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15D9C50F" w14:textId="17432F95" w:rsidR="00B249DB" w:rsidRDefault="00B249DB" w:rsidP="00B249DB">
      <w:pPr>
        <w:spacing w:after="240"/>
        <w:jc w:val="both"/>
        <w:rPr>
          <w:sz w:val="24"/>
        </w:rPr>
      </w:pPr>
    </w:p>
    <w:p w14:paraId="5E698A24" w14:textId="1059F098" w:rsidR="00B249DB" w:rsidRDefault="00B249DB" w:rsidP="00B249DB">
      <w:pPr>
        <w:spacing w:after="240"/>
        <w:jc w:val="both"/>
        <w:rPr>
          <w:sz w:val="24"/>
        </w:rPr>
      </w:pP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 xml:space="preserve">Esta falla ocasiona retrasos en la entrega de la mercancía, y el aumento de la carga administrativa en un proceso operativo que pudiera dedicarse a la solución de otras problemáticas de carácter más estratégicas; a su vez esto podría resultar en disminución </w:t>
      </w:r>
      <w:r>
        <w:rPr>
          <w:sz w:val="24"/>
        </w:rPr>
        <w:lastRenderedPageBreak/>
        <w:t>de competitividad de la empresa ante la insatisfacción de los clientes, y problemas de liquidez de la empresa</w:t>
      </w:r>
    </w:p>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4">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lastRenderedPageBreak/>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5">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6">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7">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8">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3EC0D2C2" w14:textId="7DBBEC88" w:rsidR="00BA05DD" w:rsidRPr="00BA05DD" w:rsidRDefault="00BA05DD" w:rsidP="00A56617">
      <w:pPr>
        <w:pStyle w:val="Prrafodelista"/>
        <w:numPr>
          <w:ilvl w:val="0"/>
          <w:numId w:val="45"/>
        </w:numPr>
        <w:spacing w:after="240"/>
      </w:pPr>
      <w:r w:rsidRPr="00BA05DD">
        <w:rPr>
          <w:b/>
        </w:rPr>
        <w:t>Alertas de bajo stock</w:t>
      </w:r>
      <w:r w:rsidRPr="00BA05DD">
        <w:t>: Generación automática de alertas cuando los niveles de inventario alcanzan umbrales mínimos predefinidos, dirigidas a departamentos de compra, venta y almacén.</w:t>
      </w:r>
    </w:p>
    <w:p w14:paraId="7E27117C" w14:textId="55281509" w:rsidR="00BA05DD" w:rsidRPr="00BA05DD" w:rsidRDefault="00BA05DD" w:rsidP="00A56617">
      <w:pPr>
        <w:pStyle w:val="Prrafodelista"/>
        <w:numPr>
          <w:ilvl w:val="0"/>
          <w:numId w:val="45"/>
        </w:numPr>
        <w:spacing w:after="240"/>
      </w:pPr>
      <w:r w:rsidRPr="00BA05DD">
        <w:rPr>
          <w:b/>
        </w:rPr>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3295704F" w:rsidR="00BA05DD" w:rsidRPr="00BA05DD" w:rsidRDefault="00BA05DD" w:rsidP="00A56617">
      <w:pPr>
        <w:pStyle w:val="Prrafodelista"/>
        <w:numPr>
          <w:ilvl w:val="0"/>
          <w:numId w:val="45"/>
        </w:numPr>
        <w:spacing w:after="240"/>
      </w:pPr>
      <w:r w:rsidRPr="00BA05DD">
        <w:rPr>
          <w:b/>
        </w:rPr>
        <w:t>Documentación fotográfica</w:t>
      </w:r>
      <w:r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40F573FA" w14:textId="06E09D1F" w:rsidR="00BA05DD" w:rsidRPr="00BA05DD" w:rsidRDefault="00BA05DD" w:rsidP="00A56617">
      <w:pPr>
        <w:pStyle w:val="Prrafodelista"/>
        <w:numPr>
          <w:ilvl w:val="0"/>
          <w:numId w:val="45"/>
        </w:numPr>
        <w:spacing w:after="240"/>
      </w:pPr>
      <w:r w:rsidRPr="00BA05DD">
        <w:rPr>
          <w:b/>
        </w:rPr>
        <w:t>Compartición de información</w:t>
      </w:r>
      <w:r w:rsidRPr="00BA05DD">
        <w:t>: Facilidad para compartir información relevante del inventario entre departamentos, como niveles de stock, pedidos pendientes, y previsiones de demanda.</w:t>
      </w:r>
    </w:p>
    <w:p w14:paraId="77EB8010" w14:textId="0A6282AB" w:rsidR="00BA05DD" w:rsidRPr="00BA05DD" w:rsidRDefault="00BA05DD" w:rsidP="00BA05DD">
      <w:pPr>
        <w:pStyle w:val="Prrafodelista"/>
        <w:numPr>
          <w:ilvl w:val="0"/>
          <w:numId w:val="45"/>
        </w:numPr>
        <w:spacing w:after="240"/>
      </w:pPr>
      <w:r w:rsidRPr="00BA05DD">
        <w:rPr>
          <w:rFonts w:ascii="Segoe UI Symbol" w:hAnsi="Segoe UI Symbol" w:cs="Segoe UI Symbol"/>
          <w:b/>
        </w:rPr>
        <w:t>I</w:t>
      </w:r>
      <w:r w:rsidRPr="00BA05DD">
        <w:rPr>
          <w:b/>
        </w:rPr>
        <w:t>ntegración de sistemas</w:t>
      </w:r>
      <w:r w:rsidRPr="00BA05DD">
        <w:t>: Compatibilidad y comunicación con los sistemas contables y administrativos</w:t>
      </w:r>
      <w:r>
        <w:t>.</w:t>
      </w:r>
    </w:p>
    <w:p w14:paraId="2CB9625B" w14:textId="2F0369E3" w:rsidR="00BA05DD" w:rsidRPr="00BA05DD" w:rsidRDefault="00BA05DD" w:rsidP="00BA05DD">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lastRenderedPageBreak/>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P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6B30FD32" w14:textId="464437B9"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w:t>
      </w:r>
      <w:r>
        <w:rPr>
          <w:rFonts w:eastAsia="Times New Roman"/>
        </w:rPr>
        <w:lastRenderedPageBreak/>
        <w:t>representa una solución integral para la optimización de la gestión de inventario, que permitirá a la organización mejorar su eficiencia operativa, reducir costos y mejorar la satisfacción del cliente.</w:t>
      </w:r>
      <w:bookmarkStart w:id="0" w:name="_GoBack"/>
      <w:bookmarkEnd w:id="0"/>
    </w:p>
    <w:p w14:paraId="6605F490" w14:textId="793DDD6E"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Descripción de los procesos de la solución:</w:t>
      </w:r>
    </w:p>
    <w:p w14:paraId="1C85EA46" w14:textId="77777777" w:rsidR="007F0A76" w:rsidRPr="007F0A76" w:rsidRDefault="007F0A76" w:rsidP="007F0A76">
      <w:pPr>
        <w:autoSpaceDE w:val="0"/>
        <w:autoSpaceDN w:val="0"/>
        <w:adjustRightInd w:val="0"/>
        <w:spacing w:after="240" w:line="240" w:lineRule="auto"/>
        <w:rPr>
          <w:rFonts w:eastAsiaTheme="minorHAnsi"/>
          <w:color w:val="000000"/>
          <w:lang w:eastAsia="en-US"/>
        </w:rPr>
      </w:pPr>
    </w:p>
    <w:sectPr w:rsidR="007F0A76"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BEA4B" w14:textId="77777777" w:rsidR="00704B2A" w:rsidRDefault="00704B2A" w:rsidP="00805684">
      <w:pPr>
        <w:spacing w:line="240" w:lineRule="auto"/>
      </w:pPr>
      <w:r>
        <w:separator/>
      </w:r>
    </w:p>
  </w:endnote>
  <w:endnote w:type="continuationSeparator" w:id="0">
    <w:p w14:paraId="15EBDEB2" w14:textId="77777777" w:rsidR="00704B2A" w:rsidRDefault="00704B2A"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678AE" w14:textId="77777777" w:rsidR="00704B2A" w:rsidRDefault="00704B2A" w:rsidP="00805684">
      <w:pPr>
        <w:spacing w:line="240" w:lineRule="auto"/>
      </w:pPr>
      <w:r>
        <w:separator/>
      </w:r>
    </w:p>
  </w:footnote>
  <w:footnote w:type="continuationSeparator" w:id="0">
    <w:p w14:paraId="63E40E35" w14:textId="77777777" w:rsidR="00704B2A" w:rsidRDefault="00704B2A"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3"/>
  </w:num>
  <w:num w:numId="2">
    <w:abstractNumId w:val="19"/>
  </w:num>
  <w:num w:numId="3">
    <w:abstractNumId w:val="23"/>
  </w:num>
  <w:num w:numId="4">
    <w:abstractNumId w:val="40"/>
  </w:num>
  <w:num w:numId="5">
    <w:abstractNumId w:val="11"/>
  </w:num>
  <w:num w:numId="6">
    <w:abstractNumId w:val="15"/>
  </w:num>
  <w:num w:numId="7">
    <w:abstractNumId w:val="7"/>
  </w:num>
  <w:num w:numId="8">
    <w:abstractNumId w:val="42"/>
  </w:num>
  <w:num w:numId="9">
    <w:abstractNumId w:val="26"/>
  </w:num>
  <w:num w:numId="10">
    <w:abstractNumId w:val="36"/>
  </w:num>
  <w:num w:numId="11">
    <w:abstractNumId w:val="29"/>
  </w:num>
  <w:num w:numId="12">
    <w:abstractNumId w:val="22"/>
  </w:num>
  <w:num w:numId="13">
    <w:abstractNumId w:val="21"/>
  </w:num>
  <w:num w:numId="14">
    <w:abstractNumId w:val="32"/>
  </w:num>
  <w:num w:numId="15">
    <w:abstractNumId w:val="12"/>
  </w:num>
  <w:num w:numId="16">
    <w:abstractNumId w:val="37"/>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39"/>
  </w:num>
  <w:num w:numId="24">
    <w:abstractNumId w:val="38"/>
  </w:num>
  <w:num w:numId="25">
    <w:abstractNumId w:val="20"/>
  </w:num>
  <w:num w:numId="26">
    <w:abstractNumId w:val="9"/>
  </w:num>
  <w:num w:numId="27">
    <w:abstractNumId w:val="17"/>
  </w:num>
  <w:num w:numId="28">
    <w:abstractNumId w:val="41"/>
  </w:num>
  <w:num w:numId="29">
    <w:abstractNumId w:val="44"/>
  </w:num>
  <w:num w:numId="30">
    <w:abstractNumId w:val="33"/>
  </w:num>
  <w:num w:numId="31">
    <w:abstractNumId w:val="3"/>
  </w:num>
  <w:num w:numId="32">
    <w:abstractNumId w:val="5"/>
  </w:num>
  <w:num w:numId="33">
    <w:abstractNumId w:val="0"/>
  </w:num>
  <w:num w:numId="34">
    <w:abstractNumId w:val="24"/>
  </w:num>
  <w:num w:numId="35">
    <w:abstractNumId w:val="35"/>
  </w:num>
  <w:num w:numId="36">
    <w:abstractNumId w:val="2"/>
  </w:num>
  <w:num w:numId="37">
    <w:abstractNumId w:val="1"/>
  </w:num>
  <w:num w:numId="38">
    <w:abstractNumId w:val="4"/>
  </w:num>
  <w:num w:numId="39">
    <w:abstractNumId w:val="6"/>
  </w:num>
  <w:num w:numId="40">
    <w:abstractNumId w:val="13"/>
  </w:num>
  <w:num w:numId="41">
    <w:abstractNumId w:val="34"/>
  </w:num>
  <w:num w:numId="42">
    <w:abstractNumId w:val="8"/>
  </w:num>
  <w:num w:numId="43">
    <w:abstractNumId w:val="31"/>
  </w:num>
  <w:num w:numId="44">
    <w:abstractNumId w:val="25"/>
  </w:num>
  <w:num w:numId="45">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35B12"/>
    <w:rsid w:val="000554A1"/>
    <w:rsid w:val="00072246"/>
    <w:rsid w:val="00082B32"/>
    <w:rsid w:val="00090082"/>
    <w:rsid w:val="000A1D13"/>
    <w:rsid w:val="000B1576"/>
    <w:rsid w:val="000C1A90"/>
    <w:rsid w:val="000C349F"/>
    <w:rsid w:val="000F15BE"/>
    <w:rsid w:val="00107EBD"/>
    <w:rsid w:val="00121873"/>
    <w:rsid w:val="001431A6"/>
    <w:rsid w:val="00144BE7"/>
    <w:rsid w:val="001469A4"/>
    <w:rsid w:val="0016060E"/>
    <w:rsid w:val="001636EA"/>
    <w:rsid w:val="00172B2F"/>
    <w:rsid w:val="001835D3"/>
    <w:rsid w:val="00193BD4"/>
    <w:rsid w:val="001A1226"/>
    <w:rsid w:val="001B525F"/>
    <w:rsid w:val="001D47BB"/>
    <w:rsid w:val="00203DA0"/>
    <w:rsid w:val="00210B68"/>
    <w:rsid w:val="00217E57"/>
    <w:rsid w:val="002267AF"/>
    <w:rsid w:val="002357B4"/>
    <w:rsid w:val="00245FA0"/>
    <w:rsid w:val="00262CC9"/>
    <w:rsid w:val="00283B76"/>
    <w:rsid w:val="0029699D"/>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41239F"/>
    <w:rsid w:val="00413FE2"/>
    <w:rsid w:val="004240E8"/>
    <w:rsid w:val="004342AD"/>
    <w:rsid w:val="004418E8"/>
    <w:rsid w:val="00447E1E"/>
    <w:rsid w:val="004560C0"/>
    <w:rsid w:val="00462EB2"/>
    <w:rsid w:val="0047569A"/>
    <w:rsid w:val="00483A53"/>
    <w:rsid w:val="004974D2"/>
    <w:rsid w:val="004B287F"/>
    <w:rsid w:val="004B3281"/>
    <w:rsid w:val="004B78EA"/>
    <w:rsid w:val="004C31FC"/>
    <w:rsid w:val="004C729B"/>
    <w:rsid w:val="005205B2"/>
    <w:rsid w:val="005476CB"/>
    <w:rsid w:val="00551BBD"/>
    <w:rsid w:val="00561322"/>
    <w:rsid w:val="00590D7F"/>
    <w:rsid w:val="00592E0B"/>
    <w:rsid w:val="005D55E4"/>
    <w:rsid w:val="005E15E2"/>
    <w:rsid w:val="005F5ED9"/>
    <w:rsid w:val="005F69FD"/>
    <w:rsid w:val="00602DDC"/>
    <w:rsid w:val="00603975"/>
    <w:rsid w:val="006360C9"/>
    <w:rsid w:val="00643CF7"/>
    <w:rsid w:val="006607BF"/>
    <w:rsid w:val="006C1B82"/>
    <w:rsid w:val="006C27E7"/>
    <w:rsid w:val="006C7AC4"/>
    <w:rsid w:val="006D3CCE"/>
    <w:rsid w:val="006D4345"/>
    <w:rsid w:val="006D4FEC"/>
    <w:rsid w:val="006E4328"/>
    <w:rsid w:val="006F5404"/>
    <w:rsid w:val="00704B2A"/>
    <w:rsid w:val="007142C4"/>
    <w:rsid w:val="00721439"/>
    <w:rsid w:val="007323E0"/>
    <w:rsid w:val="007408A1"/>
    <w:rsid w:val="00743573"/>
    <w:rsid w:val="00746875"/>
    <w:rsid w:val="00747F17"/>
    <w:rsid w:val="00750372"/>
    <w:rsid w:val="00763A22"/>
    <w:rsid w:val="007A0F8E"/>
    <w:rsid w:val="007B6459"/>
    <w:rsid w:val="007D2110"/>
    <w:rsid w:val="007D55E2"/>
    <w:rsid w:val="007E1055"/>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604D"/>
    <w:rsid w:val="008B5744"/>
    <w:rsid w:val="008D1C70"/>
    <w:rsid w:val="008D6FC6"/>
    <w:rsid w:val="008E46C4"/>
    <w:rsid w:val="008E696B"/>
    <w:rsid w:val="008F31C0"/>
    <w:rsid w:val="00903360"/>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A06A94"/>
    <w:rsid w:val="00A125EE"/>
    <w:rsid w:val="00A17519"/>
    <w:rsid w:val="00A31D12"/>
    <w:rsid w:val="00A329A0"/>
    <w:rsid w:val="00A44F0B"/>
    <w:rsid w:val="00A56617"/>
    <w:rsid w:val="00A648C5"/>
    <w:rsid w:val="00A7048B"/>
    <w:rsid w:val="00AC0369"/>
    <w:rsid w:val="00AC6F97"/>
    <w:rsid w:val="00AF3BE1"/>
    <w:rsid w:val="00B04ED9"/>
    <w:rsid w:val="00B05F8C"/>
    <w:rsid w:val="00B146E5"/>
    <w:rsid w:val="00B249DB"/>
    <w:rsid w:val="00B340FC"/>
    <w:rsid w:val="00B6387F"/>
    <w:rsid w:val="00B74BA3"/>
    <w:rsid w:val="00B800EC"/>
    <w:rsid w:val="00BA05DD"/>
    <w:rsid w:val="00BB1BDF"/>
    <w:rsid w:val="00BD7E33"/>
    <w:rsid w:val="00C01201"/>
    <w:rsid w:val="00C21C97"/>
    <w:rsid w:val="00C2382C"/>
    <w:rsid w:val="00C41A0A"/>
    <w:rsid w:val="00C80875"/>
    <w:rsid w:val="00CC7670"/>
    <w:rsid w:val="00CC7DE1"/>
    <w:rsid w:val="00CE66BE"/>
    <w:rsid w:val="00D11060"/>
    <w:rsid w:val="00D5516C"/>
    <w:rsid w:val="00D755A8"/>
    <w:rsid w:val="00D80B24"/>
    <w:rsid w:val="00DC39D6"/>
    <w:rsid w:val="00E02435"/>
    <w:rsid w:val="00E0749A"/>
    <w:rsid w:val="00E26D37"/>
    <w:rsid w:val="00E66420"/>
    <w:rsid w:val="00EA13E2"/>
    <w:rsid w:val="00ED505F"/>
    <w:rsid w:val="00EE7655"/>
    <w:rsid w:val="00EF4071"/>
    <w:rsid w:val="00F10A34"/>
    <w:rsid w:val="00F37DEA"/>
    <w:rsid w:val="00F53C70"/>
    <w:rsid w:val="00F62F67"/>
    <w:rsid w:val="00F7162A"/>
    <w:rsid w:val="00FA760A"/>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9590A6AB-62BD-4EEC-8C5D-C40E9BA2BB24}" type="presOf" srcId="{6553DEC0-3DCC-4BD4-9F1C-8BA17C08C2DE}" destId="{6AD584BA-2C95-4D02-BEA4-058E01AF2F0C}" srcOrd="0" destOrd="0" presId="urn:microsoft.com/office/officeart/2005/8/layout/orgChart1"/>
    <dgm:cxn modelId="{F0306591-C9D0-4CE6-93D2-870AFCF4EB69}" type="presOf" srcId="{7F7230A2-3396-4683-A6DF-C71E1D9E5B18}" destId="{7DDC643F-E06D-40EC-9344-B51803A1803D}" srcOrd="0" destOrd="0" presId="urn:microsoft.com/office/officeart/2005/8/layout/orgChart1"/>
    <dgm:cxn modelId="{CE29A397-EACB-46DB-B673-E382CCFDFD99}" type="presOf" srcId="{462D8612-A56A-4595-8765-11B94EF1AC61}" destId="{3D368A32-913B-427A-8CF8-E620EED613BD}" srcOrd="0" destOrd="0" presId="urn:microsoft.com/office/officeart/2005/8/layout/orgChart1"/>
    <dgm:cxn modelId="{EAB146F9-5E42-4FC9-865D-DC270348141A}" type="presOf" srcId="{7F7230A2-3396-4683-A6DF-C71E1D9E5B18}" destId="{94C810D3-B0E2-4AA2-BA2F-A25FC16EA14B}" srcOrd="1"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46D7D010-57C3-423E-B522-E0868B9E5D50}" type="presOf" srcId="{B2F7CC46-093E-45D9-B697-30D8260819F9}" destId="{857C20A3-B9C0-4D0D-BEE0-767D17842868}" srcOrd="0" destOrd="0" presId="urn:microsoft.com/office/officeart/2005/8/layout/orgChart1"/>
    <dgm:cxn modelId="{ADFF03CA-3F32-48A9-A902-A6116CAC8787}" type="presOf" srcId="{12A40CD8-CDC4-4F70-B4DE-B372896AEA48}" destId="{ABE5BD0B-01A7-46EA-8707-A747E0217E79}" srcOrd="1"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56380E08-ED78-4772-A1E2-5E3E6532943D}" type="presOf" srcId="{462D8612-A56A-4595-8765-11B94EF1AC61}" destId="{F456C751-4A03-4264-84E5-1FD12AFD325B}" srcOrd="1" destOrd="0" presId="urn:microsoft.com/office/officeart/2005/8/layout/orgChart1"/>
    <dgm:cxn modelId="{0C265960-EF10-4982-AF8C-90C5E13D6A05}" type="presOf" srcId="{E1B9F82B-30D3-4881-8372-7254FBA40F72}" destId="{5CD1A5A4-7693-41C2-A6B7-803B8FC67845}" srcOrd="1" destOrd="0" presId="urn:microsoft.com/office/officeart/2005/8/layout/orgChart1"/>
    <dgm:cxn modelId="{664E4A93-3F76-40AD-80F4-8749E29F39FF}" type="presOf" srcId="{66A4C852-A33E-447E-AFC1-B997A331FAA0}" destId="{3B089322-2D47-4561-911A-5A0209B554BA}" srcOrd="1" destOrd="0" presId="urn:microsoft.com/office/officeart/2005/8/layout/orgChart1"/>
    <dgm:cxn modelId="{95944B4F-86F9-4581-A6C7-5C52EF37D849}" type="presOf" srcId="{96992DE8-175F-4B31-BAFC-00AF582F430D}" destId="{AB77F4A3-02D3-4425-A0DD-1BC1494A0B54}" srcOrd="0" destOrd="0" presId="urn:microsoft.com/office/officeart/2005/8/layout/orgChart1"/>
    <dgm:cxn modelId="{78CF9928-35D1-4B34-A0AE-3AB580E5073C}" type="presOf" srcId="{5342B284-AC17-4195-BD32-258D27A7CA4F}" destId="{7BAB25FE-9168-4864-B7E3-F5011E5AB6C6}"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47CFF108-B375-4B08-B8EA-4DADA3C62994}" type="presOf" srcId="{167DC0BB-2AAD-4563-B134-4D1C7B8D98F8}" destId="{161A51D5-41CE-466F-B2AD-80158E6D20CA}" srcOrd="1" destOrd="0" presId="urn:microsoft.com/office/officeart/2005/8/layout/orgChart1"/>
    <dgm:cxn modelId="{B091993D-79EE-41A0-935C-44E6337AAF9D}" type="presOf" srcId="{AEE4FA32-0867-4FA9-BC07-FC2F55A47A8E}" destId="{B94A2D99-A0FF-48C2-8DD0-B8102FC433CE}" srcOrd="0" destOrd="0" presId="urn:microsoft.com/office/officeart/2005/8/layout/orgChart1"/>
    <dgm:cxn modelId="{FEE62765-2831-4DA8-A0E1-8B3B5B3D74BF}" type="presOf" srcId="{E1BDBF2F-3634-4656-904C-206EEE555229}" destId="{D2AD1033-A22F-489A-AC49-99C60DFF1FCF}" srcOrd="0" destOrd="0" presId="urn:microsoft.com/office/officeart/2005/8/layout/orgChart1"/>
    <dgm:cxn modelId="{5476068E-D226-4F53-9287-BAFCB2414C29}" type="presOf" srcId="{038E619A-54FD-4970-A2E7-DF4B97755F0C}" destId="{E5B84551-7129-4210-B679-419417607360}"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80E5B2C2-B1CB-4032-91BD-90B8861906B6}" type="presOf" srcId="{B5D3D691-9196-4446-AD89-214173505153}" destId="{B2DE0353-8AD3-4458-8715-50A9ACA8241F}" srcOrd="0" destOrd="0" presId="urn:microsoft.com/office/officeart/2005/8/layout/orgChart1"/>
    <dgm:cxn modelId="{D147576D-BD43-4908-9994-A373C2B2A481}" type="presOf" srcId="{167DC0BB-2AAD-4563-B134-4D1C7B8D98F8}" destId="{4BE5F9AB-2E99-4D1D-84B5-7BF50F9C01FE}" srcOrd="0" destOrd="0" presId="urn:microsoft.com/office/officeart/2005/8/layout/orgChart1"/>
    <dgm:cxn modelId="{ABA43482-9032-4B2E-A9C0-C4C341E58F57}" type="presOf" srcId="{3A42B764-8F95-438A-BAD2-F78EDF072481}" destId="{006613D3-FD45-4364-8AF3-2F7D5338E246}" srcOrd="0" destOrd="0" presId="urn:microsoft.com/office/officeart/2005/8/layout/orgChart1"/>
    <dgm:cxn modelId="{10C155CE-3631-4308-AA64-BFB66A17C494}" type="presOf" srcId="{E1BDBF2F-3634-4656-904C-206EEE555229}" destId="{2F1D0E75-F733-4FFA-8651-70D5267CEBF0}" srcOrd="1"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6A49C6D7-07B5-40B6-8BAE-65BFA9BFE016}" type="presOf" srcId="{B7D19582-8085-4D3E-9836-CB3ADFEEF863}" destId="{7B8CBA25-104A-4848-8BA4-A4ACA60BE79F}" srcOrd="0" destOrd="0" presId="urn:microsoft.com/office/officeart/2005/8/layout/orgChart1"/>
    <dgm:cxn modelId="{3F009D1D-5104-4054-A4FD-BDCC6FFCEC71}" type="presOf" srcId="{12A40CD8-CDC4-4F70-B4DE-B372896AEA48}" destId="{BE3F75C9-43B6-4D99-92E4-8748BA8C43FE}" srcOrd="0" destOrd="0" presId="urn:microsoft.com/office/officeart/2005/8/layout/orgChart1"/>
    <dgm:cxn modelId="{612FCF5B-3917-454C-B350-11867C428A4F}" type="presOf" srcId="{66A4C852-A33E-447E-AFC1-B997A331FAA0}" destId="{191663C0-004E-49F7-B2A1-415ADD159E12}" srcOrd="0" destOrd="0" presId="urn:microsoft.com/office/officeart/2005/8/layout/orgChart1"/>
    <dgm:cxn modelId="{92B7C398-88FF-461A-A430-6DBB4A1115EB}" type="presOf" srcId="{E1B9F82B-30D3-4881-8372-7254FBA40F72}" destId="{0A761CEB-FC20-4B27-A015-F621FEA59D33}" srcOrd="0" destOrd="0" presId="urn:microsoft.com/office/officeart/2005/8/layout/orgChart1"/>
    <dgm:cxn modelId="{39B761A0-439A-4E43-93A2-C883E502E9B9}" type="presOf" srcId="{B2F7CC46-093E-45D9-B697-30D8260819F9}" destId="{D3FA7DB3-0A2C-4AE5-9512-23B3108C2778}" srcOrd="1"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33A46BF6-CBF8-4B45-9AD9-38A54471B868}" srcId="{B2F7CC46-093E-45D9-B697-30D8260819F9}" destId="{167DC0BB-2AAD-4563-B134-4D1C7B8D98F8}" srcOrd="0" destOrd="0" parTransId="{96992DE8-175F-4B31-BAFC-00AF582F430D}" sibTransId="{5FD1D3EF-9285-43E5-BD7A-AA7EA695F876}"/>
    <dgm:cxn modelId="{BB31773D-DFB9-42A9-84E4-AFFEA1A465CF}" srcId="{B2F7CC46-093E-45D9-B697-30D8260819F9}" destId="{12A40CD8-CDC4-4F70-B4DE-B372896AEA48}" srcOrd="6" destOrd="0" parTransId="{3A42B764-8F95-438A-BAD2-F78EDF072481}" sibTransId="{F5D94083-5141-4842-AF88-4ACD5C97FCB3}"/>
    <dgm:cxn modelId="{15D0DF0F-5756-4DD6-A8D6-4542B816FC5A}" type="presParOf" srcId="{7BAB25FE-9168-4864-B7E3-F5011E5AB6C6}" destId="{49F85D23-513B-4E13-9C12-EDFD4DA4B2F6}" srcOrd="0" destOrd="0" presId="urn:microsoft.com/office/officeart/2005/8/layout/orgChart1"/>
    <dgm:cxn modelId="{85BB9993-B8FE-408E-B763-4E70B26FC62F}" type="presParOf" srcId="{49F85D23-513B-4E13-9C12-EDFD4DA4B2F6}" destId="{059D8CD8-8D42-4643-BA14-08861090F24F}" srcOrd="0" destOrd="0" presId="urn:microsoft.com/office/officeart/2005/8/layout/orgChart1"/>
    <dgm:cxn modelId="{024E0AAA-2FAF-46FE-BFE0-452587B25B00}" type="presParOf" srcId="{059D8CD8-8D42-4643-BA14-08861090F24F}" destId="{857C20A3-B9C0-4D0D-BEE0-767D17842868}" srcOrd="0" destOrd="0" presId="urn:microsoft.com/office/officeart/2005/8/layout/orgChart1"/>
    <dgm:cxn modelId="{260645D9-5164-47F1-BE46-D53F9EB2280C}" type="presParOf" srcId="{059D8CD8-8D42-4643-BA14-08861090F24F}" destId="{D3FA7DB3-0A2C-4AE5-9512-23B3108C2778}" srcOrd="1" destOrd="0" presId="urn:microsoft.com/office/officeart/2005/8/layout/orgChart1"/>
    <dgm:cxn modelId="{D0C55962-D486-4060-933A-F67356FBEE9E}" type="presParOf" srcId="{49F85D23-513B-4E13-9C12-EDFD4DA4B2F6}" destId="{C14F4BC1-2714-41D7-A1AB-11D13C49B4FA}" srcOrd="1" destOrd="0" presId="urn:microsoft.com/office/officeart/2005/8/layout/orgChart1"/>
    <dgm:cxn modelId="{B7B74664-AC3B-49F6-AED9-D8F94789B06D}" type="presParOf" srcId="{C14F4BC1-2714-41D7-A1AB-11D13C49B4FA}" destId="{6AD584BA-2C95-4D02-BEA4-058E01AF2F0C}" srcOrd="0" destOrd="0" presId="urn:microsoft.com/office/officeart/2005/8/layout/orgChart1"/>
    <dgm:cxn modelId="{0F784676-9400-4198-B277-B8CAF1E24DAF}" type="presParOf" srcId="{C14F4BC1-2714-41D7-A1AB-11D13C49B4FA}" destId="{8984F8EE-C384-42D4-8F74-9D20FF731180}" srcOrd="1" destOrd="0" presId="urn:microsoft.com/office/officeart/2005/8/layout/orgChart1"/>
    <dgm:cxn modelId="{43FB71BB-4FFC-44A3-ABA6-6D0A230546D2}" type="presParOf" srcId="{8984F8EE-C384-42D4-8F74-9D20FF731180}" destId="{840455E4-F5DA-480A-9469-00C9AFF14BAA}" srcOrd="0" destOrd="0" presId="urn:microsoft.com/office/officeart/2005/8/layout/orgChart1"/>
    <dgm:cxn modelId="{3C318F45-C450-416E-B0A1-A0C19DC15CEF}" type="presParOf" srcId="{840455E4-F5DA-480A-9469-00C9AFF14BAA}" destId="{D2AD1033-A22F-489A-AC49-99C60DFF1FCF}" srcOrd="0" destOrd="0" presId="urn:microsoft.com/office/officeart/2005/8/layout/orgChart1"/>
    <dgm:cxn modelId="{A361559C-C5B4-4273-BED9-352592A8E099}" type="presParOf" srcId="{840455E4-F5DA-480A-9469-00C9AFF14BAA}" destId="{2F1D0E75-F733-4FFA-8651-70D5267CEBF0}" srcOrd="1" destOrd="0" presId="urn:microsoft.com/office/officeart/2005/8/layout/orgChart1"/>
    <dgm:cxn modelId="{4358DB71-C047-47E8-8BD2-69A7D142A716}" type="presParOf" srcId="{8984F8EE-C384-42D4-8F74-9D20FF731180}" destId="{A560DF2A-31A6-4DAD-AEDD-276B179DB352}" srcOrd="1" destOrd="0" presId="urn:microsoft.com/office/officeart/2005/8/layout/orgChart1"/>
    <dgm:cxn modelId="{4F2B8A30-46B4-4760-85C2-60CCBA8B8C29}" type="presParOf" srcId="{8984F8EE-C384-42D4-8F74-9D20FF731180}" destId="{9EBC3067-2EB4-4B07-9F85-7C105032D923}" srcOrd="2" destOrd="0" presId="urn:microsoft.com/office/officeart/2005/8/layout/orgChart1"/>
    <dgm:cxn modelId="{425BDE62-C161-4349-A3B5-AF6799DCD55A}" type="presParOf" srcId="{C14F4BC1-2714-41D7-A1AB-11D13C49B4FA}" destId="{E5B84551-7129-4210-B679-419417607360}" srcOrd="2" destOrd="0" presId="urn:microsoft.com/office/officeart/2005/8/layout/orgChart1"/>
    <dgm:cxn modelId="{DF86895D-AF79-4BCA-A1BD-5AA572616384}" type="presParOf" srcId="{C14F4BC1-2714-41D7-A1AB-11D13C49B4FA}" destId="{23F690E2-36A6-4E82-87A2-8AC24D3E3B70}" srcOrd="3" destOrd="0" presId="urn:microsoft.com/office/officeart/2005/8/layout/orgChart1"/>
    <dgm:cxn modelId="{F28EB61F-8BC0-4E58-B0C1-1B7202CED1FF}" type="presParOf" srcId="{23F690E2-36A6-4E82-87A2-8AC24D3E3B70}" destId="{D8EA8EE5-62AA-4C7A-BB75-B8A9ECC60DC1}" srcOrd="0" destOrd="0" presId="urn:microsoft.com/office/officeart/2005/8/layout/orgChart1"/>
    <dgm:cxn modelId="{56E730EF-1730-4AD8-848D-98F744B9623C}" type="presParOf" srcId="{D8EA8EE5-62AA-4C7A-BB75-B8A9ECC60DC1}" destId="{7DDC643F-E06D-40EC-9344-B51803A1803D}" srcOrd="0" destOrd="0" presId="urn:microsoft.com/office/officeart/2005/8/layout/orgChart1"/>
    <dgm:cxn modelId="{C2954208-A3A1-4568-B47C-43BA4B76184D}" type="presParOf" srcId="{D8EA8EE5-62AA-4C7A-BB75-B8A9ECC60DC1}" destId="{94C810D3-B0E2-4AA2-BA2F-A25FC16EA14B}" srcOrd="1" destOrd="0" presId="urn:microsoft.com/office/officeart/2005/8/layout/orgChart1"/>
    <dgm:cxn modelId="{35DF3A4F-D62A-4B81-BD83-E7EF7D8E3A28}" type="presParOf" srcId="{23F690E2-36A6-4E82-87A2-8AC24D3E3B70}" destId="{B2F6BA33-0D3B-42CC-A452-54E1353B6644}" srcOrd="1" destOrd="0" presId="urn:microsoft.com/office/officeart/2005/8/layout/orgChart1"/>
    <dgm:cxn modelId="{35D10BE7-4E8D-4BF0-A7A7-233B9A6185B5}" type="presParOf" srcId="{23F690E2-36A6-4E82-87A2-8AC24D3E3B70}" destId="{988A209E-DBCA-4364-8038-CDE98052BEE9}" srcOrd="2" destOrd="0" presId="urn:microsoft.com/office/officeart/2005/8/layout/orgChart1"/>
    <dgm:cxn modelId="{E3168B72-16EC-4EAE-A531-188BC4C27763}" type="presParOf" srcId="{C14F4BC1-2714-41D7-A1AB-11D13C49B4FA}" destId="{B2DE0353-8AD3-4458-8715-50A9ACA8241F}" srcOrd="4" destOrd="0" presId="urn:microsoft.com/office/officeart/2005/8/layout/orgChart1"/>
    <dgm:cxn modelId="{9EC364B0-8DC9-4DD8-B0E6-4193E0B4EF1D}" type="presParOf" srcId="{C14F4BC1-2714-41D7-A1AB-11D13C49B4FA}" destId="{68097F4A-D1FE-4130-B72B-C28D5948C84B}" srcOrd="5" destOrd="0" presId="urn:microsoft.com/office/officeart/2005/8/layout/orgChart1"/>
    <dgm:cxn modelId="{DDB5BE8A-A111-4035-8ED0-CABDF53C39D6}" type="presParOf" srcId="{68097F4A-D1FE-4130-B72B-C28D5948C84B}" destId="{55D4D824-DAA4-4DB8-9EC4-35CC5293C13C}" srcOrd="0" destOrd="0" presId="urn:microsoft.com/office/officeart/2005/8/layout/orgChart1"/>
    <dgm:cxn modelId="{6D31F6ED-FFAE-4617-ADE6-5B007FD7CFD2}" type="presParOf" srcId="{55D4D824-DAA4-4DB8-9EC4-35CC5293C13C}" destId="{0A761CEB-FC20-4B27-A015-F621FEA59D33}" srcOrd="0" destOrd="0" presId="urn:microsoft.com/office/officeart/2005/8/layout/orgChart1"/>
    <dgm:cxn modelId="{C5346A10-E048-4AC1-9D36-871D8C68D604}" type="presParOf" srcId="{55D4D824-DAA4-4DB8-9EC4-35CC5293C13C}" destId="{5CD1A5A4-7693-41C2-A6B7-803B8FC67845}" srcOrd="1" destOrd="0" presId="urn:microsoft.com/office/officeart/2005/8/layout/orgChart1"/>
    <dgm:cxn modelId="{9C7AB000-22FA-45D1-9985-CB03E0EA40E9}" type="presParOf" srcId="{68097F4A-D1FE-4130-B72B-C28D5948C84B}" destId="{58DA421B-F27D-4987-9907-00391C571131}" srcOrd="1" destOrd="0" presId="urn:microsoft.com/office/officeart/2005/8/layout/orgChart1"/>
    <dgm:cxn modelId="{6D8331BF-606B-4C20-9D27-5A74D6D864B0}" type="presParOf" srcId="{68097F4A-D1FE-4130-B72B-C28D5948C84B}" destId="{451CA0B8-1819-4360-A2D6-F18D7D1E9314}" srcOrd="2" destOrd="0" presId="urn:microsoft.com/office/officeart/2005/8/layout/orgChart1"/>
    <dgm:cxn modelId="{2462510C-6A75-45BC-92B2-8B9BDDFF22B8}" type="presParOf" srcId="{C14F4BC1-2714-41D7-A1AB-11D13C49B4FA}" destId="{7B8CBA25-104A-4848-8BA4-A4ACA60BE79F}" srcOrd="6" destOrd="0" presId="urn:microsoft.com/office/officeart/2005/8/layout/orgChart1"/>
    <dgm:cxn modelId="{E4A59D31-B070-472F-9EAC-EDB6BE71CD0D}" type="presParOf" srcId="{C14F4BC1-2714-41D7-A1AB-11D13C49B4FA}" destId="{02E698A8-F445-480E-8521-052717D98F79}" srcOrd="7" destOrd="0" presId="urn:microsoft.com/office/officeart/2005/8/layout/orgChart1"/>
    <dgm:cxn modelId="{EBB1D22E-76A2-41E0-8181-2F5E0225CBFB}" type="presParOf" srcId="{02E698A8-F445-480E-8521-052717D98F79}" destId="{7E2F0E89-6FF9-4134-A0C8-45F6A403BADB}" srcOrd="0" destOrd="0" presId="urn:microsoft.com/office/officeart/2005/8/layout/orgChart1"/>
    <dgm:cxn modelId="{9C85351E-6EDF-4780-9B99-B28563453CC9}" type="presParOf" srcId="{7E2F0E89-6FF9-4134-A0C8-45F6A403BADB}" destId="{191663C0-004E-49F7-B2A1-415ADD159E12}" srcOrd="0" destOrd="0" presId="urn:microsoft.com/office/officeart/2005/8/layout/orgChart1"/>
    <dgm:cxn modelId="{AA9C48D6-FD94-4377-8F9F-74811299FD8F}" type="presParOf" srcId="{7E2F0E89-6FF9-4134-A0C8-45F6A403BADB}" destId="{3B089322-2D47-4561-911A-5A0209B554BA}" srcOrd="1" destOrd="0" presId="urn:microsoft.com/office/officeart/2005/8/layout/orgChart1"/>
    <dgm:cxn modelId="{A8DFC696-0FBD-4DB7-9EE2-A7E7850AD19D}" type="presParOf" srcId="{02E698A8-F445-480E-8521-052717D98F79}" destId="{51F5D88F-637E-4881-A198-D34824F44C4B}" srcOrd="1" destOrd="0" presId="urn:microsoft.com/office/officeart/2005/8/layout/orgChart1"/>
    <dgm:cxn modelId="{8F8529BB-B8E8-40B1-8239-1505803E0E19}" type="presParOf" srcId="{02E698A8-F445-480E-8521-052717D98F79}" destId="{A2AF8CA9-1B39-4011-A85F-CDA8B5AB181E}" srcOrd="2" destOrd="0" presId="urn:microsoft.com/office/officeart/2005/8/layout/orgChart1"/>
    <dgm:cxn modelId="{E072F5CA-79BC-4990-984B-DB906B807FD1}" type="presParOf" srcId="{C14F4BC1-2714-41D7-A1AB-11D13C49B4FA}" destId="{B94A2D99-A0FF-48C2-8DD0-B8102FC433CE}" srcOrd="8" destOrd="0" presId="urn:microsoft.com/office/officeart/2005/8/layout/orgChart1"/>
    <dgm:cxn modelId="{082A26A6-1F52-4ED4-9BCC-E97D624A8C31}" type="presParOf" srcId="{C14F4BC1-2714-41D7-A1AB-11D13C49B4FA}" destId="{BEE61EE7-C99E-41ED-809D-F4B98891F6DC}" srcOrd="9" destOrd="0" presId="urn:microsoft.com/office/officeart/2005/8/layout/orgChart1"/>
    <dgm:cxn modelId="{09D77CD1-F92D-440B-9D3A-C399A3087BBB}" type="presParOf" srcId="{BEE61EE7-C99E-41ED-809D-F4B98891F6DC}" destId="{B471E42B-AA47-461E-BCDA-69CD03DFDB53}" srcOrd="0" destOrd="0" presId="urn:microsoft.com/office/officeart/2005/8/layout/orgChart1"/>
    <dgm:cxn modelId="{C0D7148D-6780-483A-9EDD-B7EB5BAF5057}" type="presParOf" srcId="{B471E42B-AA47-461E-BCDA-69CD03DFDB53}" destId="{3D368A32-913B-427A-8CF8-E620EED613BD}" srcOrd="0" destOrd="0" presId="urn:microsoft.com/office/officeart/2005/8/layout/orgChart1"/>
    <dgm:cxn modelId="{538F5FE0-B4E8-4965-BE84-1CD6E7EB230D}" type="presParOf" srcId="{B471E42B-AA47-461E-BCDA-69CD03DFDB53}" destId="{F456C751-4A03-4264-84E5-1FD12AFD325B}" srcOrd="1" destOrd="0" presId="urn:microsoft.com/office/officeart/2005/8/layout/orgChart1"/>
    <dgm:cxn modelId="{99DCEE42-8CF5-44AC-BFFB-F47426356247}" type="presParOf" srcId="{BEE61EE7-C99E-41ED-809D-F4B98891F6DC}" destId="{D32E9889-3667-42B4-943A-E5A84B4C4AEF}" srcOrd="1" destOrd="0" presId="urn:microsoft.com/office/officeart/2005/8/layout/orgChart1"/>
    <dgm:cxn modelId="{7016CAAC-E96B-4197-BD6D-42B7078039C9}" type="presParOf" srcId="{BEE61EE7-C99E-41ED-809D-F4B98891F6DC}" destId="{7CD60349-16E4-4E9C-A255-E718BD1478E1}" srcOrd="2" destOrd="0" presId="urn:microsoft.com/office/officeart/2005/8/layout/orgChart1"/>
    <dgm:cxn modelId="{515D9BAE-6878-4767-B104-DBE6A5568E41}" type="presParOf" srcId="{C14F4BC1-2714-41D7-A1AB-11D13C49B4FA}" destId="{006613D3-FD45-4364-8AF3-2F7D5338E246}" srcOrd="10" destOrd="0" presId="urn:microsoft.com/office/officeart/2005/8/layout/orgChart1"/>
    <dgm:cxn modelId="{6B234868-7508-4E9B-8B4E-D497FFC3B9E4}" type="presParOf" srcId="{C14F4BC1-2714-41D7-A1AB-11D13C49B4FA}" destId="{B3D369C3-95FF-477A-BC4C-5856509BA67C}" srcOrd="11" destOrd="0" presId="urn:microsoft.com/office/officeart/2005/8/layout/orgChart1"/>
    <dgm:cxn modelId="{48983B9F-E1FD-4919-8892-CE9967C8B9F1}" type="presParOf" srcId="{B3D369C3-95FF-477A-BC4C-5856509BA67C}" destId="{FAC4D256-1EE3-4329-9841-BD102B8E9977}" srcOrd="0" destOrd="0" presId="urn:microsoft.com/office/officeart/2005/8/layout/orgChart1"/>
    <dgm:cxn modelId="{D009B775-9DA9-4725-AA70-C6A422557F6B}" type="presParOf" srcId="{FAC4D256-1EE3-4329-9841-BD102B8E9977}" destId="{BE3F75C9-43B6-4D99-92E4-8748BA8C43FE}" srcOrd="0" destOrd="0" presId="urn:microsoft.com/office/officeart/2005/8/layout/orgChart1"/>
    <dgm:cxn modelId="{11AEC6AA-49A8-4442-B70D-4F8745431CB1}" type="presParOf" srcId="{FAC4D256-1EE3-4329-9841-BD102B8E9977}" destId="{ABE5BD0B-01A7-46EA-8707-A747E0217E79}" srcOrd="1" destOrd="0" presId="urn:microsoft.com/office/officeart/2005/8/layout/orgChart1"/>
    <dgm:cxn modelId="{D4B9542E-7552-4911-AAA5-3407CB87A5E9}" type="presParOf" srcId="{B3D369C3-95FF-477A-BC4C-5856509BA67C}" destId="{62C0D810-15E4-4F6D-BDA4-6B2541303754}" srcOrd="1" destOrd="0" presId="urn:microsoft.com/office/officeart/2005/8/layout/orgChart1"/>
    <dgm:cxn modelId="{459B0660-1354-4B92-ABA3-372C2DAF2A1B}" type="presParOf" srcId="{B3D369C3-95FF-477A-BC4C-5856509BA67C}" destId="{69BA7F5B-D9CF-46CC-9E15-CC5EF7AA33B0}" srcOrd="2" destOrd="0" presId="urn:microsoft.com/office/officeart/2005/8/layout/orgChart1"/>
    <dgm:cxn modelId="{F44A3AAE-3E72-4A8B-9A3B-710D58FEA5E0}" type="presParOf" srcId="{49F85D23-513B-4E13-9C12-EDFD4DA4B2F6}" destId="{28495A8A-62AF-47CF-866D-52BCC2F02266}" srcOrd="2" destOrd="0" presId="urn:microsoft.com/office/officeart/2005/8/layout/orgChart1"/>
    <dgm:cxn modelId="{79A3D801-3E18-4A44-87AF-638826241854}" type="presParOf" srcId="{28495A8A-62AF-47CF-866D-52BCC2F02266}" destId="{AB77F4A3-02D3-4425-A0DD-1BC1494A0B54}" srcOrd="0" destOrd="0" presId="urn:microsoft.com/office/officeart/2005/8/layout/orgChart1"/>
    <dgm:cxn modelId="{56A3126D-87C1-43B9-B354-E8256BAC6E42}" type="presParOf" srcId="{28495A8A-62AF-47CF-866D-52BCC2F02266}" destId="{8D830038-C427-4A9D-A771-43BDD241E58E}" srcOrd="1" destOrd="0" presId="urn:microsoft.com/office/officeart/2005/8/layout/orgChart1"/>
    <dgm:cxn modelId="{05B1D718-C5F6-43E0-89DF-A7B48A87D31D}" type="presParOf" srcId="{8D830038-C427-4A9D-A771-43BDD241E58E}" destId="{6F32725E-4745-4401-9B68-4C50BDF34D88}" srcOrd="0" destOrd="0" presId="urn:microsoft.com/office/officeart/2005/8/layout/orgChart1"/>
    <dgm:cxn modelId="{F0DCB0C6-47E1-456E-9492-7A80FD1B833D}" type="presParOf" srcId="{6F32725E-4745-4401-9B68-4C50BDF34D88}" destId="{4BE5F9AB-2E99-4D1D-84B5-7BF50F9C01FE}" srcOrd="0" destOrd="0" presId="urn:microsoft.com/office/officeart/2005/8/layout/orgChart1"/>
    <dgm:cxn modelId="{56FB7811-6E62-4943-A00F-0E1F06E5A39D}" type="presParOf" srcId="{6F32725E-4745-4401-9B68-4C50BDF34D88}" destId="{161A51D5-41CE-466F-B2AD-80158E6D20CA}" srcOrd="1" destOrd="0" presId="urn:microsoft.com/office/officeart/2005/8/layout/orgChart1"/>
    <dgm:cxn modelId="{5AA63E56-ECA8-46C6-9CB6-132F0A6071FA}" type="presParOf" srcId="{8D830038-C427-4A9D-A771-43BDD241E58E}" destId="{378AB7DB-51A0-4C43-B955-8B64F172EC8B}" srcOrd="1" destOrd="0" presId="urn:microsoft.com/office/officeart/2005/8/layout/orgChart1"/>
    <dgm:cxn modelId="{5526C52A-4EAA-47FF-B3EB-0D06BCA857F5}"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0372583-A176-48E9-89B1-2F4BBCEEC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3931</TotalTime>
  <Pages>41</Pages>
  <Words>8602</Words>
  <Characters>47313</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53</cp:revision>
  <dcterms:created xsi:type="dcterms:W3CDTF">2025-03-30T16:51:00Z</dcterms:created>
  <dcterms:modified xsi:type="dcterms:W3CDTF">2025-05-13T03:50:00Z</dcterms:modified>
</cp:coreProperties>
</file>