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公司简介</w:t>
      </w:r>
    </w:p>
    <w:p>
      <w:pPr>
        <w:pStyle w:val="醒目引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四川好万家智能科技有限公司</w:t>
      </w:r>
    </w:p>
    <w:p>
      <w:pPr>
        <w:pStyle w:val="正文 2"/>
        <w:bidi w:val="0"/>
      </w:pPr>
    </w:p>
    <w:p>
      <w:pPr>
        <w:pStyle w:val="自由格式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after="0" w:line="360" w:lineRule="auto"/>
        <w:ind w:left="0" w:right="860" w:firstLine="42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四川好万家智能科技有限公司成立于</w:t>
      </w:r>
      <w:r>
        <w:rPr>
          <w:rFonts w:ascii="宋体" w:hAnsi="宋体"/>
          <w:color w:val="000000"/>
          <w:sz w:val="24"/>
          <w:szCs w:val="24"/>
          <w:rtl w:val="0"/>
        </w:rPr>
        <w:t>2017</w:t>
      </w:r>
      <w:r>
        <w:rPr>
          <w:rFonts w:eastAsia="宋体" w:hint="eastAsia"/>
          <w:color w:val="000000"/>
          <w:sz w:val="24"/>
          <w:szCs w:val="24"/>
          <w:rtl w:val="0"/>
        </w:rPr>
        <w:t>年</w:t>
      </w:r>
      <w:r>
        <w:rPr>
          <w:rFonts w:ascii="宋体" w:hAnsi="宋体"/>
          <w:color w:val="000000"/>
          <w:sz w:val="24"/>
          <w:szCs w:val="24"/>
          <w:rtl w:val="0"/>
        </w:rPr>
        <w:t>6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月，是一家专注于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自动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售货机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产品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运营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及自动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售货机智能云系统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开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5524500</wp:posOffset>
                </wp:positionH>
                <wp:positionV relativeFrom="page">
                  <wp:posOffset>7391400</wp:posOffset>
                </wp:positionV>
                <wp:extent cx="1270000" cy="24130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2413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说明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</w:rPr>
                              <w:t>创新，就是任何工作都要追求最佳水平。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35.0pt;margin-top:582.0pt;width:100.0pt;height:19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说明"/>
                        <w:bidi w:val="0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</w:rPr>
                        <w:t>创新，就是任何工作都要追求最佳水平。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drawing>
          <wp:anchor distT="165100" distB="165100" distL="165100" distR="165100" simplePos="0" relativeHeight="251660288" behindDoc="0" locked="0" layoutInCell="1" allowOverlap="1">
            <wp:simplePos x="0" y="0"/>
            <wp:positionH relativeFrom="page">
              <wp:posOffset>762000</wp:posOffset>
            </wp:positionH>
            <wp:positionV relativeFrom="page">
              <wp:posOffset>2717800</wp:posOffset>
            </wp:positionV>
            <wp:extent cx="6032500" cy="4493180"/>
            <wp:effectExtent l="0" t="0" r="0" b="0"/>
            <wp:wrapTopAndBottom distT="165100" distB="1651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96150177_801x534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7958" t="619" r="309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44931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发的高科技企业，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我公司位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于风景秀丽的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成都高新产业区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。公司技术和研发实力雄厚，是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第一批自动售货机云平台运营者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，被政府认定为</w:t>
      </w:r>
      <w:r>
        <w:rPr>
          <w:rFonts w:ascii="宋体" w:hAnsi="宋体" w:hint="default"/>
          <w:color w:val="000000"/>
          <w:sz w:val="24"/>
          <w:szCs w:val="24"/>
          <w:rtl w:val="0"/>
        </w:rPr>
        <w:t>“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高新技术企业</w:t>
      </w:r>
      <w:r>
        <w:rPr>
          <w:rFonts w:ascii="宋体" w:hAnsi="宋体" w:hint="default"/>
          <w:color w:val="000000"/>
          <w:sz w:val="24"/>
          <w:szCs w:val="24"/>
          <w:rtl w:val="0"/>
        </w:rPr>
        <w:t>”</w:t>
      </w:r>
      <w:r>
        <w:rPr>
          <w:rFonts w:eastAsia="宋体" w:hint="eastAsia"/>
          <w:color w:val="000000"/>
          <w:sz w:val="24"/>
          <w:szCs w:val="24"/>
          <w:rtl w:val="0"/>
        </w:rPr>
        <w:t>。</w:t>
      </w:r>
    </w:p>
    <w:p>
      <w:pPr>
        <w:pStyle w:val="自由格式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after="0" w:line="360" w:lineRule="auto"/>
        <w:ind w:left="0" w:right="86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公司自成立以来，始终坚持以人才为本、诚信立业的经营原则，荟萃业界精英，将国外先进的信息技术、管理方法及企业经验与国内企业的具体实际相结合，为企业提供全方位的解决方案，帮助企业提高管理水平和生产能力，使企业在激烈的市场竞争中始终保持竞争力，实现企业快速、稳定地发展。</w:t>
      </w:r>
    </w:p>
    <w:p>
      <w:pPr>
        <w:pStyle w:val="自由格式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after="0" w:line="360" w:lineRule="auto"/>
        <w:ind w:left="0" w:right="860" w:firstLine="0"/>
        <w:jc w:val="left"/>
        <w:rPr>
          <w:rFonts w:ascii="宋体" w:cs="宋体" w:hAnsi="宋体" w:eastAsia="宋体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公司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深入国内自动售货机运营市场，专注于小区客户产品的经营，打造集销售产品、智能售货机终端接入（含广告、安装</w:t>
      </w:r>
      <w:r>
        <w:rPr>
          <w:rFonts w:ascii="宋体" w:hAnsi="宋体"/>
          <w:color w:val="000000"/>
          <w:sz w:val="24"/>
          <w:szCs w:val="24"/>
          <w:rtl w:val="0"/>
          <w:lang w:val="zh-CN" w:eastAsia="zh-CN"/>
        </w:rPr>
        <w:t>APP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软件接入），大数据信息提供，电商网站与</w:t>
      </w:r>
      <w:r>
        <w:rPr>
          <w:rFonts w:ascii="宋体" w:hAnsi="宋体"/>
          <w:color w:val="000000"/>
          <w:sz w:val="24"/>
          <w:szCs w:val="24"/>
          <w:rtl w:val="0"/>
          <w:lang w:val="zh-CN" w:eastAsia="zh-CN"/>
        </w:rPr>
        <w:t>APP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运营等多功能为一体的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智能售货机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互联网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云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系统。</w:t>
      </w:r>
    </w:p>
    <w:p>
      <w:pPr>
        <w:pStyle w:val="自由格式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after="0" w:line="360" w:lineRule="auto"/>
        <w:ind w:left="0" w:right="860" w:firstLine="0"/>
        <w:jc w:val="left"/>
        <w:rPr>
          <w:rFonts w:ascii="宋体" w:cs="宋体" w:hAnsi="宋体" w:eastAsia="宋体"/>
          <w:color w:val="000000"/>
          <w:sz w:val="24"/>
          <w:szCs w:val="24"/>
          <w:rtl w:val="0"/>
        </w:rPr>
      </w:pPr>
      <w:r>
        <w:rPr>
          <w:rFonts w:ascii="宋体" w:cs="宋体" w:hAnsi="宋体" w:eastAsia="宋体"/>
          <w:color w:val="000000"/>
          <w:sz w:val="24"/>
          <w:szCs w:val="24"/>
          <w:rtl w:val="0"/>
        </w:rPr>
        <w:tab/>
        <w:t>公司是互联网</w:t>
      </w:r>
      <w:r>
        <w:rPr>
          <w:rFonts w:ascii="宋体" w:hAnsi="宋体"/>
          <w:color w:val="000000"/>
          <w:sz w:val="24"/>
          <w:szCs w:val="24"/>
          <w:rtl w:val="0"/>
          <w:lang w:val="zh-CN" w:eastAsia="zh-CN"/>
        </w:rPr>
        <w:t>OTO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模式的倡导与实践者，始终坚持</w:t>
      </w:r>
      <w:r>
        <w:rPr>
          <w:rFonts w:ascii="宋体" w:hAnsi="宋体" w:hint="default"/>
          <w:color w:val="000000"/>
          <w:sz w:val="24"/>
          <w:szCs w:val="24"/>
          <w:rtl w:val="0"/>
          <w:lang w:val="zh-CN" w:eastAsia="zh-CN"/>
        </w:rPr>
        <w:t>“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先有线下服务，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才有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线上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产品</w:t>
      </w:r>
      <w:r>
        <w:rPr>
          <w:rFonts w:ascii="宋体" w:hAnsi="宋体" w:hint="default"/>
          <w:color w:val="000000"/>
          <w:sz w:val="24"/>
          <w:szCs w:val="24"/>
          <w:rtl w:val="0"/>
        </w:rPr>
        <w:t>”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的发展理念；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始终坚持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服务好每一个客户，并将每个客户做实做大的服务理念。</w:t>
      </w:r>
    </w:p>
    <w:p>
      <w:pPr>
        <w:pStyle w:val="自由格式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after="0" w:line="360" w:lineRule="auto"/>
        <w:ind w:left="0" w:right="86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宋体" w:cs="宋体" w:hAnsi="宋体" w:eastAsia="宋体"/>
          <w:color w:val="000000"/>
          <w:sz w:val="24"/>
          <w:szCs w:val="24"/>
          <w:rtl w:val="0"/>
        </w:rPr>
        <w:tab/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为了开发出真正适合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国内市场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需求的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智能售货机互联网云系统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，特聘请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业内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专家</w:t>
      </w:r>
      <w:r>
        <w:rPr>
          <w:rFonts w:ascii="Calibri" w:hAnsi="Calibri"/>
          <w:color w:val="000000"/>
          <w:sz w:val="24"/>
          <w:szCs w:val="24"/>
          <w:rtl w:val="0"/>
        </w:rPr>
        <w:t>(</w:t>
      </w:r>
      <w:r>
        <w:rPr>
          <w:rFonts w:eastAsia="宋体" w:hint="eastAsia"/>
          <w:color w:val="000000"/>
          <w:sz w:val="24"/>
          <w:szCs w:val="24"/>
          <w:rtl w:val="0"/>
        </w:rPr>
        <w:t>中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南大学教授</w:t>
      </w:r>
      <w:r>
        <w:rPr>
          <w:rFonts w:ascii="Calibri" w:hAnsi="Calibri"/>
          <w:color w:val="000000"/>
          <w:sz w:val="24"/>
          <w:szCs w:val="24"/>
          <w:rtl w:val="0"/>
        </w:rPr>
        <w:t>)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作为咨询顾问，紧密跟踪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智能云系统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方面的技术和行业发展特点，不</w:t>
      </w:r>
      <w:r>
        <w:drawing>
          <wp:anchor distT="127000" distB="127000" distL="127000" distR="127000" simplePos="0" relativeHeight="251661312" behindDoc="0" locked="0" layoutInCell="1" allowOverlap="1">
            <wp:simplePos x="0" y="0"/>
            <wp:positionH relativeFrom="page">
              <wp:posOffset>3937000</wp:posOffset>
            </wp:positionH>
            <wp:positionV relativeFrom="page">
              <wp:posOffset>825500</wp:posOffset>
            </wp:positionV>
            <wp:extent cx="2857500" cy="4495800"/>
            <wp:effectExtent l="0" t="0" r="0" b="0"/>
            <wp:wrapThrough wrapText="bothSides" distL="127000" distR="1270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147205684_360x532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1250" t="0" r="5000" b="18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49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5551678</wp:posOffset>
                </wp:positionH>
                <wp:positionV relativeFrom="page">
                  <wp:posOffset>5458967</wp:posOffset>
                </wp:positionV>
                <wp:extent cx="1231900" cy="43434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4343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说明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</w:rPr>
                              <w:t>百尺竿头，更进一步。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37.1pt;margin-top:429.8pt;width:97.0pt;height:342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说明"/>
                        <w:bidi w:val="0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</w:rPr>
                        <w:t>百尺竿头，更进一步。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126503</wp:posOffset>
                </wp:positionH>
                <wp:positionV relativeFrom="page">
                  <wp:posOffset>6209284</wp:posOffset>
                </wp:positionV>
                <wp:extent cx="2447418" cy="1034193"/>
                <wp:effectExtent l="0" t="0" r="0" b="0"/>
                <wp:wrapSquare wrapText="bothSides" distL="0" distR="0" distT="0" distB="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418" cy="103419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醒目引文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</w:rPr>
                              <w:t>生存下来的第一个想法是做好，而不是做大。</w:t>
                            </w:r>
                          </w:p>
                          <w:p>
                            <w:pPr>
                              <w:pStyle w:val="引文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—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</w:rPr>
                              <w:t>马云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0.0pt;margin-top:488.9pt;width:192.7pt;height:81.4pt;z-index:25166336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醒目引文"/>
                        <w:bidi w:val="0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</w:rPr>
                        <w:t>生存下来的第一个想法是做好，而不是做大。</w:t>
                      </w:r>
                    </w:p>
                    <w:p>
                      <w:pPr>
                        <w:pStyle w:val="引文"/>
                        <w:bidi w:val="0"/>
                      </w:pPr>
                      <w:r>
                        <w:rPr>
                          <w:rtl w:val="0"/>
                        </w:rPr>
                        <w:t>—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</w:rPr>
                        <w:t>马云</w:t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断优化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智能售货机互联网云系统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，令用户得到最优质的服务和最好的投资回报。</w:t>
      </w:r>
    </w:p>
    <w:p>
      <w:pPr>
        <w:pStyle w:val="自由格式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after="0" w:line="360" w:lineRule="auto"/>
        <w:ind w:left="0" w:right="86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  <w:tab/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最好的产品、最好的服务、最好的信誉，四川好万家智能科技有限公司已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陆续在成都及周边城市搭建起了互联网云平台</w:t>
      </w:r>
      <w:r>
        <w:rPr>
          <w:rFonts w:eastAsia="宋体" w:hint="eastAsia"/>
          <w:color w:val="000000"/>
          <w:sz w:val="24"/>
          <w:szCs w:val="24"/>
          <w:rtl w:val="0"/>
        </w:rPr>
        <w:t>，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并</w:t>
      </w:r>
      <w:r>
        <w:rPr>
          <w:rFonts w:eastAsia="宋体" w:hint="eastAsia"/>
          <w:color w:val="000000"/>
          <w:sz w:val="24"/>
          <w:szCs w:val="24"/>
          <w:rtl w:val="0"/>
        </w:rPr>
        <w:t>完成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了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配套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的物流</w:t>
      </w:r>
      <w:r>
        <w:rPr>
          <w:rFonts w:eastAsia="宋体" w:hint="eastAsia"/>
          <w:color w:val="000000"/>
          <w:sz w:val="24"/>
          <w:szCs w:val="24"/>
          <w:rtl w:val="0"/>
          <w:lang w:val="zh-CN" w:eastAsia="zh-CN"/>
        </w:rPr>
        <w:t>服务，也愿意成为您最可信赖的长期合作伙伴。</w:t>
      </w: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r>
    </w:p>
    <w:sectPr>
      <w:headerReference w:type="default" r:id="rId6"/>
      <w:footerReference w:type="default" r:id="rId7"/>
      <w:pgSz w:w="11900" w:h="16840" w:orient="portrait"/>
      <w:pgMar w:top="1300" w:right="1200" w:bottom="1400" w:left="1200" w:header="720" w:footer="80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750"/>
        <w:tab w:val="right" w:pos="9500"/>
        <w:tab w:val="clear" w:pos="9020"/>
      </w:tabs>
      <w:jc w:val="left"/>
    </w:pP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四川好万家智能科技有限公司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750"/>
        <w:tab w:val="right" w:pos="9500"/>
        <w:tab w:val="clear" w:pos="9020"/>
      </w:tabs>
      <w:jc w:val="left"/>
    </w:pP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"http://www.haowanfamily.com"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zh-CN" w:eastAsia="zh-CN"/>
      </w:rPr>
      <w:t>www.haowanfamily.com</w:t>
    </w:r>
    <w:r>
      <w:rPr/>
      <w:fldChar w:fldCharType="end" w:fldLock="0"/>
    </w:r>
    <w:r>
      <w:tab/>
      <w:tab/>
    </w:r>
    <w:r>
      <w:rPr/>
      <w:fldChar w:fldCharType="begin" w:fldLock="0"/>
    </w:r>
    <w:r>
      <w:instrText xml:space="preserve"> DATE \@ "y年M月d日" </w:instrText>
    </w:r>
    <w:r>
      <w:rPr/>
      <w:fldChar w:fldCharType="separate" w:fldLock="0"/>
    </w:r>
    <w:r>
      <w:rPr>
        <w:rFonts w:eastAsia="Helvetica Neue" w:hint="eastAsia"/>
        <w:rtl w:val="0"/>
      </w:rPr>
      <w:t>2017年6月28日</w:t>
    </w:r>
    <w:r>
      <w:rPr/>
      <w:fldChar w:fldCharType="end" w:fldLock="1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16"/>
      <w:szCs w:val="16"/>
      <w:u w:val="none"/>
      <w:vertAlign w:val="baseline"/>
    </w:rPr>
  </w:style>
  <w:style w:type="paragraph" w:styleId="大标题">
    <w:name w:val="大标题"/>
    <w:next w:val="大标题"/>
    <w:pPr>
      <w:keepNext w:val="1"/>
      <w:keepLines w:val="0"/>
      <w:pageBreakBefore w:val="0"/>
      <w:widowControl w:val="1"/>
      <w:pBdr>
        <w:top w:val="single" w:color="88847e" w:sz="4" w:space="0" w:shadow="0" w:frame="0"/>
        <w:left w:val="nil"/>
        <w:bottom w:val="single" w:color="88847e" w:sz="4" w:space="0" w:shadow="0" w:frame="0"/>
        <w:right w:val="nil"/>
      </w:pBdr>
      <w:shd w:val="clear" w:color="auto" w:fill="auto"/>
      <w:suppressAutoHyphens w:val="0"/>
      <w:bidi w:val="0"/>
      <w:spacing w:before="0" w:after="440" w:line="216" w:lineRule="auto"/>
      <w:ind w:left="0" w:right="0" w:firstLine="0"/>
      <w:jc w:val="center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1"/>
      <w:strike w:val="0"/>
      <w:dstrike w:val="0"/>
      <w:outline w:val="0"/>
      <w:color w:val="434343"/>
      <w:spacing w:val="0"/>
      <w:kern w:val="0"/>
      <w:position w:val="0"/>
      <w:sz w:val="124"/>
      <w:szCs w:val="124"/>
      <w:u w:val="none"/>
      <w:vertAlign w:val="baseline"/>
      <w:lang w:val="zh-CN" w:eastAsia="zh-CN"/>
    </w:rPr>
  </w:style>
  <w:style w:type="paragraph" w:styleId="醒目引文">
    <w:name w:val="醒目引文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160" w:right="0" w:hanging="160"/>
      <w:jc w:val="left"/>
      <w:outlineLvl w:val="0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ff6a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zh-CN" w:eastAsia="zh-CN"/>
    </w:rPr>
  </w:style>
  <w:style w:type="paragraph" w:styleId="自由格式">
    <w:name w:val="自由格式"/>
    <w:next w:val="自由格式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312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说明">
    <w:name w:val="说明"/>
    <w:next w:val="说明"/>
    <w:pPr>
      <w:keepNext w:val="0"/>
      <w:keepLines w:val="0"/>
      <w:pageBreakBefore w:val="0"/>
      <w:widowControl w:val="1"/>
      <w:pBdr>
        <w:top w:val="nil"/>
        <w:left w:val="nil"/>
        <w:bottom w:val="single" w:color="919191" w:sz="4" w:space="0" w:shadow="0" w:frame="0"/>
        <w:right w:val="nil"/>
      </w:pBdr>
      <w:shd w:val="clear" w:color="auto" w:fill="auto"/>
      <w:suppressAutoHyphens w:val="0"/>
      <w:bidi w:val="0"/>
      <w:spacing w:before="180" w:after="18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18"/>
      <w:szCs w:val="18"/>
      <w:u w:val="none"/>
      <w:vertAlign w:val="baseline"/>
      <w:lang w:val="zh-CN" w:eastAsia="zh-CN"/>
    </w:rPr>
  </w:style>
  <w:style w:type="paragraph" w:styleId="引文">
    <w:name w:val="引文"/>
    <w:next w:val="引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1"/>
      <w:iCs w:val="1"/>
      <w:caps w:val="1"/>
      <w:strike w:val="0"/>
      <w:dstrike w:val="0"/>
      <w:outline w:val="0"/>
      <w:color w:val="89847e"/>
      <w:spacing w:val="0"/>
      <w:kern w:val="0"/>
      <w:position w:val="0"/>
      <w:sz w:val="18"/>
      <w:szCs w:val="18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1_Simple_Newsletter_Sans">
  <a:themeElements>
    <a:clrScheme name="01_Simple_Newsletter_Sans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Simple_Newsletter_Sans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1_Simple_Newsletter_San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