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i w:val="0"/>
        </w:rPr>
        <w:t>Spack Build and Publication Procedural SOP</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5" w:type="dxa"/>
          <w:bottom w:w="95" w:type="dxa"/>
          <w:left w:w="115" w:type="dxa"/>
          <w:right w:w="115" w:type="dxa"/>
        </w:tblCellMar>
      </w:tblPr>
      <w:tblGrid>
        <w:gridCol w:w="2333"/>
        <w:gridCol w:w="7819"/>
      </w:tblGrid>
      <w:tr>
        <w:trPr>
          <w:cantSplit/>
          <w:tblHeader/>
        </w:trPr>
        <w:tc>
          <w:tcPr>
            <w:tcW w:type="dxa" w:w="2333"/>
            <w:vAlign w:val="center"/>
            <w:shd w:fill="DCE6F1"/>
          </w:tcPr>
          <w:p>
            <w:pPr>
              <w:keepNext w:val="0"/>
              <w:widowControl w:val="0"/>
              <w:spacing w:after="0" w:before="0" w:line="250" w:lineRule="auto"/>
            </w:pPr>
            <w:r>
              <w:rPr>
                <w:b/>
                <w:i w:val="0"/>
                <w:sz w:val="20"/>
              </w:rPr>
              <w:t>Document control</w:t>
            </w:r>
          </w:p>
        </w:tc>
        <w:tc>
          <w:tcPr>
            <w:tcW w:type="dxa" w:w="7819"/>
            <w:vAlign w:val="center"/>
            <w:shd w:fill="DCE6F1"/>
          </w:tcPr>
          <w:p>
            <w:pPr>
              <w:keepNext w:val="0"/>
              <w:widowControl w:val="0"/>
              <w:spacing w:after="0" w:before="0" w:line="250" w:lineRule="auto"/>
            </w:pPr>
            <w:r>
              <w:rPr>
                <w:b/>
                <w:i w:val="0"/>
                <w:sz w:val="20"/>
              </w:rPr>
              <w:t>Value</w:t>
            </w:r>
          </w:p>
        </w:tc>
      </w:tr>
      <w:tr>
        <w:trPr>
          <w:cantSplit/>
        </w:trPr>
        <w:tc>
          <w:tcPr>
            <w:tcW w:type="dxa" w:w="2333"/>
            <w:vAlign w:val="center"/>
          </w:tcPr>
          <w:p>
            <w:pPr>
              <w:keepNext w:val="0"/>
              <w:widowControl w:val="0"/>
              <w:spacing w:after="0" w:before="0" w:line="250" w:lineRule="auto"/>
            </w:pPr>
            <w:r>
              <w:rPr>
                <w:b w:val="0"/>
                <w:i w:val="0"/>
                <w:sz w:val="20"/>
              </w:rPr>
              <w:t>Status</w:t>
            </w:r>
          </w:p>
        </w:tc>
        <w:tc>
          <w:tcPr>
            <w:tcW w:type="dxa" w:w="7819"/>
            <w:vAlign w:val="center"/>
          </w:tcPr>
          <w:p>
            <w:pPr>
              <w:keepNext w:val="0"/>
              <w:widowControl w:val="0"/>
              <w:spacing w:after="0" w:before="0" w:line="250" w:lineRule="auto"/>
            </w:pPr>
            <w:r>
              <w:rPr>
                <w:b w:val="0"/>
                <w:i w:val="0"/>
                <w:sz w:val="20"/>
              </w:rPr>
              <w:t>Working draft</w:t>
            </w:r>
          </w:p>
        </w:tc>
      </w:tr>
      <w:tr>
        <w:trPr>
          <w:cantSplit/>
        </w:trPr>
        <w:tc>
          <w:tcPr>
            <w:tcW w:type="dxa" w:w="2333"/>
            <w:vAlign w:val="center"/>
          </w:tcPr>
          <w:p>
            <w:pPr>
              <w:keepNext w:val="0"/>
              <w:widowControl w:val="0"/>
              <w:spacing w:after="0" w:before="0" w:line="250" w:lineRule="auto"/>
            </w:pPr>
            <w:r>
              <w:rPr>
                <w:b w:val="0"/>
                <w:i w:val="0"/>
                <w:sz w:val="20"/>
              </w:rPr>
              <w:t>Review revision</w:t>
            </w:r>
          </w:p>
        </w:tc>
        <w:tc>
          <w:tcPr>
            <w:tcW w:type="dxa" w:w="7819"/>
            <w:vAlign w:val="center"/>
          </w:tcPr>
          <w:p>
            <w:pPr>
              <w:keepNext w:val="0"/>
              <w:widowControl w:val="0"/>
              <w:spacing w:after="0" w:before="0" w:line="250" w:lineRule="auto"/>
            </w:pPr>
            <w:r>
              <w:rPr>
                <w:b w:val="0"/>
                <w:i w:val="0"/>
                <w:sz w:val="20"/>
              </w:rPr>
              <w:t>2026-09-09</w:t>
            </w:r>
          </w:p>
        </w:tc>
      </w:tr>
      <w:tr>
        <w:trPr>
          <w:cantSplit/>
        </w:trPr>
        <w:tc>
          <w:tcPr>
            <w:tcW w:type="dxa" w:w="2333"/>
            <w:vAlign w:val="center"/>
          </w:tcPr>
          <w:p>
            <w:pPr>
              <w:keepNext w:val="0"/>
              <w:widowControl w:val="0"/>
              <w:spacing w:after="0" w:before="0" w:line="250" w:lineRule="auto"/>
            </w:pPr>
            <w:r>
              <w:rPr>
                <w:b w:val="0"/>
                <w:i w:val="0"/>
                <w:sz w:val="20"/>
              </w:rPr>
              <w:t>Intended operator</w:t>
            </w:r>
          </w:p>
        </w:tc>
        <w:tc>
          <w:tcPr>
            <w:tcW w:type="dxa" w:w="7819"/>
            <w:vAlign w:val="center"/>
          </w:tcPr>
          <w:p>
            <w:pPr>
              <w:keepNext w:val="0"/>
              <w:widowControl w:val="0"/>
              <w:spacing w:after="0" w:before="0" w:line="250" w:lineRule="auto"/>
            </w:pPr>
            <w:r>
              <w:rPr>
                <w:b w:val="0"/>
                <w:i w:val="0"/>
                <w:sz w:val="20"/>
              </w:rPr>
              <w:t>Package manager familiar with Spack concepts but not site-specific commands</w:t>
            </w:r>
          </w:p>
        </w:tc>
      </w:tr>
      <w:tr>
        <w:trPr>
          <w:cantSplit/>
        </w:trPr>
        <w:tc>
          <w:tcPr>
            <w:tcW w:type="dxa" w:w="2333"/>
            <w:vAlign w:val="center"/>
          </w:tcPr>
          <w:p>
            <w:pPr>
              <w:keepNext w:val="0"/>
              <w:widowControl w:val="0"/>
              <w:spacing w:after="0" w:before="0" w:line="250" w:lineRule="auto"/>
            </w:pPr>
            <w:r>
              <w:rPr>
                <w:b w:val="0"/>
                <w:i w:val="0"/>
                <w:sz w:val="20"/>
              </w:rPr>
              <w:t>Procedure scope</w:t>
            </w:r>
          </w:p>
        </w:tc>
        <w:tc>
          <w:tcPr>
            <w:tcW w:type="dxa" w:w="7819"/>
            <w:vAlign w:val="center"/>
          </w:tcPr>
          <w:p>
            <w:pPr>
              <w:keepNext w:val="0"/>
              <w:widowControl w:val="0"/>
              <w:spacing w:after="0" w:before="0" w:line="250" w:lineRule="auto"/>
            </w:pPr>
            <w:r>
              <w:rPr>
                <w:b w:val="0"/>
                <w:i w:val="0"/>
                <w:sz w:val="20"/>
              </w:rPr>
              <w:t>Standard procedures for runtime verification, environment definition, review, mirrors and transfer, build, validation, publication, and retention</w:t>
            </w:r>
          </w:p>
        </w:tc>
      </w:tr>
      <w:tr>
        <w:trPr>
          <w:cantSplit/>
        </w:trPr>
        <w:tc>
          <w:tcPr>
            <w:tcW w:type="dxa" w:w="2333"/>
            <w:vAlign w:val="center"/>
          </w:tcPr>
          <w:p>
            <w:pPr>
              <w:keepNext w:val="0"/>
              <w:widowControl w:val="0"/>
              <w:spacing w:after="0" w:before="0" w:line="250" w:lineRule="auto"/>
            </w:pPr>
            <w:r>
              <w:rPr>
                <w:b w:val="0"/>
                <w:i w:val="0"/>
                <w:sz w:val="20"/>
              </w:rPr>
              <w:t>Command baseline</w:t>
            </w:r>
          </w:p>
        </w:tc>
        <w:tc>
          <w:tcPr>
            <w:tcW w:type="dxa" w:w="7819"/>
            <w:vAlign w:val="center"/>
          </w:tcPr>
          <w:p>
            <w:pPr>
              <w:keepNext w:val="0"/>
              <w:widowControl w:val="0"/>
              <w:spacing w:after="0" w:before="0" w:line="250" w:lineRule="auto"/>
            </w:pPr>
            <w:r>
              <w:rPr>
                <w:b w:val="0"/>
                <w:i w:val="0"/>
                <w:sz w:val="20"/>
              </w:rPr>
              <w:t>Spack 1.2.2; revalidate commands before adopting another version</w:t>
            </w:r>
          </w:p>
        </w:tc>
      </w:tr>
    </w:tbl>
    <w:p>
      <w:pPr>
        <w:spacing w:after="0" w:before="0" w:line="80" w:lineRule="exact"/>
      </w:pPr>
      <w:r>
        <w:rPr>
          <w:sz w:val="4"/>
        </w:rPr>
      </w:r>
    </w:p>
    <w:p>
      <w:pPr>
        <w:pStyle w:val="Heading1"/>
      </w:pPr>
      <w:r>
        <w:rPr>
          <w:b w:val="0"/>
          <w:i w:val="0"/>
        </w:rPr>
        <w:t>1. Purpose</w:t>
      </w:r>
    </w:p>
    <w:p>
      <w:pPr/>
      <w:r>
        <w:rPr>
          <w:b w:val="0"/>
          <w:i w:val="0"/>
        </w:rPr>
        <w:t>This SOP defines the standard process for a package manager to build and publish software with Spack on a supported system. The package manager supplies the package intent. The site-supplied static platform catalog supplies reviewed compiler, MPI, target, and external-package configuration.</w:t>
      </w:r>
    </w:p>
    <w:p>
      <w:pPr/>
      <w:r>
        <w:rPr>
          <w:b w:val="0"/>
          <w:i w:val="0"/>
        </w:rPr>
        <w:t>This document provides the complete common procedure for sustained operation. The operating record in Section 3 supplies the actual system paths, approved configuration, toolchain names, Unix groups, scheduler details, security requirements, acceptance criteria, retention periods, and support contacts. Team-specific policy may supplement those values and requirements. The procedure uses native Spack configuration and commands and does not depend on a particular workspace preparation or orchestration tool.</w:t>
      </w:r>
    </w:p>
    <w:p>
      <w:pPr/>
      <w:r>
        <w:rPr>
          <w:b w:val="0"/>
          <w:i w:val="0"/>
        </w:rPr>
        <w:t>The required sequence is:</w:t>
      </w:r>
    </w:p>
    <w:p>
      <w:pPr>
        <w:keepLines/>
        <w:widowControl/>
        <w:spacing w:before="40" w:after="160" w:line="245" w:lineRule="auto"/>
        <w:ind w:left="115" w:right="43"/>
      </w:pPr>
      <w:r>
        <w:rPr>
          <w:rFonts w:ascii="Courier New" w:hAnsi="Courier New"/>
          <w:b w:val="0"/>
          <w:i w:val="0"/>
          <w:sz w:val="18"/>
        </w:rPr>
        <w:t>select reviewed platform configuration</w:t>
        <w:br/>
        <w:t xml:space="preserve">  -&gt; define the Spack environment</w:t>
        <w:br/>
        <w:t xml:space="preserve">  -&gt; concretize and review the lockfile</w:t>
        <w:br/>
        <w:t xml:space="preserve">  -&gt; admit sources and prepare approved mirrors</w:t>
        <w:br/>
        <w:t xml:space="preserve">  -&gt; transfer and verify the bundle when the destination cannot obtain all required inputs directly</w:t>
        <w:br/>
        <w:t xml:space="preserve">  -&gt; build and test on the target system</w:t>
        <w:br/>
        <w:t xml:space="preserve">  -&gt; obtain independent review and publish the approved artifacts</w:t>
        <w:br/>
        <w:t xml:space="preserve">  -&gt; retain the source, lockfile, and validation record</w:t>
      </w:r>
    </w:p>
    <w:p>
      <w:pPr/>
      <w:r>
        <w:rPr>
          <w:b w:val="0"/>
          <w:i w:val="0"/>
        </w:rPr>
        <w:t>Every environment must use an explicit supported toolchain. A successful build is not sufficient for publication. Runtime and module tests must also pass.</w:t>
      </w:r>
    </w:p>
    <w:p>
      <w:pPr>
        <w:pStyle w:val="Heading2"/>
      </w:pPr>
      <w:r>
        <w:rPr>
          <w:b w:val="0"/>
          <w:i w:val="0"/>
        </w:rPr>
        <w:t>1.1 Procedure use</w:t>
      </w:r>
    </w:p>
    <w:p>
      <w:pPr/>
      <w:r>
        <w:rPr>
          <w:b w:val="0"/>
          <w:i w:val="0"/>
        </w:rPr>
        <w:t>Complete the applicable sections in order, following the producer/destination branch order in Section 9.2.1 for transfers. Each section defines a control point. Do not continue past a failed control point. A skipped branch must be recorded as not applicable with a reason; it is not a passed test.</w:t>
      </w:r>
    </w:p>
    <w:p>
      <w:pPr>
        <w:pStyle w:val="ListParagraph"/>
        <w:numPr>
          <w:ilvl w:val="0"/>
          <w:numId w:val="10"/>
        </w:numPr>
        <w:ind w:left="360"/>
      </w:pPr>
      <w:r>
        <w:rPr>
          <w:b w:val="0"/>
          <w:i w:val="0"/>
        </w:rPr>
        <w:t>Complete the operating record in Section 3.</w:t>
      </w:r>
    </w:p>
    <w:p>
      <w:pPr>
        <w:pStyle w:val="ListParagraph"/>
        <w:numPr>
          <w:ilvl w:val="0"/>
          <w:numId w:val="10"/>
        </w:numPr>
        <w:ind w:left="360"/>
      </w:pPr>
      <w:r>
        <w:rPr>
          <w:b w:val="0"/>
          <w:i w:val="0"/>
        </w:rPr>
        <w:t>Start the approved Spack runtime and complete preflight.</w:t>
      </w:r>
    </w:p>
    <w:p>
      <w:pPr>
        <w:pStyle w:val="ListParagraph"/>
        <w:numPr>
          <w:ilvl w:val="0"/>
          <w:numId w:val="10"/>
        </w:numPr>
        <w:ind w:left="360"/>
      </w:pPr>
      <w:r>
        <w:rPr>
          <w:b w:val="0"/>
          <w:i w:val="0"/>
        </w:rPr>
        <w:t>Select one released catalog and its documented scopes.</w:t>
      </w:r>
    </w:p>
    <w:p>
      <w:pPr>
        <w:pStyle w:val="ListParagraph"/>
        <w:numPr>
          <w:ilvl w:val="0"/>
          <w:numId w:val="10"/>
        </w:numPr>
        <w:ind w:left="360"/>
      </w:pPr>
      <w:r>
        <w:rPr>
          <w:b w:val="0"/>
          <w:i w:val="0"/>
        </w:rPr>
        <w:t>Define and review the environment source.</w:t>
      </w:r>
    </w:p>
    <w:p>
      <w:pPr>
        <w:pStyle w:val="ListParagraph"/>
        <w:numPr>
          <w:ilvl w:val="0"/>
          <w:numId w:val="10"/>
        </w:numPr>
        <w:ind w:left="360"/>
      </w:pPr>
      <w:r>
        <w:rPr>
          <w:b w:val="0"/>
          <w:i w:val="0"/>
        </w:rPr>
        <w:t xml:space="preserve">Concretize and review </w:t>
      </w:r>
      <w:r>
        <w:rPr>
          <w:rFonts w:ascii="Courier New" w:hAnsi="Courier New"/>
          <w:b w:val="0"/>
          <w:i w:val="0"/>
          <w:sz w:val="18"/>
        </w:rPr>
        <w:t>spack.lock</w:t>
      </w:r>
      <w:r>
        <w:rPr>
          <w:b w:val="0"/>
          <w:i w:val="0"/>
        </w:rPr>
        <w:t>.</w:t>
      </w:r>
    </w:p>
    <w:p>
      <w:pPr>
        <w:pStyle w:val="ListParagraph"/>
        <w:numPr>
          <w:ilvl w:val="0"/>
          <w:numId w:val="10"/>
        </w:numPr>
        <w:ind w:left="360"/>
      </w:pPr>
      <w:r>
        <w:rPr>
          <w:b w:val="0"/>
          <w:i w:val="0"/>
        </w:rPr>
        <w:t>Create source mirrors; use the transfer branch when needed.</w:t>
      </w:r>
    </w:p>
    <w:p>
      <w:pPr>
        <w:pStyle w:val="ListParagraph"/>
        <w:numPr>
          <w:ilvl w:val="0"/>
          <w:numId w:val="10"/>
        </w:numPr>
        <w:ind w:left="360"/>
      </w:pPr>
      <w:r>
        <w:rPr>
          <w:b w:val="0"/>
          <w:i w:val="0"/>
        </w:rPr>
        <w:t>Build or install the candidate and test on the destination node types.</w:t>
      </w:r>
    </w:p>
    <w:p>
      <w:pPr>
        <w:pStyle w:val="ListParagraph"/>
        <w:numPr>
          <w:ilvl w:val="0"/>
          <w:numId w:val="10"/>
        </w:numPr>
        <w:ind w:left="360"/>
      </w:pPr>
      <w:r>
        <w:rPr>
          <w:b w:val="0"/>
          <w:i w:val="0"/>
        </w:rPr>
        <w:t>Obtain the second-person review and publish only accepted concrete hashes.</w:t>
      </w:r>
    </w:p>
    <w:p>
      <w:pPr>
        <w:pStyle w:val="ListParagraph"/>
        <w:numPr>
          <w:ilvl w:val="0"/>
          <w:numId w:val="10"/>
        </w:numPr>
        <w:ind w:left="360"/>
      </w:pPr>
      <w:r>
        <w:rPr>
          <w:b w:val="0"/>
          <w:i w:val="0"/>
        </w:rPr>
        <w:t>Retain the source, lockfile, evidence, and approval record.</w:t>
      </w:r>
    </w:p>
    <w:p>
      <w:pPr/>
      <w:r>
        <w:rPr>
          <w:b w:val="0"/>
          <w:i w:val="0"/>
        </w:rPr>
        <w:t>Command examples use angle-bracket placeholders for site-supplied values. The operator must replace every placeholder before running a command. Shell variables shown in the operating record may be used to avoid repeating paths. Retain the resolved values in the operating record; session variables alone are not a durable deployment record. Publication and transfer examples assume a supported Linux shell and the site's approved storage and transfer mechanism.</w:t>
      </w:r>
    </w:p>
    <w:p>
      <w:pPr>
        <w:pStyle w:val="Heading2"/>
      </w:pPr>
      <w:r>
        <w:rPr>
          <w:b w:val="0"/>
          <w:i w:val="0"/>
        </w:rPr>
        <w:t>1.2 Evidence format</w:t>
      </w:r>
    </w:p>
    <w:p>
      <w:pPr/>
      <w:r>
        <w:rPr>
          <w:b w:val="0"/>
          <w:i w:val="0"/>
        </w:rPr>
        <w:t>Retain command output as text files together with the environment source, lockfile, manifests, checksums, and test programs. Record the command, node, date, exit status, and output for every required test. Screenshots are not required and must not be the only evidence for a control point.</w:t>
      </w:r>
    </w:p>
    <w:p>
      <w:pPr>
        <w:pStyle w:val="Heading2"/>
      </w:pPr>
      <w:r>
        <w:rPr>
          <w:b w:val="0"/>
          <w:i w:val="0"/>
        </w:rPr>
        <w:t>1.3 Static platform catalog orientation</w:t>
      </w:r>
    </w:p>
    <w:p>
      <w:pPr/>
      <w:r>
        <w:rPr>
          <w:b w:val="0"/>
          <w:i w:val="0"/>
        </w:rPr>
        <w:t>The static platform catalog is the site's versioned statement of the platform configuration supported for Spack builds on one system. It tells the package manager which compilers, compatible MPI and GPU providers, targets, externals, and common Spack policies are approved, including which combinations may be used together. It does not select application packages or deployment paths. The catalog includes valid Spack configuration files and a readable inventory of their paths, supported combinations, source identities, and approval. The package manager selects a supported set of scopes from that inventory and includes them in an owned Spack environment. Section 6.1 defines the required catalog contents; no particular catalog-generation tool or metadata schema is required.</w:t>
      </w:r>
    </w:p>
    <w:p>
      <w:pPr>
        <w:pStyle w:val="Heading1"/>
      </w:pPr>
      <w:r>
        <w:rPr>
          <w:b w:val="0"/>
          <w:i w:val="0"/>
        </w:rPr>
        <w:t>2. Responsibilities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5" w:type="dxa"/>
          <w:bottom w:w="95" w:type="dxa"/>
          <w:left w:w="115" w:type="dxa"/>
          <w:right w:w="115" w:type="dxa"/>
        </w:tblCellMar>
      </w:tblPr>
      <w:tblGrid>
        <w:gridCol w:w="2333"/>
        <w:gridCol w:w="7819"/>
      </w:tblGrid>
      <w:tr>
        <w:trPr>
          <w:cantSplit/>
          <w:tblHeader/>
        </w:trPr>
        <w:tc>
          <w:tcPr>
            <w:tcW w:type="dxa" w:w="2333"/>
            <w:vAlign w:val="center"/>
            <w:shd w:fill="DCE6F1"/>
          </w:tcPr>
          <w:p>
            <w:pPr>
              <w:keepNext w:val="0"/>
              <w:widowControl w:val="0"/>
              <w:spacing w:after="0" w:before="0" w:line="250" w:lineRule="auto"/>
            </w:pPr>
            <w:r>
              <w:rPr>
                <w:b/>
                <w:i w:val="0"/>
                <w:sz w:val="20"/>
              </w:rPr>
              <w:t>Role</w:t>
            </w:r>
          </w:p>
        </w:tc>
        <w:tc>
          <w:tcPr>
            <w:tcW w:type="dxa" w:w="7819"/>
            <w:vAlign w:val="center"/>
            <w:shd w:fill="DCE6F1"/>
          </w:tcPr>
          <w:p>
            <w:pPr>
              <w:keepNext w:val="0"/>
              <w:widowControl w:val="0"/>
              <w:spacing w:after="0" w:before="0" w:line="250" w:lineRule="auto"/>
            </w:pPr>
            <w:r>
              <w:rPr>
                <w:b/>
                <w:i w:val="0"/>
                <w:sz w:val="20"/>
              </w:rPr>
              <w:t>Responsibility</w:t>
            </w:r>
          </w:p>
        </w:tc>
      </w:tr>
      <w:tr>
        <w:trPr>
          <w:cantSplit/>
        </w:trPr>
        <w:tc>
          <w:tcPr>
            <w:tcW w:type="dxa" w:w="2333"/>
            <w:vAlign w:val="center"/>
          </w:tcPr>
          <w:p>
            <w:pPr>
              <w:keepNext w:val="0"/>
              <w:widowControl w:val="0"/>
              <w:spacing w:after="0" w:before="0" w:line="250" w:lineRule="auto"/>
            </w:pPr>
            <w:r>
              <w:rPr>
                <w:b w:val="0"/>
                <w:i w:val="0"/>
                <w:sz w:val="20"/>
              </w:rPr>
              <w:t>Package manager</w:t>
            </w:r>
          </w:p>
        </w:tc>
        <w:tc>
          <w:tcPr>
            <w:tcW w:type="dxa" w:w="7819"/>
            <w:vAlign w:val="center"/>
          </w:tcPr>
          <w:p>
            <w:pPr>
              <w:keepNext w:val="0"/>
              <w:widowControl w:val="0"/>
              <w:spacing w:after="0" w:before="0" w:line="250" w:lineRule="auto"/>
            </w:pPr>
            <w:r>
              <w:rPr>
                <w:b w:val="0"/>
                <w:i w:val="0"/>
                <w:sz w:val="20"/>
              </w:rPr>
              <w:t>Select packages and catalog scopes, define the environment, build, test, and prepare the release record.</w:t>
            </w:r>
          </w:p>
        </w:tc>
      </w:tr>
      <w:tr>
        <w:trPr>
          <w:cantSplit/>
        </w:trPr>
        <w:tc>
          <w:tcPr>
            <w:tcW w:type="dxa" w:w="2333"/>
            <w:vAlign w:val="center"/>
          </w:tcPr>
          <w:p>
            <w:pPr>
              <w:keepNext w:val="0"/>
              <w:widowControl w:val="0"/>
              <w:spacing w:after="0" w:before="0" w:line="250" w:lineRule="auto"/>
            </w:pPr>
            <w:r>
              <w:rPr>
                <w:b w:val="0"/>
                <w:i w:val="0"/>
                <w:sz w:val="20"/>
              </w:rPr>
              <w:t>Technical reviewer</w:t>
            </w:r>
          </w:p>
        </w:tc>
        <w:tc>
          <w:tcPr>
            <w:tcW w:type="dxa" w:w="7819"/>
            <w:vAlign w:val="center"/>
          </w:tcPr>
          <w:p>
            <w:pPr>
              <w:keepNext w:val="0"/>
              <w:widowControl w:val="0"/>
              <w:spacing w:after="0" w:before="0" w:line="250" w:lineRule="auto"/>
            </w:pPr>
            <w:r>
              <w:rPr>
                <w:b w:val="0"/>
                <w:i w:val="0"/>
                <w:sz w:val="20"/>
              </w:rPr>
              <w:t>Independently review the candidate inputs, change assessment, lockfile, test and scan results, module behavior, and publication evidence.</w:t>
            </w:r>
          </w:p>
        </w:tc>
      </w:tr>
      <w:tr>
        <w:trPr>
          <w:cantSplit/>
        </w:trPr>
        <w:tc>
          <w:tcPr>
            <w:tcW w:type="dxa" w:w="2333"/>
            <w:vAlign w:val="center"/>
          </w:tcPr>
          <w:p>
            <w:pPr>
              <w:keepNext w:val="0"/>
              <w:widowControl w:val="0"/>
              <w:spacing w:after="0" w:before="0" w:line="250" w:lineRule="auto"/>
            </w:pPr>
            <w:r>
              <w:rPr>
                <w:b w:val="0"/>
                <w:i w:val="0"/>
                <w:sz w:val="20"/>
              </w:rPr>
              <w:t>Release authority</w:t>
            </w:r>
          </w:p>
        </w:tc>
        <w:tc>
          <w:tcPr>
            <w:tcW w:type="dxa" w:w="7819"/>
            <w:vAlign w:val="center"/>
          </w:tcPr>
          <w:p>
            <w:pPr>
              <w:keepNext w:val="0"/>
              <w:widowControl w:val="0"/>
              <w:spacing w:after="0" w:before="0" w:line="250" w:lineRule="auto"/>
            </w:pPr>
            <w:r>
              <w:rPr>
                <w:b w:val="0"/>
                <w:i w:val="0"/>
                <w:sz w:val="20"/>
              </w:rPr>
              <w:t>Approve publication under the application team's normal process.</w:t>
            </w:r>
          </w:p>
        </w:tc>
      </w:tr>
      <w:tr>
        <w:trPr>
          <w:cantSplit/>
        </w:trPr>
        <w:tc>
          <w:tcPr>
            <w:tcW w:type="dxa" w:w="2333"/>
            <w:vAlign w:val="center"/>
          </w:tcPr>
          <w:p>
            <w:pPr>
              <w:keepNext w:val="0"/>
              <w:widowControl w:val="0"/>
              <w:spacing w:after="0" w:before="0" w:line="250" w:lineRule="auto"/>
            </w:pPr>
            <w:r>
              <w:rPr>
                <w:b w:val="0"/>
                <w:i w:val="0"/>
                <w:sz w:val="20"/>
              </w:rPr>
              <w:t>Platform or transfer owner</w:t>
            </w:r>
          </w:p>
        </w:tc>
        <w:tc>
          <w:tcPr>
            <w:tcW w:type="dxa" w:w="7819"/>
            <w:vAlign w:val="center"/>
          </w:tcPr>
          <w:p>
            <w:pPr>
              <w:keepNext w:val="0"/>
              <w:widowControl w:val="0"/>
              <w:spacing w:after="0" w:before="0" w:line="250" w:lineRule="auto"/>
            </w:pPr>
            <w:r>
              <w:rPr>
                <w:b w:val="0"/>
                <w:i w:val="0"/>
                <w:sz w:val="20"/>
              </w:rPr>
              <w:t>Provide destination compatibility evidence, enforced network restrictions, approved transfer handling, and system-owned externals.</w:t>
            </w:r>
          </w:p>
        </w:tc>
      </w:tr>
      <w:tr>
        <w:trPr>
          <w:cantSplit/>
        </w:trPr>
        <w:tc>
          <w:tcPr>
            <w:tcW w:type="dxa" w:w="2333"/>
            <w:vAlign w:val="center"/>
          </w:tcPr>
          <w:p>
            <w:pPr>
              <w:keepNext w:val="0"/>
              <w:widowControl w:val="0"/>
              <w:spacing w:after="0" w:before="0" w:line="250" w:lineRule="auto"/>
            </w:pPr>
            <w:r>
              <w:rPr>
                <w:b w:val="0"/>
                <w:i w:val="0"/>
                <w:sz w:val="20"/>
              </w:rPr>
              <w:t>Security reviewer or responsible security authority</w:t>
            </w:r>
          </w:p>
        </w:tc>
        <w:tc>
          <w:tcPr>
            <w:tcW w:type="dxa" w:w="7819"/>
            <w:vAlign w:val="center"/>
          </w:tcPr>
          <w:p>
            <w:pPr>
              <w:keepNext w:val="0"/>
              <w:widowControl w:val="0"/>
              <w:spacing w:after="0" w:before="0" w:line="250" w:lineRule="auto"/>
            </w:pPr>
            <w:r>
              <w:rPr>
                <w:b w:val="0"/>
                <w:i w:val="0"/>
                <w:sz w:val="20"/>
              </w:rPr>
              <w:t>Review escalated security questions and advise on changes outside the agreed operating bounds. Decisions on exceptions follow the authority assigned by the local process.</w:t>
            </w:r>
          </w:p>
        </w:tc>
      </w:tr>
    </w:tbl>
    <w:p>
      <w:pPr>
        <w:spacing w:after="0" w:before="0" w:line="80" w:lineRule="exact"/>
      </w:pPr>
      <w:r>
        <w:rPr>
          <w:sz w:val="4"/>
        </w:rPr>
      </w:r>
    </w:p>
    <w:p>
      <w:pPr/>
      <w:r>
        <w:rPr>
          <w:b w:val="0"/>
          <w:i w:val="0"/>
        </w:rPr>
        <w:t>Use two distinct people for each release: one builds and prepares the evidence; the other reviews and records the disposition before publication. The reviewer may also be the release authority when delegated by the team's policy. Roles may alternate across releases, but a builder does not approve their own work. If the reviewer is unavailable, hold publication and use a documented alternate reviewer. This does not require two people to repeat every build command.</w:t>
      </w:r>
    </w:p>
    <w:p>
      <w:pPr/>
      <w:r>
        <w:rPr>
          <w:b w:val="0"/>
          <w:i w:val="0"/>
        </w:rPr>
        <w:t>Routine releases within the recorded operating bounds use the team's review and release process. Obtain security review or a decision through the local process for the escalation triggers in Section 12. A module in a centrally managed namespace also requires the namespace owner's approval.</w:t>
      </w:r>
    </w:p>
    <w:p>
      <w:pPr>
        <w:pStyle w:val="Heading1"/>
      </w:pPr>
      <w:r>
        <w:rPr>
          <w:b w:val="0"/>
          <w:i w:val="0"/>
        </w:rPr>
        <w:t>3. Required inputs</w:t>
      </w:r>
    </w:p>
    <w:p>
      <w:pPr/>
      <w:r>
        <w:rPr>
          <w:b w:val="0"/>
          <w:i w:val="0"/>
        </w:rPr>
        <w:t>Record these inputs before concretization:</w:t>
      </w:r>
    </w:p>
    <w:p>
      <w:pPr>
        <w:pStyle w:val="ListParagraph"/>
        <w:numPr>
          <w:ilvl w:val="0"/>
          <w:numId w:val="11"/>
        </w:numPr>
        <w:ind w:left="360"/>
      </w:pPr>
      <w:r>
        <w:rPr>
          <w:b w:val="0"/>
          <w:i w:val="0"/>
        </w:rPr>
        <w:t>target system and node types used for the build and runtime tests;</w:t>
      </w:r>
    </w:p>
    <w:p>
      <w:pPr>
        <w:pStyle w:val="ListParagraph"/>
        <w:numPr>
          <w:ilvl w:val="0"/>
          <w:numId w:val="11"/>
        </w:numPr>
        <w:ind w:left="360"/>
      </w:pPr>
      <w:r>
        <w:rPr>
          <w:b w:val="0"/>
          <w:i w:val="0"/>
        </w:rPr>
        <w:t>approved static platform catalog root, release, inventory, approval record, and authorized audience;</w:t>
      </w:r>
    </w:p>
    <w:p>
      <w:pPr>
        <w:pStyle w:val="ListParagraph"/>
        <w:numPr>
          <w:ilvl w:val="0"/>
          <w:numId w:val="11"/>
        </w:numPr>
        <w:ind w:left="360"/>
      </w:pPr>
      <w:r>
        <w:rPr>
          <w:b w:val="0"/>
          <w:i w:val="0"/>
        </w:rPr>
        <w:t>selected compiler and, when applicable, matching MPI and GPU scopes;</w:t>
      </w:r>
    </w:p>
    <w:p>
      <w:pPr>
        <w:pStyle w:val="ListParagraph"/>
        <w:numPr>
          <w:ilvl w:val="0"/>
          <w:numId w:val="11"/>
        </w:numPr>
        <w:ind w:left="360"/>
      </w:pPr>
      <w:r>
        <w:rPr>
          <w:b w:val="0"/>
          <w:i w:val="0"/>
        </w:rPr>
        <w:t>root package specs, versions, variants, and dependency constraints;</w:t>
      </w:r>
    </w:p>
    <w:p>
      <w:pPr>
        <w:pStyle w:val="ListParagraph"/>
        <w:numPr>
          <w:ilvl w:val="0"/>
          <w:numId w:val="11"/>
        </w:numPr>
        <w:ind w:left="360"/>
      </w:pPr>
      <w:r>
        <w:rPr>
          <w:b w:val="0"/>
          <w:i w:val="0"/>
        </w:rPr>
        <w:t>exact Spack version and package-recipe source;</w:t>
      </w:r>
    </w:p>
    <w:p>
      <w:pPr>
        <w:pStyle w:val="ListParagraph"/>
        <w:numPr>
          <w:ilvl w:val="0"/>
          <w:numId w:val="11"/>
        </w:numPr>
        <w:ind w:left="360"/>
      </w:pPr>
      <w:r>
        <w:rPr>
          <w:b w:val="0"/>
          <w:i w:val="0"/>
        </w:rPr>
        <w:t>install tree, build-stage, cache, view, and module locations;</w:t>
      </w:r>
    </w:p>
    <w:p>
      <w:pPr>
        <w:pStyle w:val="ListParagraph"/>
        <w:numPr>
          <w:ilvl w:val="0"/>
          <w:numId w:val="11"/>
        </w:numPr>
        <w:ind w:left="360"/>
      </w:pPr>
      <w:r>
        <w:rPr>
          <w:b w:val="0"/>
          <w:i w:val="0"/>
        </w:rPr>
        <w:t>filesystem ownership and access policy; and</w:t>
      </w:r>
    </w:p>
    <w:p>
      <w:pPr>
        <w:pStyle w:val="ListParagraph"/>
        <w:numPr>
          <w:ilvl w:val="0"/>
          <w:numId w:val="11"/>
        </w:numPr>
        <w:ind w:left="360"/>
      </w:pPr>
      <w:r>
        <w:rPr>
          <w:b w:val="0"/>
          <w:i w:val="0"/>
        </w:rPr>
        <w:t>application-team release identifier.</w:t>
      </w:r>
    </w:p>
    <w:p>
      <w:pPr/>
      <w:r>
        <w:rPr>
          <w:b w:val="0"/>
          <w:i w:val="0"/>
        </w:rPr>
        <w:t>The static platform catalog contains configuration. It does not select the application packages, install tree, views, module roots, or release lifecycle. Those remain package-manager or site deployment decisions.</w:t>
      </w:r>
    </w:p>
    <w:p>
      <w:pPr>
        <w:pStyle w:val="Heading2"/>
      </w:pPr>
      <w:r>
        <w:rPr>
          <w:b w:val="0"/>
          <w:i w:val="0"/>
        </w:rPr>
        <w:t>3.1 Operating record</w:t>
      </w:r>
    </w:p>
    <w:p>
      <w:pPr/>
      <w:r>
        <w:rPr>
          <w:b w:val="0"/>
          <w:i w:val="0"/>
        </w:rPr>
        <w:t>Create a release worksheet and fill every actual-value field before preflight. The worksheet may be a tracked text file, ticket, or release database record.</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5" w:type="dxa"/>
          <w:bottom w:w="95" w:type="dxa"/>
          <w:left w:w="115" w:type="dxa"/>
          <w:right w:w="115" w:type="dxa"/>
        </w:tblCellMar>
      </w:tblPr>
      <w:tblGrid>
        <w:gridCol w:w="2419"/>
        <w:gridCol w:w="3312"/>
        <w:gridCol w:w="4421"/>
      </w:tblGrid>
      <w:tr>
        <w:trPr>
          <w:cantSplit/>
          <w:tblHeader/>
        </w:trPr>
        <w:tc>
          <w:tcPr>
            <w:tcW w:type="dxa" w:w="2419"/>
            <w:vAlign w:val="center"/>
            <w:shd w:fill="DCE6F1"/>
          </w:tcPr>
          <w:p>
            <w:pPr>
              <w:keepNext w:val="0"/>
              <w:widowControl w:val="0"/>
              <w:spacing w:after="0" w:before="0" w:line="250" w:lineRule="auto"/>
            </w:pPr>
            <w:r>
              <w:rPr>
                <w:b/>
                <w:i w:val="0"/>
                <w:sz w:val="20"/>
              </w:rPr>
              <w:t>Item</w:t>
            </w:r>
          </w:p>
        </w:tc>
        <w:tc>
          <w:tcPr>
            <w:tcW w:type="dxa" w:w="3312"/>
            <w:vAlign w:val="center"/>
            <w:shd w:fill="DCE6F1"/>
          </w:tcPr>
          <w:p>
            <w:pPr>
              <w:keepNext w:val="0"/>
              <w:widowControl w:val="0"/>
              <w:spacing w:after="0" w:before="0" w:line="250" w:lineRule="auto"/>
            </w:pPr>
            <w:r>
              <w:rPr>
                <w:b/>
                <w:i w:val="0"/>
                <w:sz w:val="20"/>
              </w:rPr>
              <w:t>Shell name used in this SOP</w:t>
            </w:r>
          </w:p>
        </w:tc>
        <w:tc>
          <w:tcPr>
            <w:tcW w:type="dxa" w:w="4421"/>
            <w:vAlign w:val="center"/>
            <w:shd w:fill="DCE6F1"/>
          </w:tcPr>
          <w:p>
            <w:pPr>
              <w:keepNext w:val="0"/>
              <w:widowControl w:val="0"/>
              <w:spacing w:after="0" w:before="0" w:line="250" w:lineRule="auto"/>
            </w:pPr>
            <w:r>
              <w:rPr>
                <w:b/>
                <w:i w:val="0"/>
                <w:sz w:val="20"/>
              </w:rPr>
              <w:t>Actual value required</w:t>
            </w:r>
          </w:p>
        </w:tc>
      </w:tr>
      <w:tr>
        <w:trPr>
          <w:cantSplit/>
        </w:trPr>
        <w:tc>
          <w:tcPr>
            <w:tcW w:type="dxa" w:w="2419"/>
            <w:vAlign w:val="center"/>
          </w:tcPr>
          <w:p>
            <w:pPr>
              <w:keepNext w:val="0"/>
              <w:widowControl w:val="0"/>
              <w:spacing w:after="0" w:before="0" w:line="250" w:lineRule="auto"/>
            </w:pPr>
            <w:r>
              <w:rPr>
                <w:b w:val="0"/>
                <w:i w:val="0"/>
                <w:sz w:val="20"/>
              </w:rPr>
              <w:t>Target system</w:t>
            </w:r>
          </w:p>
        </w:tc>
        <w:tc>
          <w:tcPr>
            <w:tcW w:type="dxa" w:w="3312"/>
            <w:vAlign w:val="center"/>
          </w:tcPr>
          <w:p>
            <w:pPr>
              <w:keepNext w:val="0"/>
              <w:widowControl w:val="0"/>
              <w:spacing w:after="0" w:before="0" w:line="250" w:lineRule="auto"/>
            </w:pPr>
            <w:r>
              <w:rPr>
                <w:rFonts w:ascii="Courier New" w:hAnsi="Courier New"/>
                <w:b w:val="0"/>
                <w:i w:val="0"/>
                <w:sz w:val="18"/>
              </w:rPr>
              <w:t>STACK_SYSTEM</w:t>
            </w:r>
          </w:p>
        </w:tc>
        <w:tc>
          <w:tcPr>
            <w:tcW w:type="dxa" w:w="4421"/>
            <w:vAlign w:val="center"/>
          </w:tcPr>
          <w:p>
            <w:pPr>
              <w:keepNext w:val="0"/>
              <w:widowControl w:val="0"/>
              <w:spacing w:after="0" w:before="0" w:line="250" w:lineRule="auto"/>
            </w:pPr>
            <w:r>
              <w:rPr>
                <w:b w:val="0"/>
                <w:i w:val="0"/>
                <w:sz w:val="20"/>
              </w:rPr>
              <w:t>System name</w:t>
            </w:r>
          </w:p>
        </w:tc>
      </w:tr>
      <w:tr>
        <w:trPr>
          <w:cantSplit/>
        </w:trPr>
        <w:tc>
          <w:tcPr>
            <w:tcW w:type="dxa" w:w="2419"/>
            <w:vAlign w:val="center"/>
          </w:tcPr>
          <w:p>
            <w:pPr>
              <w:keepNext w:val="0"/>
              <w:widowControl w:val="0"/>
              <w:spacing w:after="0" w:before="0" w:line="250" w:lineRule="auto"/>
            </w:pPr>
            <w:r>
              <w:rPr>
                <w:b w:val="0"/>
                <w:i w:val="0"/>
                <w:sz w:val="20"/>
              </w:rPr>
              <w:t>Application release</w:t>
            </w:r>
          </w:p>
        </w:tc>
        <w:tc>
          <w:tcPr>
            <w:tcW w:type="dxa" w:w="3312"/>
            <w:vAlign w:val="center"/>
          </w:tcPr>
          <w:p>
            <w:pPr>
              <w:keepNext w:val="0"/>
              <w:widowControl w:val="0"/>
              <w:spacing w:after="0" w:before="0" w:line="250" w:lineRule="auto"/>
            </w:pPr>
            <w:r>
              <w:rPr>
                <w:rFonts w:ascii="Courier New" w:hAnsi="Courier New"/>
                <w:b w:val="0"/>
                <w:i w:val="0"/>
                <w:sz w:val="18"/>
              </w:rPr>
              <w:t>STACK_RELEASE</w:t>
            </w:r>
          </w:p>
        </w:tc>
        <w:tc>
          <w:tcPr>
            <w:tcW w:type="dxa" w:w="4421"/>
            <w:vAlign w:val="center"/>
          </w:tcPr>
          <w:p>
            <w:pPr>
              <w:keepNext w:val="0"/>
              <w:widowControl w:val="0"/>
              <w:spacing w:after="0" w:before="0" w:line="250" w:lineRule="auto"/>
            </w:pPr>
            <w:r>
              <w:rPr>
                <w:b w:val="0"/>
                <w:i w:val="0"/>
                <w:sz w:val="20"/>
              </w:rPr>
              <w:t>Immutable application release identifier</w:t>
            </w:r>
          </w:p>
        </w:tc>
      </w:tr>
      <w:tr>
        <w:trPr>
          <w:cantSplit/>
        </w:trPr>
        <w:tc>
          <w:tcPr>
            <w:tcW w:type="dxa" w:w="2419"/>
            <w:vAlign w:val="center"/>
          </w:tcPr>
          <w:p>
            <w:pPr>
              <w:keepNext w:val="0"/>
              <w:widowControl w:val="0"/>
              <w:spacing w:after="0" w:before="0" w:line="250" w:lineRule="auto"/>
            </w:pPr>
            <w:r>
              <w:rPr>
                <w:b w:val="0"/>
                <w:i w:val="0"/>
                <w:sz w:val="20"/>
              </w:rPr>
              <w:t>Catalog release root</w:t>
            </w:r>
          </w:p>
        </w:tc>
        <w:tc>
          <w:tcPr>
            <w:tcW w:type="dxa" w:w="3312"/>
            <w:vAlign w:val="center"/>
          </w:tcPr>
          <w:p>
            <w:pPr>
              <w:keepNext w:val="0"/>
              <w:widowControl w:val="0"/>
              <w:spacing w:after="0" w:before="0" w:line="250" w:lineRule="auto"/>
            </w:pPr>
            <w:r>
              <w:rPr>
                <w:rFonts w:ascii="Courier New" w:hAnsi="Courier New"/>
                <w:b w:val="0"/>
                <w:i w:val="0"/>
                <w:sz w:val="18"/>
              </w:rPr>
              <w:t>CATALOG_RELEASE_ROOT</w:t>
            </w:r>
          </w:p>
        </w:tc>
        <w:tc>
          <w:tcPr>
            <w:tcW w:type="dxa" w:w="4421"/>
            <w:vAlign w:val="center"/>
          </w:tcPr>
          <w:p>
            <w:pPr>
              <w:keepNext w:val="0"/>
              <w:widowControl w:val="0"/>
              <w:spacing w:after="0" w:before="0" w:line="250" w:lineRule="auto"/>
            </w:pPr>
            <w:r>
              <w:rPr>
                <w:b w:val="0"/>
                <w:i w:val="0"/>
                <w:sz w:val="20"/>
              </w:rPr>
              <w:t>Absolute path to one approved catalog release</w:t>
            </w:r>
          </w:p>
        </w:tc>
      </w:tr>
      <w:tr>
        <w:trPr>
          <w:cantSplit/>
        </w:trPr>
        <w:tc>
          <w:tcPr>
            <w:tcW w:type="dxa" w:w="2419"/>
            <w:vAlign w:val="center"/>
          </w:tcPr>
          <w:p>
            <w:pPr>
              <w:keepNext w:val="0"/>
              <w:widowControl w:val="0"/>
              <w:spacing w:after="0" w:before="0" w:line="250" w:lineRule="auto"/>
            </w:pPr>
            <w:r>
              <w:rPr>
                <w:b w:val="0"/>
                <w:i w:val="0"/>
                <w:sz w:val="20"/>
              </w:rPr>
              <w:t>Catalog inventory and usage record</w:t>
            </w:r>
          </w:p>
        </w:tc>
        <w:tc>
          <w:tcPr>
            <w:tcW w:type="dxa" w:w="3312"/>
            <w:vAlign w:val="center"/>
          </w:tcPr>
          <w:p>
            <w:pPr>
              <w:keepNext w:val="0"/>
              <w:widowControl w:val="0"/>
              <w:spacing w:after="0" w:before="0" w:line="250" w:lineRule="auto"/>
            </w:pPr>
            <w:r>
              <w:rPr>
                <w:rFonts w:ascii="Courier New" w:hAnsi="Courier New"/>
                <w:b w:val="0"/>
                <w:i w:val="0"/>
                <w:sz w:val="18"/>
              </w:rPr>
              <w:t>CATALOG_RECORD</w:t>
            </w:r>
          </w:p>
        </w:tc>
        <w:tc>
          <w:tcPr>
            <w:tcW w:type="dxa" w:w="4421"/>
            <w:vAlign w:val="center"/>
          </w:tcPr>
          <w:p>
            <w:pPr>
              <w:keepNext w:val="0"/>
              <w:widowControl w:val="0"/>
              <w:spacing w:after="0" w:before="0" w:line="250" w:lineRule="auto"/>
            </w:pPr>
            <w:r>
              <w:rPr>
                <w:b w:val="0"/>
                <w:i w:val="0"/>
                <w:sz w:val="20"/>
              </w:rPr>
              <w:t>Absolute path to the record within that release defining its contents, supported selections, and approval; Section 6.1</w:t>
            </w:r>
          </w:p>
        </w:tc>
      </w:tr>
      <w:tr>
        <w:trPr>
          <w:cantSplit/>
        </w:trPr>
        <w:tc>
          <w:tcPr>
            <w:tcW w:type="dxa" w:w="2419"/>
            <w:vAlign w:val="center"/>
          </w:tcPr>
          <w:p>
            <w:pPr>
              <w:keepNext w:val="0"/>
              <w:widowControl w:val="0"/>
              <w:spacing w:after="0" w:before="0" w:line="250" w:lineRule="auto"/>
            </w:pPr>
            <w:r>
              <w:rPr>
                <w:b w:val="0"/>
                <w:i w:val="0"/>
                <w:sz w:val="20"/>
              </w:rPr>
              <w:t>Environment directory</w:t>
            </w:r>
          </w:p>
        </w:tc>
        <w:tc>
          <w:tcPr>
            <w:tcW w:type="dxa" w:w="3312"/>
            <w:vAlign w:val="center"/>
          </w:tcPr>
          <w:p>
            <w:pPr>
              <w:keepNext w:val="0"/>
              <w:widowControl w:val="0"/>
              <w:spacing w:after="0" w:before="0" w:line="250" w:lineRule="auto"/>
            </w:pPr>
            <w:r>
              <w:rPr>
                <w:rFonts w:ascii="Courier New" w:hAnsi="Courier New"/>
                <w:b w:val="0"/>
                <w:i w:val="0"/>
                <w:sz w:val="18"/>
              </w:rPr>
              <w:t>ENVIRONMENT_ROOT</w:t>
            </w:r>
          </w:p>
        </w:tc>
        <w:tc>
          <w:tcPr>
            <w:tcW w:type="dxa" w:w="4421"/>
            <w:vAlign w:val="center"/>
          </w:tcPr>
          <w:p>
            <w:pPr>
              <w:keepNext w:val="0"/>
              <w:widowControl w:val="0"/>
              <w:spacing w:after="0" w:before="0" w:line="250" w:lineRule="auto"/>
            </w:pPr>
            <w:r>
              <w:rPr>
                <w:b w:val="0"/>
                <w:i w:val="0"/>
                <w:sz w:val="20"/>
              </w:rPr>
              <w:t xml:space="preserve">Absolute path containing </w:t>
            </w:r>
            <w:r>
              <w:rPr>
                <w:rFonts w:ascii="Courier New" w:hAnsi="Courier New"/>
                <w:b w:val="0"/>
                <w:i w:val="0"/>
                <w:sz w:val="18"/>
              </w:rPr>
              <w:t>spack.yaml</w:t>
            </w:r>
          </w:p>
        </w:tc>
      </w:tr>
      <w:tr>
        <w:trPr>
          <w:cantSplit/>
        </w:trPr>
        <w:tc>
          <w:tcPr>
            <w:tcW w:type="dxa" w:w="2419"/>
            <w:vAlign w:val="center"/>
          </w:tcPr>
          <w:p>
            <w:pPr>
              <w:keepNext w:val="0"/>
              <w:widowControl w:val="0"/>
              <w:spacing w:after="0" w:before="0" w:line="250" w:lineRule="auto"/>
            </w:pPr>
            <w:r>
              <w:rPr>
                <w:b w:val="0"/>
                <w:i w:val="0"/>
                <w:sz w:val="20"/>
              </w:rPr>
              <w:t>Approved Spack checkout</w:t>
            </w:r>
          </w:p>
        </w:tc>
        <w:tc>
          <w:tcPr>
            <w:tcW w:type="dxa" w:w="3312"/>
            <w:vAlign w:val="center"/>
          </w:tcPr>
          <w:p>
            <w:pPr>
              <w:keepNext w:val="0"/>
              <w:widowControl w:val="0"/>
              <w:spacing w:after="0" w:before="0" w:line="250" w:lineRule="auto"/>
            </w:pPr>
            <w:r>
              <w:rPr>
                <w:rFonts w:ascii="Courier New" w:hAnsi="Courier New"/>
                <w:b w:val="0"/>
                <w:i w:val="0"/>
                <w:sz w:val="18"/>
              </w:rPr>
              <w:t>SPACK_ROOT</w:t>
            </w:r>
          </w:p>
        </w:tc>
        <w:tc>
          <w:tcPr>
            <w:tcW w:type="dxa" w:w="4421"/>
            <w:vAlign w:val="center"/>
          </w:tcPr>
          <w:p>
            <w:pPr>
              <w:keepNext w:val="0"/>
              <w:widowControl w:val="0"/>
              <w:spacing w:after="0" w:before="0" w:line="250" w:lineRule="auto"/>
            </w:pPr>
            <w:r>
              <w:rPr>
                <w:b w:val="0"/>
                <w:i w:val="0"/>
                <w:sz w:val="20"/>
              </w:rPr>
              <w:t>Absolute path to the pinned checkout</w:t>
            </w:r>
          </w:p>
        </w:tc>
      </w:tr>
      <w:tr>
        <w:trPr>
          <w:cantSplit/>
        </w:trPr>
        <w:tc>
          <w:tcPr>
            <w:tcW w:type="dxa" w:w="2419"/>
            <w:vAlign w:val="center"/>
          </w:tcPr>
          <w:p>
            <w:pPr>
              <w:keepNext w:val="0"/>
              <w:widowControl w:val="0"/>
              <w:spacing w:after="0" w:before="0" w:line="250" w:lineRule="auto"/>
            </w:pPr>
            <w:r>
              <w:rPr>
                <w:b w:val="0"/>
                <w:i w:val="0"/>
                <w:sz w:val="20"/>
              </w:rPr>
              <w:t>Spack version</w:t>
            </w:r>
          </w:p>
        </w:tc>
        <w:tc>
          <w:tcPr>
            <w:tcW w:type="dxa" w:w="3312"/>
            <w:vAlign w:val="center"/>
          </w:tcPr>
          <w:p>
            <w:pPr>
              <w:keepNext w:val="0"/>
              <w:widowControl w:val="0"/>
              <w:spacing w:after="0" w:before="0" w:line="250" w:lineRule="auto"/>
            </w:pPr>
            <w:r>
              <w:rPr>
                <w:rFonts w:ascii="Courier New" w:hAnsi="Courier New"/>
                <w:b w:val="0"/>
                <w:i w:val="0"/>
                <w:sz w:val="18"/>
              </w:rPr>
              <w:t>SPACK_VERSION</w:t>
            </w:r>
          </w:p>
        </w:tc>
        <w:tc>
          <w:tcPr>
            <w:tcW w:type="dxa" w:w="4421"/>
            <w:vAlign w:val="center"/>
          </w:tcPr>
          <w:p>
            <w:pPr>
              <w:keepNext w:val="0"/>
              <w:widowControl w:val="0"/>
              <w:spacing w:after="0" w:before="0" w:line="250" w:lineRule="auto"/>
            </w:pPr>
            <w:r>
              <w:rPr>
                <w:b w:val="0"/>
                <w:i w:val="0"/>
                <w:sz w:val="20"/>
              </w:rPr>
              <w:t>Approved version and commit</w:t>
            </w:r>
          </w:p>
        </w:tc>
      </w:tr>
      <w:tr>
        <w:trPr>
          <w:cantSplit/>
        </w:trPr>
        <w:tc>
          <w:tcPr>
            <w:tcW w:type="dxa" w:w="2419"/>
            <w:vAlign w:val="center"/>
          </w:tcPr>
          <w:p>
            <w:pPr>
              <w:keepNext w:val="0"/>
              <w:widowControl w:val="0"/>
              <w:spacing w:after="0" w:before="0" w:line="250" w:lineRule="auto"/>
            </w:pPr>
            <w:r>
              <w:rPr>
                <w:b w:val="0"/>
                <w:i w:val="0"/>
                <w:sz w:val="20"/>
              </w:rPr>
              <w:t>Package repositories</w:t>
            </w:r>
          </w:p>
        </w:tc>
        <w:tc>
          <w:tcPr>
            <w:tcW w:type="dxa" w:w="3312"/>
            <w:vAlign w:val="center"/>
          </w:tcPr>
          <w:p>
            <w:pPr>
              <w:keepNext w:val="0"/>
              <w:widowControl w:val="0"/>
              <w:spacing w:after="0" w:before="0" w:line="250" w:lineRule="auto"/>
            </w:pPr>
            <w:r>
              <w:rPr>
                <w:b w:val="0"/>
                <w:i w:val="0"/>
                <w:sz w:val="20"/>
              </w:rPr>
              <w:t>Release record</w:t>
            </w:r>
          </w:p>
        </w:tc>
        <w:tc>
          <w:tcPr>
            <w:tcW w:type="dxa" w:w="4421"/>
            <w:vAlign w:val="center"/>
          </w:tcPr>
          <w:p>
            <w:pPr>
              <w:keepNext w:val="0"/>
              <w:widowControl w:val="0"/>
              <w:spacing w:after="0" w:before="0" w:line="250" w:lineRule="auto"/>
            </w:pPr>
            <w:r>
              <w:rPr>
                <w:b w:val="0"/>
                <w:i w:val="0"/>
                <w:sz w:val="20"/>
              </w:rPr>
              <w:t>Every approved upstream and local source, commit or digest, namespace, and search order</w:t>
            </w:r>
          </w:p>
        </w:tc>
      </w:tr>
      <w:tr>
        <w:trPr>
          <w:cantSplit/>
        </w:trPr>
        <w:tc>
          <w:tcPr>
            <w:tcW w:type="dxa" w:w="2419"/>
            <w:vAlign w:val="center"/>
          </w:tcPr>
          <w:p>
            <w:pPr>
              <w:keepNext w:val="0"/>
              <w:widowControl w:val="0"/>
              <w:spacing w:after="0" w:before="0" w:line="250" w:lineRule="auto"/>
            </w:pPr>
            <w:r>
              <w:rPr>
                <w:b w:val="0"/>
                <w:i w:val="0"/>
                <w:sz w:val="20"/>
              </w:rPr>
              <w:t>Per-user Spack state</w:t>
            </w:r>
          </w:p>
        </w:tc>
        <w:tc>
          <w:tcPr>
            <w:tcW w:type="dxa" w:w="3312"/>
            <w:vAlign w:val="center"/>
          </w:tcPr>
          <w:p>
            <w:pPr>
              <w:keepNext w:val="0"/>
              <w:widowControl w:val="0"/>
              <w:spacing w:after="0" w:before="0" w:line="250" w:lineRule="auto"/>
            </w:pPr>
            <w:r>
              <w:rPr>
                <w:rFonts w:ascii="Courier New" w:hAnsi="Courier New"/>
                <w:b w:val="0"/>
                <w:i w:val="0"/>
                <w:sz w:val="18"/>
              </w:rPr>
              <w:t>SPACK_USER_CACHE_PATH</w:t>
            </w:r>
          </w:p>
        </w:tc>
        <w:tc>
          <w:tcPr>
            <w:tcW w:type="dxa" w:w="4421"/>
            <w:vAlign w:val="center"/>
          </w:tcPr>
          <w:p>
            <w:pPr>
              <w:keepNext w:val="0"/>
              <w:widowControl w:val="0"/>
              <w:spacing w:after="0" w:before="0" w:line="250" w:lineRule="auto"/>
            </w:pPr>
            <w:r>
              <w:rPr>
                <w:b w:val="0"/>
                <w:i w:val="0"/>
                <w:sz w:val="20"/>
              </w:rPr>
              <w:t>Builder-private absolute path</w:t>
            </w:r>
          </w:p>
        </w:tc>
      </w:tr>
      <w:tr>
        <w:trPr>
          <w:cantSplit/>
        </w:trPr>
        <w:tc>
          <w:tcPr>
            <w:tcW w:type="dxa" w:w="2419"/>
            <w:vAlign w:val="center"/>
          </w:tcPr>
          <w:p>
            <w:pPr>
              <w:keepNext w:val="0"/>
              <w:widowControl w:val="0"/>
              <w:spacing w:after="0" w:before="0" w:line="250" w:lineRule="auto"/>
            </w:pPr>
            <w:r>
              <w:rPr>
                <w:b w:val="0"/>
                <w:i w:val="0"/>
                <w:sz w:val="20"/>
              </w:rPr>
              <w:t>Bootstrap configuration</w:t>
            </w:r>
          </w:p>
        </w:tc>
        <w:tc>
          <w:tcPr>
            <w:tcW w:type="dxa" w:w="3312"/>
            <w:vAlign w:val="center"/>
          </w:tcPr>
          <w:p>
            <w:pPr>
              <w:keepNext w:val="0"/>
              <w:widowControl w:val="0"/>
              <w:spacing w:after="0" w:before="0" w:line="250" w:lineRule="auto"/>
            </w:pPr>
            <w:r>
              <w:rPr>
                <w:rFonts w:ascii="Courier New" w:hAnsi="Courier New"/>
                <w:b w:val="0"/>
                <w:i w:val="0"/>
                <w:sz w:val="18"/>
              </w:rPr>
              <w:t>BOOTSTRAP_CONFIG_DIR</w:t>
            </w:r>
          </w:p>
        </w:tc>
        <w:tc>
          <w:tcPr>
            <w:tcW w:type="dxa" w:w="4421"/>
            <w:vAlign w:val="center"/>
          </w:tcPr>
          <w:p>
            <w:pPr>
              <w:keepNext w:val="0"/>
              <w:widowControl w:val="0"/>
              <w:spacing w:after="0" w:before="0" w:line="250" w:lineRule="auto"/>
            </w:pPr>
            <w:r>
              <w:rPr>
                <w:b w:val="0"/>
                <w:i w:val="0"/>
                <w:sz w:val="20"/>
              </w:rPr>
              <w:t>Absolute approved scope outside the Spack checkout; Section 4.5</w:t>
            </w:r>
          </w:p>
        </w:tc>
      </w:tr>
      <w:tr>
        <w:trPr>
          <w:cantSplit/>
        </w:trPr>
        <w:tc>
          <w:tcPr>
            <w:tcW w:type="dxa" w:w="2419"/>
            <w:vAlign w:val="center"/>
          </w:tcPr>
          <w:p>
            <w:pPr>
              <w:keepNext w:val="0"/>
              <w:widowControl w:val="0"/>
              <w:spacing w:after="0" w:before="0" w:line="250" w:lineRule="auto"/>
            </w:pPr>
            <w:r>
              <w:rPr>
                <w:b w:val="0"/>
                <w:i w:val="0"/>
                <w:sz w:val="20"/>
              </w:rPr>
              <w:t>Build stage</w:t>
            </w:r>
          </w:p>
        </w:tc>
        <w:tc>
          <w:tcPr>
            <w:tcW w:type="dxa" w:w="3312"/>
            <w:vAlign w:val="center"/>
          </w:tcPr>
          <w:p>
            <w:pPr>
              <w:keepNext w:val="0"/>
              <w:widowControl w:val="0"/>
              <w:spacing w:after="0" w:before="0" w:line="250" w:lineRule="auto"/>
            </w:pPr>
            <w:r>
              <w:rPr>
                <w:rFonts w:ascii="Courier New" w:hAnsi="Courier New"/>
                <w:b w:val="0"/>
                <w:i w:val="0"/>
                <w:sz w:val="18"/>
              </w:rPr>
              <w:t>SPACK_STAGE_ROOT</w:t>
            </w:r>
          </w:p>
        </w:tc>
        <w:tc>
          <w:tcPr>
            <w:tcW w:type="dxa" w:w="4421"/>
            <w:vAlign w:val="center"/>
          </w:tcPr>
          <w:p>
            <w:pPr>
              <w:keepNext w:val="0"/>
              <w:widowControl w:val="0"/>
              <w:spacing w:after="0" w:before="0" w:line="250" w:lineRule="auto"/>
            </w:pPr>
            <w:r>
              <w:rPr>
                <w:b w:val="0"/>
                <w:i w:val="0"/>
                <w:sz w:val="20"/>
              </w:rPr>
              <w:t>Builder-writable absolute path</w:t>
            </w:r>
          </w:p>
        </w:tc>
      </w:tr>
      <w:tr>
        <w:trPr>
          <w:cantSplit/>
        </w:trPr>
        <w:tc>
          <w:tcPr>
            <w:tcW w:type="dxa" w:w="2419"/>
            <w:vAlign w:val="center"/>
          </w:tcPr>
          <w:p>
            <w:pPr>
              <w:keepNext w:val="0"/>
              <w:widowControl w:val="0"/>
              <w:spacing w:after="0" w:before="0" w:line="250" w:lineRule="auto"/>
            </w:pPr>
            <w:r>
              <w:rPr>
                <w:b w:val="0"/>
                <w:i w:val="0"/>
                <w:sz w:val="20"/>
              </w:rPr>
              <w:t>Install tree</w:t>
            </w:r>
          </w:p>
        </w:tc>
        <w:tc>
          <w:tcPr>
            <w:tcW w:type="dxa" w:w="3312"/>
            <w:vAlign w:val="center"/>
          </w:tcPr>
          <w:p>
            <w:pPr>
              <w:keepNext w:val="0"/>
              <w:widowControl w:val="0"/>
              <w:spacing w:after="0" w:before="0" w:line="250" w:lineRule="auto"/>
            </w:pPr>
            <w:r>
              <w:rPr>
                <w:b w:val="0"/>
                <w:i w:val="0"/>
                <w:sz w:val="20"/>
              </w:rPr>
              <w:t>Site configuration</w:t>
            </w:r>
          </w:p>
        </w:tc>
        <w:tc>
          <w:tcPr>
            <w:tcW w:type="dxa" w:w="4421"/>
            <w:vAlign w:val="center"/>
          </w:tcPr>
          <w:p>
            <w:pPr>
              <w:keepNext w:val="0"/>
              <w:widowControl w:val="0"/>
              <w:spacing w:after="0" w:before="0" w:line="250" w:lineRule="auto"/>
            </w:pPr>
            <w:r>
              <w:rPr>
                <w:b w:val="0"/>
                <w:i w:val="0"/>
                <w:sz w:val="20"/>
              </w:rPr>
              <w:t>Absolute package store selected by the application team</w:t>
            </w:r>
          </w:p>
        </w:tc>
      </w:tr>
      <w:tr>
        <w:trPr>
          <w:cantSplit/>
        </w:trPr>
        <w:tc>
          <w:tcPr>
            <w:tcW w:type="dxa" w:w="2419"/>
            <w:vAlign w:val="center"/>
          </w:tcPr>
          <w:p>
            <w:pPr>
              <w:keepNext w:val="0"/>
              <w:widowControl w:val="0"/>
              <w:spacing w:after="0" w:before="0" w:line="250" w:lineRule="auto"/>
            </w:pPr>
            <w:r>
              <w:rPr>
                <w:b w:val="0"/>
                <w:i w:val="0"/>
                <w:sz w:val="20"/>
              </w:rPr>
              <w:t>Source cache</w:t>
            </w:r>
          </w:p>
        </w:tc>
        <w:tc>
          <w:tcPr>
            <w:tcW w:type="dxa" w:w="3312"/>
            <w:vAlign w:val="center"/>
          </w:tcPr>
          <w:p>
            <w:pPr>
              <w:keepNext w:val="0"/>
              <w:widowControl w:val="0"/>
              <w:spacing w:after="0" w:before="0" w:line="250" w:lineRule="auto"/>
            </w:pPr>
            <w:r>
              <w:rPr>
                <w:b w:val="0"/>
                <w:i w:val="0"/>
                <w:sz w:val="20"/>
              </w:rPr>
              <w:t>Site configuration</w:t>
            </w:r>
          </w:p>
        </w:tc>
        <w:tc>
          <w:tcPr>
            <w:tcW w:type="dxa" w:w="4421"/>
            <w:vAlign w:val="center"/>
          </w:tcPr>
          <w:p>
            <w:pPr>
              <w:keepNext w:val="0"/>
              <w:widowControl w:val="0"/>
              <w:spacing w:after="0" w:before="0" w:line="250" w:lineRule="auto"/>
            </w:pPr>
            <w:r>
              <w:rPr>
                <w:b w:val="0"/>
                <w:i w:val="0"/>
                <w:sz w:val="20"/>
              </w:rPr>
              <w:t>Absolute shared cache populated during the controlled fetch step</w:t>
            </w:r>
          </w:p>
        </w:tc>
      </w:tr>
      <w:tr>
        <w:trPr>
          <w:cantSplit/>
        </w:trPr>
        <w:tc>
          <w:tcPr>
            <w:tcW w:type="dxa" w:w="2419"/>
            <w:vAlign w:val="center"/>
          </w:tcPr>
          <w:p>
            <w:pPr>
              <w:keepNext w:val="0"/>
              <w:widowControl w:val="0"/>
              <w:spacing w:after="0" w:before="0" w:line="250" w:lineRule="auto"/>
            </w:pPr>
            <w:r>
              <w:rPr>
                <w:b w:val="0"/>
                <w:i w:val="0"/>
                <w:sz w:val="20"/>
              </w:rPr>
              <w:t>Miscellaneous cache</w:t>
            </w:r>
          </w:p>
        </w:tc>
        <w:tc>
          <w:tcPr>
            <w:tcW w:type="dxa" w:w="3312"/>
            <w:vAlign w:val="center"/>
          </w:tcPr>
          <w:p>
            <w:pPr>
              <w:keepNext w:val="0"/>
              <w:widowControl w:val="0"/>
              <w:spacing w:after="0" w:before="0" w:line="250" w:lineRule="auto"/>
            </w:pPr>
            <w:r>
              <w:rPr>
                <w:b w:val="0"/>
                <w:i w:val="0"/>
                <w:sz w:val="20"/>
              </w:rPr>
              <w:t>Site configuration</w:t>
            </w:r>
          </w:p>
        </w:tc>
        <w:tc>
          <w:tcPr>
            <w:tcW w:type="dxa" w:w="4421"/>
            <w:vAlign w:val="center"/>
          </w:tcPr>
          <w:p>
            <w:pPr>
              <w:keepNext w:val="0"/>
              <w:widowControl w:val="0"/>
              <w:spacing w:after="0" w:before="0" w:line="250" w:lineRule="auto"/>
            </w:pPr>
            <w:r>
              <w:rPr>
                <w:b w:val="0"/>
                <w:i w:val="0"/>
                <w:sz w:val="20"/>
              </w:rPr>
              <w:t>Absolute shared root, partitioned by builder when required</w:t>
            </w:r>
          </w:p>
        </w:tc>
      </w:tr>
      <w:tr>
        <w:trPr>
          <w:cantSplit/>
        </w:trPr>
        <w:tc>
          <w:tcPr>
            <w:tcW w:type="dxa" w:w="2419"/>
            <w:vAlign w:val="center"/>
          </w:tcPr>
          <w:p>
            <w:pPr>
              <w:keepNext w:val="0"/>
              <w:widowControl w:val="0"/>
              <w:spacing w:after="0" w:before="0" w:line="250" w:lineRule="auto"/>
            </w:pPr>
            <w:r>
              <w:rPr>
                <w:b w:val="0"/>
                <w:i w:val="0"/>
                <w:sz w:val="20"/>
              </w:rPr>
              <w:t>Build cache</w:t>
            </w:r>
          </w:p>
        </w:tc>
        <w:tc>
          <w:tcPr>
            <w:tcW w:type="dxa" w:w="3312"/>
            <w:vAlign w:val="center"/>
          </w:tcPr>
          <w:p>
            <w:pPr>
              <w:keepNext w:val="0"/>
              <w:widowControl w:val="0"/>
              <w:spacing w:after="0" w:before="0" w:line="250" w:lineRule="auto"/>
            </w:pPr>
            <w:r>
              <w:rPr>
                <w:b w:val="0"/>
                <w:i w:val="0"/>
                <w:sz w:val="20"/>
              </w:rPr>
              <w:t>Release configuration</w:t>
            </w:r>
          </w:p>
        </w:tc>
        <w:tc>
          <w:tcPr>
            <w:tcW w:type="dxa" w:w="4421"/>
            <w:vAlign w:val="center"/>
          </w:tcPr>
          <w:p>
            <w:pPr>
              <w:keepNext w:val="0"/>
              <w:widowControl w:val="0"/>
              <w:spacing w:after="0" w:before="0" w:line="250" w:lineRule="auto"/>
            </w:pPr>
            <w:r>
              <w:rPr>
                <w:b w:val="0"/>
                <w:i w:val="0"/>
                <w:sz w:val="20"/>
              </w:rPr>
              <w:t>Approved private or published mirror URL and trust policy</w:t>
            </w:r>
          </w:p>
        </w:tc>
      </w:tr>
      <w:tr>
        <w:trPr>
          <w:cantSplit/>
        </w:trPr>
        <w:tc>
          <w:tcPr>
            <w:tcW w:type="dxa" w:w="2419"/>
            <w:vAlign w:val="center"/>
          </w:tcPr>
          <w:p>
            <w:pPr>
              <w:keepNext w:val="0"/>
              <w:widowControl w:val="0"/>
              <w:spacing w:after="0" w:before="0" w:line="250" w:lineRule="auto"/>
            </w:pPr>
            <w:r>
              <w:rPr>
                <w:b w:val="0"/>
                <w:i w:val="0"/>
                <w:sz w:val="20"/>
              </w:rPr>
              <w:t>View root</w:t>
            </w:r>
          </w:p>
        </w:tc>
        <w:tc>
          <w:tcPr>
            <w:tcW w:type="dxa" w:w="3312"/>
            <w:vAlign w:val="center"/>
          </w:tcPr>
          <w:p>
            <w:pPr>
              <w:keepNext w:val="0"/>
              <w:widowControl w:val="0"/>
              <w:spacing w:after="0" w:before="0" w:line="250" w:lineRule="auto"/>
            </w:pPr>
            <w:r>
              <w:rPr>
                <w:b w:val="0"/>
                <w:i w:val="0"/>
                <w:sz w:val="20"/>
              </w:rPr>
              <w:t>Environment configuration</w:t>
            </w:r>
          </w:p>
        </w:tc>
        <w:tc>
          <w:tcPr>
            <w:tcW w:type="dxa" w:w="4421"/>
            <w:vAlign w:val="center"/>
          </w:tcPr>
          <w:p>
            <w:pPr>
              <w:keepNext w:val="0"/>
              <w:widowControl w:val="0"/>
              <w:spacing w:after="0" w:before="0" w:line="250" w:lineRule="auto"/>
            </w:pPr>
            <w:r>
              <w:rPr>
                <w:b w:val="0"/>
                <w:i w:val="0"/>
                <w:sz w:val="20"/>
              </w:rPr>
              <w:t xml:space="preserve">Absolute view path, or </w:t>
            </w:r>
            <w:r>
              <w:rPr>
                <w:rFonts w:ascii="Courier New" w:hAnsi="Courier New"/>
                <w:b w:val="0"/>
                <w:i w:val="0"/>
                <w:sz w:val="18"/>
              </w:rPr>
              <w:t>none</w:t>
            </w:r>
          </w:p>
        </w:tc>
      </w:tr>
      <w:tr>
        <w:trPr>
          <w:cantSplit/>
        </w:trPr>
        <w:tc>
          <w:tcPr>
            <w:tcW w:type="dxa" w:w="2419"/>
            <w:vAlign w:val="center"/>
          </w:tcPr>
          <w:p>
            <w:pPr>
              <w:keepNext w:val="0"/>
              <w:widowControl w:val="0"/>
              <w:spacing w:after="0" w:before="0" w:line="250" w:lineRule="auto"/>
            </w:pPr>
            <w:r>
              <w:rPr>
                <w:b w:val="0"/>
                <w:i w:val="0"/>
                <w:sz w:val="20"/>
              </w:rPr>
              <w:t>Module root</w:t>
            </w:r>
          </w:p>
        </w:tc>
        <w:tc>
          <w:tcPr>
            <w:tcW w:type="dxa" w:w="3312"/>
            <w:vAlign w:val="center"/>
          </w:tcPr>
          <w:p>
            <w:pPr>
              <w:keepNext w:val="0"/>
              <w:widowControl w:val="0"/>
              <w:spacing w:after="0" w:before="0" w:line="250" w:lineRule="auto"/>
            </w:pPr>
            <w:r>
              <w:rPr>
                <w:b w:val="0"/>
                <w:i w:val="0"/>
                <w:sz w:val="20"/>
              </w:rPr>
              <w:t>Environment configuration</w:t>
            </w:r>
          </w:p>
        </w:tc>
        <w:tc>
          <w:tcPr>
            <w:tcW w:type="dxa" w:w="4421"/>
            <w:vAlign w:val="center"/>
          </w:tcPr>
          <w:p>
            <w:pPr>
              <w:keepNext w:val="0"/>
              <w:widowControl w:val="0"/>
              <w:spacing w:after="0" w:before="0" w:line="250" w:lineRule="auto"/>
            </w:pPr>
            <w:r>
              <w:rPr>
                <w:b w:val="0"/>
                <w:i w:val="0"/>
                <w:sz w:val="20"/>
              </w:rPr>
              <w:t xml:space="preserve">Absolute module path, or </w:t>
            </w:r>
            <w:r>
              <w:rPr>
                <w:rFonts w:ascii="Courier New" w:hAnsi="Courier New"/>
                <w:b w:val="0"/>
                <w:i w:val="0"/>
                <w:sz w:val="18"/>
              </w:rPr>
              <w:t>none</w:t>
            </w:r>
          </w:p>
        </w:tc>
      </w:tr>
      <w:tr>
        <w:trPr>
          <w:cantSplit/>
        </w:trPr>
        <w:tc>
          <w:tcPr>
            <w:tcW w:type="dxa" w:w="2419"/>
            <w:vAlign w:val="center"/>
          </w:tcPr>
          <w:p>
            <w:pPr>
              <w:keepNext w:val="0"/>
              <w:widowControl w:val="0"/>
              <w:spacing w:after="0" w:before="0" w:line="250" w:lineRule="auto"/>
            </w:pPr>
            <w:r>
              <w:rPr>
                <w:b w:val="0"/>
                <w:i w:val="0"/>
                <w:sz w:val="20"/>
              </w:rPr>
              <w:t>Build group</w:t>
            </w:r>
          </w:p>
        </w:tc>
        <w:tc>
          <w:tcPr>
            <w:tcW w:type="dxa" w:w="3312"/>
            <w:vAlign w:val="center"/>
          </w:tcPr>
          <w:p>
            <w:pPr>
              <w:keepNext w:val="0"/>
              <w:widowControl w:val="0"/>
              <w:spacing w:after="0" w:before="0" w:line="250" w:lineRule="auto"/>
            </w:pPr>
            <w:r>
              <w:rPr>
                <w:b w:val="0"/>
                <w:i w:val="0"/>
                <w:sz w:val="20"/>
              </w:rPr>
              <w:t>Deployment record</w:t>
            </w:r>
          </w:p>
        </w:tc>
        <w:tc>
          <w:tcPr>
            <w:tcW w:type="dxa" w:w="4421"/>
            <w:vAlign w:val="center"/>
          </w:tcPr>
          <w:p>
            <w:pPr>
              <w:keepNext w:val="0"/>
              <w:widowControl w:val="0"/>
              <w:spacing w:after="0" w:before="0" w:line="250" w:lineRule="auto"/>
            </w:pPr>
            <w:r>
              <w:rPr>
                <w:b w:val="0"/>
                <w:i w:val="0"/>
                <w:sz w:val="20"/>
              </w:rPr>
              <w:t>Approved Unix group</w:t>
            </w:r>
          </w:p>
        </w:tc>
      </w:tr>
      <w:tr>
        <w:trPr>
          <w:cantSplit/>
        </w:trPr>
        <w:tc>
          <w:tcPr>
            <w:tcW w:type="dxa" w:w="2419"/>
            <w:vAlign w:val="center"/>
          </w:tcPr>
          <w:p>
            <w:pPr>
              <w:keepNext w:val="0"/>
              <w:widowControl w:val="0"/>
              <w:spacing w:after="0" w:before="0" w:line="250" w:lineRule="auto"/>
            </w:pPr>
            <w:r>
              <w:rPr>
                <w:b w:val="0"/>
                <w:i w:val="0"/>
                <w:sz w:val="20"/>
              </w:rPr>
              <w:t>Build and runtime nodes</w:t>
            </w:r>
          </w:p>
        </w:tc>
        <w:tc>
          <w:tcPr>
            <w:tcW w:type="dxa" w:w="3312"/>
            <w:vAlign w:val="center"/>
          </w:tcPr>
          <w:p>
            <w:pPr>
              <w:keepNext w:val="0"/>
              <w:widowControl w:val="0"/>
              <w:spacing w:after="0" w:before="0" w:line="250" w:lineRule="auto"/>
            </w:pPr>
            <w:r>
              <w:rPr>
                <w:b w:val="0"/>
                <w:i w:val="0"/>
                <w:sz w:val="20"/>
              </w:rPr>
              <w:t>Deployment record</w:t>
            </w:r>
          </w:p>
        </w:tc>
        <w:tc>
          <w:tcPr>
            <w:tcW w:type="dxa" w:w="4421"/>
            <w:vAlign w:val="center"/>
          </w:tcPr>
          <w:p>
            <w:pPr>
              <w:keepNext w:val="0"/>
              <w:widowControl w:val="0"/>
              <w:spacing w:after="0" w:before="0" w:line="250" w:lineRule="auto"/>
            </w:pPr>
            <w:r>
              <w:rPr>
                <w:b w:val="0"/>
                <w:i w:val="0"/>
                <w:sz w:val="20"/>
              </w:rPr>
              <w:t>Login, build, and test node types</w:t>
            </w:r>
          </w:p>
        </w:tc>
      </w:tr>
      <w:tr>
        <w:trPr>
          <w:cantSplit/>
        </w:trPr>
        <w:tc>
          <w:tcPr>
            <w:tcW w:type="dxa" w:w="2419"/>
            <w:vAlign w:val="center"/>
          </w:tcPr>
          <w:p>
            <w:pPr>
              <w:keepNext w:val="0"/>
              <w:widowControl w:val="0"/>
              <w:spacing w:after="0" w:before="0" w:line="250" w:lineRule="auto"/>
            </w:pPr>
            <w:r>
              <w:rPr>
                <w:b w:val="0"/>
                <w:i w:val="0"/>
                <w:sz w:val="20"/>
              </w:rPr>
              <w:t>Reviewer and release authority</w:t>
            </w:r>
          </w:p>
        </w:tc>
        <w:tc>
          <w:tcPr>
            <w:tcW w:type="dxa" w:w="3312"/>
            <w:vAlign w:val="center"/>
          </w:tcPr>
          <w:p>
            <w:pPr>
              <w:keepNext w:val="0"/>
              <w:widowControl w:val="0"/>
              <w:spacing w:after="0" w:before="0" w:line="250" w:lineRule="auto"/>
            </w:pPr>
            <w:r>
              <w:rPr>
                <w:b w:val="0"/>
                <w:i w:val="0"/>
                <w:sz w:val="20"/>
              </w:rPr>
              <w:t>Release record</w:t>
            </w:r>
          </w:p>
        </w:tc>
        <w:tc>
          <w:tcPr>
            <w:tcW w:type="dxa" w:w="4421"/>
            <w:vAlign w:val="center"/>
          </w:tcPr>
          <w:p>
            <w:pPr>
              <w:keepNext w:val="0"/>
              <w:widowControl w:val="0"/>
              <w:spacing w:after="0" w:before="0" w:line="250" w:lineRule="auto"/>
            </w:pPr>
            <w:r>
              <w:rPr>
                <w:b w:val="0"/>
                <w:i w:val="0"/>
                <w:sz w:val="20"/>
              </w:rPr>
              <w:t>Named people or approving roles</w:t>
            </w:r>
          </w:p>
        </w:tc>
      </w:tr>
      <w:tr>
        <w:trPr>
          <w:cantSplit/>
        </w:trPr>
        <w:tc>
          <w:tcPr>
            <w:tcW w:type="dxa" w:w="2419"/>
            <w:vAlign w:val="center"/>
          </w:tcPr>
          <w:p>
            <w:pPr>
              <w:keepNext w:val="0"/>
              <w:widowControl w:val="0"/>
              <w:spacing w:after="0" w:before="0" w:line="250" w:lineRule="auto"/>
            </w:pPr>
            <w:r>
              <w:rPr>
                <w:b w:val="0"/>
                <w:i w:val="0"/>
                <w:sz w:val="20"/>
              </w:rPr>
              <w:t>Connectivity and transfer</w:t>
            </w:r>
          </w:p>
        </w:tc>
        <w:tc>
          <w:tcPr>
            <w:tcW w:type="dxa" w:w="3312"/>
            <w:vAlign w:val="center"/>
          </w:tcPr>
          <w:p>
            <w:pPr>
              <w:keepNext w:val="0"/>
              <w:widowControl w:val="0"/>
              <w:spacing w:after="0" w:before="0" w:line="250" w:lineRule="auto"/>
            </w:pPr>
            <w:r>
              <w:rPr>
                <w:b w:val="0"/>
                <w:i w:val="0"/>
                <w:sz w:val="20"/>
              </w:rPr>
              <w:t>Release record</w:t>
            </w:r>
          </w:p>
        </w:tc>
        <w:tc>
          <w:tcPr>
            <w:tcW w:type="dxa" w:w="4421"/>
            <w:vAlign w:val="center"/>
          </w:tcPr>
          <w:p>
            <w:pPr>
              <w:keepNext w:val="0"/>
              <w:widowControl w:val="0"/>
              <w:spacing w:after="0" w:before="0" w:line="250" w:lineRule="auto"/>
            </w:pPr>
            <w:r>
              <w:rPr>
                <w:b w:val="0"/>
                <w:i w:val="0"/>
                <w:sz w:val="20"/>
              </w:rPr>
              <w:t>Connected, restricted-internet, or disconnected destination; approved intake node and transfer method when applicable</w:t>
            </w:r>
          </w:p>
        </w:tc>
      </w:tr>
      <w:tr>
        <w:trPr>
          <w:cantSplit/>
        </w:trPr>
        <w:tc>
          <w:tcPr>
            <w:tcW w:type="dxa" w:w="2419"/>
            <w:vAlign w:val="center"/>
          </w:tcPr>
          <w:p>
            <w:pPr>
              <w:keepNext w:val="0"/>
              <w:widowControl w:val="0"/>
              <w:spacing w:after="0" w:before="0" w:line="250" w:lineRule="auto"/>
            </w:pPr>
            <w:r>
              <w:rPr>
                <w:b w:val="0"/>
                <w:i w:val="0"/>
                <w:sz w:val="20"/>
              </w:rPr>
              <w:t>Mirror and bundle identity</w:t>
            </w:r>
          </w:p>
        </w:tc>
        <w:tc>
          <w:tcPr>
            <w:tcW w:type="dxa" w:w="3312"/>
            <w:vAlign w:val="center"/>
          </w:tcPr>
          <w:p>
            <w:pPr>
              <w:keepNext w:val="0"/>
              <w:widowControl w:val="0"/>
              <w:spacing w:after="0" w:before="0" w:line="250" w:lineRule="auto"/>
            </w:pPr>
            <w:r>
              <w:rPr>
                <w:b w:val="0"/>
                <w:i w:val="0"/>
                <w:sz w:val="20"/>
              </w:rPr>
              <w:t>Release record</w:t>
            </w:r>
          </w:p>
        </w:tc>
        <w:tc>
          <w:tcPr>
            <w:tcW w:type="dxa" w:w="4421"/>
            <w:vAlign w:val="center"/>
          </w:tcPr>
          <w:p>
            <w:pPr>
              <w:keepNext w:val="0"/>
              <w:widowControl w:val="0"/>
              <w:spacing w:after="0" w:before="0" w:line="250" w:lineRule="auto"/>
            </w:pPr>
            <w:r>
              <w:rPr>
                <w:b w:val="0"/>
                <w:i w:val="0"/>
                <w:sz w:val="20"/>
              </w:rPr>
              <w:t>Source-mirror path, signed binary-cache URL if used, archive digest, and origin/destination acceptance evidence</w:t>
            </w:r>
          </w:p>
        </w:tc>
      </w:tr>
      <w:tr>
        <w:trPr>
          <w:cantSplit/>
        </w:trPr>
        <w:tc>
          <w:tcPr>
            <w:tcW w:type="dxa" w:w="2419"/>
            <w:vAlign w:val="center"/>
          </w:tcPr>
          <w:p>
            <w:pPr>
              <w:keepNext w:val="0"/>
              <w:widowControl w:val="0"/>
              <w:spacing w:after="0" w:before="0" w:line="250" w:lineRule="auto"/>
            </w:pPr>
            <w:r>
              <w:rPr>
                <w:b w:val="0"/>
                <w:i w:val="0"/>
                <w:sz w:val="20"/>
              </w:rPr>
              <w:t>Security operating bounds</w:t>
            </w:r>
          </w:p>
        </w:tc>
        <w:tc>
          <w:tcPr>
            <w:tcW w:type="dxa" w:w="3312"/>
            <w:vAlign w:val="center"/>
          </w:tcPr>
          <w:p>
            <w:pPr>
              <w:keepNext w:val="0"/>
              <w:widowControl w:val="0"/>
              <w:spacing w:after="0" w:before="0" w:line="250" w:lineRule="auto"/>
            </w:pPr>
            <w:r>
              <w:rPr>
                <w:b w:val="0"/>
                <w:i w:val="0"/>
                <w:sz w:val="20"/>
              </w:rPr>
              <w:t>Operating record</w:t>
            </w:r>
          </w:p>
        </w:tc>
        <w:tc>
          <w:tcPr>
            <w:tcW w:type="dxa" w:w="4421"/>
            <w:vAlign w:val="center"/>
          </w:tcPr>
          <w:p>
            <w:pPr>
              <w:keepNext w:val="0"/>
              <w:widowControl w:val="0"/>
              <w:spacing w:after="0" w:before="0" w:line="250" w:lineRule="auto"/>
            </w:pPr>
            <w:r>
              <w:rPr>
                <w:b w:val="0"/>
                <w:i w:val="0"/>
                <w:sz w:val="20"/>
              </w:rPr>
              <w:t>Review triggers, approved scanning method, network policy, exception authority, and transfer authorization reference</w:t>
            </w:r>
          </w:p>
        </w:tc>
      </w:tr>
      <w:tr>
        <w:trPr>
          <w:cantSplit/>
        </w:trPr>
        <w:tc>
          <w:tcPr>
            <w:tcW w:type="dxa" w:w="2419"/>
            <w:vAlign w:val="center"/>
          </w:tcPr>
          <w:p>
            <w:pPr>
              <w:keepNext w:val="0"/>
              <w:widowControl w:val="0"/>
              <w:spacing w:after="0" w:before="0" w:line="250" w:lineRule="auto"/>
            </w:pPr>
            <w:r>
              <w:rPr>
                <w:b w:val="0"/>
                <w:i w:val="0"/>
                <w:sz w:val="20"/>
              </w:rPr>
              <w:t>Acceptance and support</w:t>
            </w:r>
          </w:p>
        </w:tc>
        <w:tc>
          <w:tcPr>
            <w:tcW w:type="dxa" w:w="3312"/>
            <w:vAlign w:val="center"/>
          </w:tcPr>
          <w:p>
            <w:pPr>
              <w:keepNext w:val="0"/>
              <w:widowControl w:val="0"/>
              <w:spacing w:after="0" w:before="0" w:line="250" w:lineRule="auto"/>
            </w:pPr>
            <w:r>
              <w:rPr>
                <w:b w:val="0"/>
                <w:i w:val="0"/>
                <w:sz w:val="20"/>
              </w:rPr>
              <w:t>Operating record</w:t>
            </w:r>
          </w:p>
        </w:tc>
        <w:tc>
          <w:tcPr>
            <w:tcW w:type="dxa" w:w="4421"/>
            <w:vAlign w:val="center"/>
          </w:tcPr>
          <w:p>
            <w:pPr>
              <w:keepNext w:val="0"/>
              <w:widowControl w:val="0"/>
              <w:spacing w:after="0" w:before="0" w:line="250" w:lineRule="auto"/>
            </w:pPr>
            <w:r>
              <w:rPr>
                <w:b w:val="0"/>
                <w:i w:val="0"/>
                <w:sz w:val="20"/>
              </w:rPr>
              <w:t>Required checks and tolerances, support contacts, retention and notification periods</w:t>
            </w:r>
          </w:p>
        </w:tc>
      </w:tr>
    </w:tbl>
    <w:p>
      <w:pPr>
        <w:spacing w:after="0" w:before="0" w:line="80" w:lineRule="exact"/>
      </w:pPr>
      <w:r>
        <w:rPr>
          <w:sz w:val="4"/>
        </w:rPr>
      </w:r>
    </w:p>
    <w:p>
      <w:pPr/>
      <w:r>
        <w:rPr>
          <w:b w:val="0"/>
          <w:i w:val="0"/>
        </w:rPr>
        <w:t>Start the approved Spack session after filling the record:</w:t>
      </w:r>
    </w:p>
    <w:p>
      <w:pPr>
        <w:keepLines w:val="0"/>
        <w:widowControl/>
        <w:spacing w:before="40" w:after="160" w:line="245" w:lineRule="auto"/>
        <w:ind w:left="115" w:right="43"/>
      </w:pPr>
      <w:r>
        <w:rPr>
          <w:rFonts w:ascii="Courier New" w:hAnsi="Courier New"/>
          <w:b w:val="0"/>
          <w:i w:val="0"/>
          <w:sz w:val="18"/>
        </w:rPr>
        <w:t>export STACK_SYSTEM="&lt;system&gt;"</w:t>
        <w:br/>
        <w:t>export STACK_RELEASE="&lt;application-release&gt;"</w:t>
        <w:br/>
        <w:t>export CATALOG_RELEASE_ROOT="&lt;absolute-catalog-release-root&gt;"</w:t>
        <w:br/>
        <w:t>export CATALOG_RECORD="&lt;absolute-catalog-inventory-and-usage-record&gt;"</w:t>
        <w:br/>
        <w:t>export ENVIRONMENT_ROOT="&lt;absolute-environment-directory&gt;"</w:t>
        <w:br/>
        <w:t>export SPACK_ROOT="&lt;absolute-approved-spack-root&gt;"</w:t>
        <w:br/>
        <w:t>export SPACK_VERSION="1.2.2"</w:t>
        <w:br/>
        <w:t>export SPACK_TAG="v1.2.2"</w:t>
        <w:br/>
        <w:t>export SPACK_COMMIT="&lt;approved-full-spack-commit&gt;"</w:t>
        <w:br/>
        <w:t>export SPACK_STAGE_ROOT="&lt;absolute-build-stage&gt;"</w:t>
        <w:br/>
        <w:t>export BOOTSTRAP_CONFIG_DIR="&lt;absolute-approved-bootstrap-config-directory&gt;"</w:t>
        <w:br/>
        <w:br/>
        <w:t>export SPACK_DISABLE_LOCAL_CONFIG=true</w:t>
        <w:br/>
        <w:t>export SPACK_USER_CACHE_PATH="&lt;absolute-per-user-cache-root&gt;/$USER/spack/$SPACK_VERSION"</w:t>
        <w:br/>
        <w:t>export PYTHONDONTWRITEBYTECODE=1</w:t>
        <w:br/>
        <w:br/>
        <w:t>test -f "$SPACK_ROOT/share/spack/setup-env.sh"</w:t>
        <w:br/>
        <w:t>test -r "$CATALOG_RECORD"</w:t>
        <w:br/>
        <w:t>source "$SPACK_ROOT/share/spack/setup-env.sh"</w:t>
        <w:br/>
        <w:t>spack --version</w:t>
      </w:r>
    </w:p>
    <w:p>
      <w:pPr/>
      <w:r>
        <w:rPr>
          <w:b w:val="0"/>
          <w:i w:val="0"/>
        </w:rPr>
        <w:t xml:space="preserve">Record the output of </w:t>
      </w:r>
      <w:r>
        <w:rPr>
          <w:rFonts w:ascii="Courier New" w:hAnsi="Courier New"/>
          <w:b w:val="0"/>
          <w:i w:val="0"/>
          <w:sz w:val="18"/>
        </w:rPr>
        <w:t>spack --version</w:t>
      </w:r>
      <w:r>
        <w:rPr>
          <w:b w:val="0"/>
          <w:i w:val="0"/>
        </w:rPr>
        <w:t xml:space="preserve"> and the checkout commit. Stop if they do not match the approved Spack identity. Prepare the prerequisite configuration in Section 4.5 before any solve or operation that may bootstrap a tool. The command examples carry that scope explicitly so its source/trust policy persists across the workflow.</w:t>
      </w:r>
    </w:p>
    <w:p>
      <w:pPr>
        <w:pStyle w:val="Heading1"/>
      </w:pPr>
      <w:r>
        <w:rPr>
          <w:b w:val="0"/>
          <w:i w:val="0"/>
        </w:rPr>
        <w:t>4. Storage, access, and Spack runtime</w:t>
      </w:r>
    </w:p>
    <w:p>
      <w:pPr/>
      <w:r>
        <w:rPr>
          <w:b w:val="0"/>
          <w:i w:val="0"/>
        </w:rPr>
        <w:t>Keep the following locations separate:</w:t>
      </w:r>
    </w:p>
    <w:p>
      <w:pPr>
        <w:pStyle w:val="ListParagraph"/>
        <w:numPr>
          <w:ilvl w:val="0"/>
          <w:numId w:val="12"/>
        </w:numPr>
        <w:ind w:left="360"/>
      </w:pPr>
      <w:r>
        <w:rPr>
          <w:b w:val="0"/>
          <w:i w:val="0"/>
        </w:rPr>
        <w:t>the pinned Spack tool root;</w:t>
      </w:r>
    </w:p>
    <w:p>
      <w:pPr>
        <w:pStyle w:val="ListParagraph"/>
        <w:numPr>
          <w:ilvl w:val="0"/>
          <w:numId w:val="12"/>
        </w:numPr>
        <w:ind w:left="360"/>
      </w:pPr>
      <w:r>
        <w:rPr>
          <w:b w:val="0"/>
          <w:i w:val="0"/>
        </w:rPr>
        <w:t>the Spack package install tree;</w:t>
      </w:r>
    </w:p>
    <w:p>
      <w:pPr>
        <w:pStyle w:val="ListParagraph"/>
        <w:numPr>
          <w:ilvl w:val="0"/>
          <w:numId w:val="12"/>
        </w:numPr>
        <w:ind w:left="360"/>
      </w:pPr>
      <w:r>
        <w:rPr>
          <w:b w:val="0"/>
          <w:i w:val="0"/>
        </w:rPr>
        <w:t>the build workspace;</w:t>
      </w:r>
    </w:p>
    <w:p>
      <w:pPr>
        <w:pStyle w:val="ListParagraph"/>
        <w:numPr>
          <w:ilvl w:val="0"/>
          <w:numId w:val="12"/>
        </w:numPr>
        <w:ind w:left="360"/>
      </w:pPr>
      <w:r>
        <w:rPr>
          <w:b w:val="0"/>
          <w:i w:val="0"/>
        </w:rPr>
        <w:t>shared source and package-manager metadata caches;</w:t>
      </w:r>
    </w:p>
    <w:p>
      <w:pPr>
        <w:pStyle w:val="ListParagraph"/>
        <w:numPr>
          <w:ilvl w:val="0"/>
          <w:numId w:val="12"/>
        </w:numPr>
        <w:ind w:left="360"/>
      </w:pPr>
      <w:r>
        <w:rPr>
          <w:b w:val="0"/>
          <w:i w:val="0"/>
        </w:rPr>
        <w:t>per-builder build stages and mutable user state;</w:t>
      </w:r>
    </w:p>
    <w:p>
      <w:pPr>
        <w:pStyle w:val="ListParagraph"/>
        <w:numPr>
          <w:ilvl w:val="0"/>
          <w:numId w:val="12"/>
        </w:numPr>
        <w:ind w:left="360"/>
      </w:pPr>
      <w:r>
        <w:rPr>
          <w:b w:val="0"/>
          <w:i w:val="0"/>
        </w:rPr>
        <w:t>build caches;</w:t>
      </w:r>
    </w:p>
    <w:p>
      <w:pPr>
        <w:pStyle w:val="ListParagraph"/>
        <w:numPr>
          <w:ilvl w:val="0"/>
          <w:numId w:val="12"/>
        </w:numPr>
        <w:ind w:left="360"/>
      </w:pPr>
      <w:r>
        <w:rPr>
          <w:b w:val="0"/>
          <w:i w:val="0"/>
        </w:rPr>
        <w:t>views and module roots; and</w:t>
      </w:r>
    </w:p>
    <w:p>
      <w:pPr>
        <w:pStyle w:val="ListParagraph"/>
        <w:numPr>
          <w:ilvl w:val="0"/>
          <w:numId w:val="12"/>
        </w:numPr>
        <w:ind w:left="360"/>
      </w:pPr>
      <w:r>
        <w:rPr>
          <w:b w:val="0"/>
          <w:i w:val="0"/>
        </w:rPr>
        <w:t>release records and test evidence.</w:t>
      </w:r>
    </w:p>
    <w:p>
      <w:pPr/>
      <w:r>
        <w:rPr>
          <w:b w:val="0"/>
          <w:i w:val="0"/>
        </w:rPr>
        <w:t>Use a site-approved, pinned Spack installation. Record its exact version, source, and commit when applicable. Do not treat the Spack checkout as the package install tree or store mutable build artifacts inside it.</w:t>
      </w:r>
    </w:p>
    <w:p>
      <w:pPr/>
      <w:r>
        <w:rPr>
          <w:b w:val="0"/>
          <w:i w:val="0"/>
        </w:rPr>
        <w:t>Use per-user mutable Spack state:</w:t>
      </w:r>
    </w:p>
    <w:p>
      <w:pPr>
        <w:keepLines/>
        <w:widowControl/>
        <w:spacing w:before="40" w:after="160" w:line="245" w:lineRule="auto"/>
        <w:ind w:left="115" w:right="43"/>
      </w:pPr>
      <w:r>
        <w:rPr>
          <w:rFonts w:ascii="Courier New" w:hAnsi="Courier New"/>
          <w:b w:val="0"/>
          <w:i w:val="0"/>
          <w:sz w:val="18"/>
        </w:rPr>
        <w:t>export SPACK_DISABLE_LOCAL_CONFIG=true</w:t>
        <w:br/>
        <w:t>export SPACK_USER_CACHE_PATH="&lt;approved-per-user-cache-root&gt;/$USER/spack/&lt;version&gt;"</w:t>
        <w:br/>
        <w:t>source "&lt;approved-spack-root&gt;/share/spack/setup-env.sh"</w:t>
      </w:r>
    </w:p>
    <w:p>
      <w:pPr/>
      <w:r>
        <w:rPr>
          <w:b w:val="0"/>
          <w:i w:val="0"/>
        </w:rPr>
        <w:t>Keep verification keyrings and any authorized signing keyring in private per-user or site-approved locations outside the Spack tool root and package install tree. Private release-signing keys do not travel in a workspace or transfer bundle; their use follows Section 10.1.</w:t>
      </w:r>
    </w:p>
    <w:p>
      <w:pPr/>
      <w:r>
        <w:rPr>
          <w:b w:val="0"/>
          <w:i w:val="0"/>
        </w:rPr>
        <w:t>The application team's shared workspace must be group-writable while a release is assembled. Record the owning Unix group for that independently managed software stack in its deployment inputs; different teams or stacks may use different approved groups. Keep that group stable for the life of the release. Use setgid directories and the site's default ACL or umask policy. Published users outside the approved package-manager group receive read and execute access, not write access.</w:t>
      </w:r>
    </w:p>
    <w:p>
      <w:pPr/>
      <w:r>
        <w:rPr>
          <w:b w:val="0"/>
          <w:i w:val="0"/>
        </w:rPr>
        <w:t>Record which paths are shared and which are builder-private before work starts: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5" w:type="dxa"/>
          <w:bottom w:w="95" w:type="dxa"/>
          <w:left w:w="115" w:type="dxa"/>
          <w:right w:w="115" w:type="dxa"/>
        </w:tblCellMar>
      </w:tblPr>
      <w:tblGrid>
        <w:gridCol w:w="2333"/>
        <w:gridCol w:w="7819"/>
      </w:tblGrid>
      <w:tr>
        <w:trPr>
          <w:cantSplit/>
          <w:tblHeader/>
        </w:trPr>
        <w:tc>
          <w:tcPr>
            <w:tcW w:type="dxa" w:w="2333"/>
            <w:vAlign w:val="center"/>
            <w:shd w:fill="DCE6F1"/>
          </w:tcPr>
          <w:p>
            <w:pPr>
              <w:keepNext w:val="0"/>
              <w:widowControl w:val="0"/>
              <w:spacing w:after="0" w:before="0" w:line="250" w:lineRule="auto"/>
            </w:pPr>
            <w:r>
              <w:rPr>
                <w:b/>
                <w:i w:val="0"/>
                <w:sz w:val="20"/>
              </w:rPr>
              <w:t>State class</w:t>
            </w:r>
          </w:p>
        </w:tc>
        <w:tc>
          <w:tcPr>
            <w:tcW w:type="dxa" w:w="7819"/>
            <w:vAlign w:val="center"/>
            <w:shd w:fill="DCE6F1"/>
          </w:tcPr>
          <w:p>
            <w:pPr>
              <w:keepNext w:val="0"/>
              <w:widowControl w:val="0"/>
              <w:spacing w:after="0" w:before="0" w:line="250" w:lineRule="auto"/>
            </w:pPr>
            <w:r>
              <w:rPr>
                <w:b/>
                <w:i w:val="0"/>
                <w:sz w:val="20"/>
              </w:rPr>
              <w:t>Normal policy</w:t>
            </w:r>
          </w:p>
        </w:tc>
      </w:tr>
      <w:tr>
        <w:trPr>
          <w:cantSplit/>
        </w:trPr>
        <w:tc>
          <w:tcPr>
            <w:tcW w:type="dxa" w:w="2333"/>
            <w:vAlign w:val="center"/>
          </w:tcPr>
          <w:p>
            <w:pPr>
              <w:keepNext w:val="0"/>
              <w:widowControl w:val="0"/>
              <w:spacing w:after="0" w:before="0" w:line="250" w:lineRule="auto"/>
            </w:pPr>
            <w:r>
              <w:rPr>
                <w:b w:val="0"/>
                <w:i w:val="0"/>
                <w:sz w:val="20"/>
              </w:rPr>
              <w:t>Shared build state</w:t>
            </w:r>
          </w:p>
        </w:tc>
        <w:tc>
          <w:tcPr>
            <w:tcW w:type="dxa" w:w="7819"/>
            <w:vAlign w:val="center"/>
          </w:tcPr>
          <w:p>
            <w:pPr>
              <w:keepNext w:val="0"/>
              <w:widowControl w:val="0"/>
              <w:spacing w:after="0" w:before="0" w:line="250" w:lineRule="auto"/>
            </w:pPr>
            <w:r>
              <w:rPr>
                <w:b w:val="0"/>
                <w:i w:val="0"/>
                <w:sz w:val="20"/>
              </w:rPr>
              <w:t>Workspace, generated environment files and lockfiles, source cache, package install tree/database/locks, views, modules, file-backed build cache, and release evidence. Restrict write access to the approved build group.</w:t>
            </w:r>
          </w:p>
        </w:tc>
      </w:tr>
      <w:tr>
        <w:trPr>
          <w:cantSplit/>
        </w:trPr>
        <w:tc>
          <w:tcPr>
            <w:tcW w:type="dxa" w:w="2333"/>
            <w:vAlign w:val="center"/>
          </w:tcPr>
          <w:p>
            <w:pPr>
              <w:keepNext w:val="0"/>
              <w:widowControl w:val="0"/>
              <w:spacing w:after="0" w:before="0" w:line="250" w:lineRule="auto"/>
            </w:pPr>
            <w:r>
              <w:rPr>
                <w:b w:val="0"/>
                <w:i w:val="0"/>
                <w:sz w:val="20"/>
              </w:rPr>
              <w:t>Builder-partitioned shared state</w:t>
            </w:r>
          </w:p>
        </w:tc>
        <w:tc>
          <w:tcPr>
            <w:tcW w:type="dxa" w:w="7819"/>
            <w:vAlign w:val="center"/>
          </w:tcPr>
          <w:p>
            <w:pPr>
              <w:keepNext w:val="0"/>
              <w:widowControl w:val="0"/>
              <w:spacing w:after="0" w:before="0" w:line="250" w:lineRule="auto"/>
            </w:pPr>
            <w:r>
              <w:rPr>
                <w:b w:val="0"/>
                <w:i w:val="0"/>
                <w:sz w:val="20"/>
              </w:rPr>
              <w:t xml:space="preserve">Mutable package-manager metadata may use a persistent </w:t>
            </w:r>
            <w:r>
              <w:rPr>
                <w:rFonts w:ascii="Courier New" w:hAnsi="Courier New"/>
                <w:b w:val="0"/>
                <w:i w:val="0"/>
                <w:sz w:val="18"/>
              </w:rPr>
              <w:t>$USER</w:t>
            </w:r>
            <w:r>
              <w:rPr>
                <w:b w:val="0"/>
                <w:i w:val="0"/>
                <w:sz w:val="20"/>
              </w:rPr>
              <w:t xml:space="preserve"> partition below a shared root when concurrent replacement is unsafe. The partition remains accessible to the build group for handoff and recovery.</w:t>
            </w:r>
          </w:p>
        </w:tc>
      </w:tr>
      <w:tr>
        <w:trPr>
          <w:cantSplit/>
        </w:trPr>
        <w:tc>
          <w:tcPr>
            <w:tcW w:type="dxa" w:w="2333"/>
            <w:vAlign w:val="center"/>
          </w:tcPr>
          <w:p>
            <w:pPr>
              <w:keepNext w:val="0"/>
              <w:widowControl w:val="0"/>
              <w:spacing w:after="0" w:before="0" w:line="250" w:lineRule="auto"/>
            </w:pPr>
            <w:r>
              <w:rPr>
                <w:b w:val="0"/>
                <w:i w:val="0"/>
                <w:sz w:val="20"/>
              </w:rPr>
              <w:t>Builder-private state</w:t>
            </w:r>
          </w:p>
        </w:tc>
        <w:tc>
          <w:tcPr>
            <w:tcW w:type="dxa" w:w="7819"/>
            <w:vAlign w:val="center"/>
          </w:tcPr>
          <w:p>
            <w:pPr>
              <w:keepNext w:val="0"/>
              <w:widowControl w:val="0"/>
              <w:spacing w:after="0" w:before="0" w:line="250" w:lineRule="auto"/>
            </w:pPr>
            <w:r>
              <w:rPr>
                <w:b w:val="0"/>
                <w:i w:val="0"/>
                <w:sz w:val="20"/>
              </w:rPr>
              <w:t xml:space="preserve">Build stage, </w:t>
            </w:r>
            <w:r>
              <w:rPr>
                <w:rFonts w:ascii="Courier New" w:hAnsi="Courier New"/>
                <w:b w:val="0"/>
                <w:i w:val="0"/>
                <w:sz w:val="18"/>
              </w:rPr>
              <w:t>SPACK_USER_CACHE_PATH</w:t>
            </w:r>
            <w:r>
              <w:rPr>
                <w:b w:val="0"/>
                <w:i w:val="0"/>
                <w:sz w:val="20"/>
              </w:rPr>
              <w:t>, bootstrap state, signing keyring, and other temporary command state. A receiving builder creates its own paths rather than inheriting another user's.</w:t>
            </w:r>
          </w:p>
        </w:tc>
      </w:tr>
      <w:tr>
        <w:trPr>
          <w:cantSplit/>
        </w:trPr>
        <w:tc>
          <w:tcPr>
            <w:tcW w:type="dxa" w:w="2333"/>
            <w:vAlign w:val="center"/>
          </w:tcPr>
          <w:p>
            <w:pPr>
              <w:keepNext w:val="0"/>
              <w:widowControl w:val="0"/>
              <w:spacing w:after="0" w:before="0" w:line="250" w:lineRule="auto"/>
            </w:pPr>
            <w:r>
              <w:rPr>
                <w:b w:val="0"/>
                <w:i w:val="0"/>
                <w:sz w:val="20"/>
              </w:rPr>
              <w:t>Spack tool root</w:t>
            </w:r>
          </w:p>
        </w:tc>
        <w:tc>
          <w:tcPr>
            <w:tcW w:type="dxa" w:w="7819"/>
            <w:vAlign w:val="center"/>
          </w:tcPr>
          <w:p>
            <w:pPr>
              <w:keepNext w:val="0"/>
              <w:widowControl w:val="0"/>
              <w:spacing w:after="0" w:before="0" w:line="250" w:lineRule="auto"/>
            </w:pPr>
            <w:r>
              <w:rPr>
                <w:b w:val="0"/>
                <w:i w:val="0"/>
                <w:sz w:val="20"/>
              </w:rPr>
              <w:t>Shared and read-only, or an identity-equivalent builder-local checkout treated as immutable for the release. Never use it as a cache or package store.</w:t>
            </w:r>
          </w:p>
        </w:tc>
      </w:tr>
    </w:tbl>
    <w:p>
      <w:pPr>
        <w:spacing w:after="0" w:before="0" w:line="80" w:lineRule="exact"/>
      </w:pPr>
      <w:r>
        <w:rPr>
          <w:sz w:val="4"/>
        </w:rPr>
      </w:r>
    </w:p>
    <w:p>
      <w:pPr/>
      <w:r>
        <w:rPr>
          <w:b w:val="0"/>
          <w:i w:val="0"/>
        </w:rPr>
        <w:t xml:space="preserve">Setgid, default ACLs, and a group-friendly umask establish creation defaults, but do not override software that explicitly requests </w:t>
      </w:r>
      <w:r>
        <w:rPr>
          <w:rFonts w:ascii="Courier New" w:hAnsi="Courier New"/>
          <w:b w:val="0"/>
          <w:i w:val="0"/>
          <w:sz w:val="18"/>
        </w:rPr>
        <w:t>0600</w:t>
      </w:r>
      <w:r>
        <w:rPr>
          <w:b w:val="0"/>
          <w:i w:val="0"/>
        </w:rPr>
        <w:t xml:space="preserve"> files or </w:t>
      </w:r>
      <w:r>
        <w:rPr>
          <w:rFonts w:ascii="Courier New" w:hAnsi="Courier New"/>
          <w:b w:val="0"/>
          <w:i w:val="0"/>
          <w:sz w:val="18"/>
        </w:rPr>
        <w:t>0700</w:t>
      </w:r>
      <w:r>
        <w:rPr>
          <w:b w:val="0"/>
          <w:i w:val="0"/>
        </w:rPr>
        <w:t xml:space="preserve"> directories. The operator or approved build process must normalize owner-created content on every shared non-package surface and verify access from another group member before handoff. A typical restricted policy uses </w:t>
      </w:r>
      <w:r>
        <w:rPr>
          <w:rFonts w:ascii="Courier New" w:hAnsi="Courier New"/>
          <w:b w:val="0"/>
          <w:i w:val="0"/>
          <w:sz w:val="18"/>
        </w:rPr>
        <w:t>2770</w:t>
      </w:r>
      <w:r>
        <w:rPr>
          <w:b w:val="0"/>
          <w:i w:val="0"/>
        </w:rPr>
        <w:t xml:space="preserve"> for directories, </w:t>
      </w:r>
      <w:r>
        <w:rPr>
          <w:rFonts w:ascii="Courier New" w:hAnsi="Courier New"/>
          <w:b w:val="0"/>
          <w:i w:val="0"/>
          <w:sz w:val="18"/>
        </w:rPr>
        <w:t>0660</w:t>
      </w:r>
      <w:r>
        <w:rPr>
          <w:b w:val="0"/>
          <w:i w:val="0"/>
        </w:rPr>
        <w:t xml:space="preserve"> for ordinary files, and </w:t>
      </w:r>
      <w:r>
        <w:rPr>
          <w:rFonts w:ascii="Courier New" w:hAnsi="Courier New"/>
          <w:b w:val="0"/>
          <w:i w:val="0"/>
          <w:sz w:val="18"/>
        </w:rPr>
        <w:t>0770</w:t>
      </w:r>
      <w:r>
        <w:rPr>
          <w:b w:val="0"/>
          <w:i w:val="0"/>
        </w:rPr>
        <w:t xml:space="preserve"> for executables. Spack's native package-permission configuration owns installed prefixes; do not use a blind recursive chmod around the package database and prefix locks.</w:t>
      </w:r>
    </w:p>
    <w:p>
      <w:pPr>
        <w:pStyle w:val="Heading2"/>
      </w:pPr>
      <w:r>
        <w:rPr>
          <w:b w:val="0"/>
          <w:i w:val="0"/>
        </w:rPr>
        <w:t>4.1 Installed-package permission policy</w:t>
      </w:r>
    </w:p>
    <w:p>
      <w:pPr/>
      <w:r>
        <w:rPr>
          <w:b w:val="0"/>
          <w:i w:val="0"/>
        </w:rPr>
        <w:t>The package manager must supply the installed-prefix policy as deployment configuration. It is not part of the static platform catalog. For a published stack managed by a package-manager group, use:</w:t>
      </w:r>
    </w:p>
    <w:p>
      <w:pPr>
        <w:keepLines/>
        <w:widowControl/>
        <w:spacing w:before="40" w:after="160" w:line="245" w:lineRule="auto"/>
        <w:ind w:left="115" w:right="43"/>
      </w:pPr>
      <w:r>
        <w:rPr>
          <w:rFonts w:ascii="Courier New" w:hAnsi="Courier New"/>
          <w:b w:val="0"/>
          <w:i w:val="0"/>
          <w:sz w:val="18"/>
        </w:rPr>
        <w:t>packages:</w:t>
        <w:br/>
        <w:t xml:space="preserve">  all:</w:t>
        <w:br/>
        <w:t xml:space="preserve">    permissions:</w:t>
        <w:br/>
        <w:t xml:space="preserve">      group: &lt;approved-package-manager-group&gt;</w:t>
        <w:br/>
        <w:t xml:space="preserve">      read: world</w:t>
        <w:br/>
        <w:t xml:space="preserve">      write: group</w:t>
      </w:r>
    </w:p>
    <w:p>
      <w:pPr/>
      <w:r>
        <w:rPr>
          <w:b w:val="0"/>
          <w:i w:val="0"/>
        </w:rPr>
        <w:t xml:space="preserve">This may be written directly below </w:t>
      </w:r>
      <w:r>
        <w:rPr>
          <w:rFonts w:ascii="Courier New" w:hAnsi="Courier New"/>
          <w:b w:val="0"/>
          <w:i w:val="0"/>
          <w:sz w:val="18"/>
        </w:rPr>
        <w:t>spack.packages</w:t>
      </w:r>
      <w:r>
        <w:rPr>
          <w:b w:val="0"/>
          <w:i w:val="0"/>
        </w:rPr>
        <w:t xml:space="preserve"> in an environment's </w:t>
      </w:r>
      <w:r>
        <w:rPr>
          <w:rFonts w:ascii="Courier New" w:hAnsi="Courier New"/>
          <w:b w:val="0"/>
          <w:i w:val="0"/>
          <w:sz w:val="18"/>
        </w:rPr>
        <w:t>spack.yaml</w:t>
      </w:r>
      <w:r>
        <w:rPr>
          <w:b w:val="0"/>
          <w:i w:val="0"/>
        </w:rPr>
        <w:t xml:space="preserve">, or placed in a separate </w:t>
      </w:r>
      <w:r>
        <w:rPr>
          <w:rFonts w:ascii="Courier New" w:hAnsi="Courier New"/>
          <w:b w:val="0"/>
          <w:i w:val="0"/>
          <w:sz w:val="18"/>
        </w:rPr>
        <w:t>packages.yaml</w:t>
      </w:r>
      <w:r>
        <w:rPr>
          <w:b w:val="0"/>
          <w:i w:val="0"/>
        </w:rPr>
        <w:t xml:space="preserve"> inside a configuration scope named by the environment's </w:t>
      </w:r>
      <w:r>
        <w:rPr>
          <w:rFonts w:ascii="Courier New" w:hAnsi="Courier New"/>
          <w:b w:val="0"/>
          <w:i w:val="0"/>
          <w:sz w:val="18"/>
        </w:rPr>
        <w:t>spack.include</w:t>
      </w:r>
      <w:r>
        <w:rPr>
          <w:b w:val="0"/>
          <w:i w:val="0"/>
        </w:rPr>
        <w:t xml:space="preserve"> list. Apply the reviewed deployment access policy consistently to every environment that writes to the same install tree, and retain the policy file with the release.</w:t>
      </w:r>
    </w:p>
    <w:p>
      <w:pPr/>
      <w:r>
        <w:rPr>
          <w:b w:val="0"/>
          <w:i w:val="0"/>
        </w:rPr>
        <w:t>For the approved Spack runtime, verify the merged configuration before installation:</w:t>
      </w:r>
    </w:p>
    <w:p>
      <w:pPr>
        <w:keepLines/>
        <w:widowControl/>
        <w:spacing w:before="40" w:after="160" w:line="245" w:lineRule="auto"/>
        <w:ind w:left="115" w:right="43"/>
      </w:pPr>
      <w:r>
        <w:rPr>
          <w:rFonts w:ascii="Courier New" w:hAnsi="Courier New"/>
          <w:b w:val="0"/>
          <w:i w:val="0"/>
          <w:sz w:val="18"/>
        </w:rPr>
        <w:t>spack -C "$BOOTSTRAP_CONFIG_DIR" -e "$ENVIRONMENT_ROOT" config get packages</w:t>
      </w:r>
    </w:p>
    <w:p>
      <w:pPr/>
      <w:r>
        <w:rPr>
          <w:b w:val="0"/>
          <w:i w:val="0"/>
        </w:rPr>
        <w:t xml:space="preserve">The published filesystem contract is </w:t>
      </w:r>
      <w:r>
        <w:rPr>
          <w:rFonts w:ascii="Courier New" w:hAnsi="Courier New"/>
          <w:b w:val="0"/>
          <w:i w:val="0"/>
          <w:sz w:val="18"/>
        </w:rPr>
        <w:t>2775</w:t>
      </w:r>
      <w:r>
        <w:rPr>
          <w:b w:val="0"/>
          <w:i w:val="0"/>
        </w:rPr>
        <w:t xml:space="preserve"> for directories, </w:t>
      </w:r>
      <w:r>
        <w:rPr>
          <w:rFonts w:ascii="Courier New" w:hAnsi="Courier New"/>
          <w:b w:val="0"/>
          <w:i w:val="0"/>
          <w:sz w:val="18"/>
        </w:rPr>
        <w:t>0775</w:t>
      </w:r>
      <w:r>
        <w:rPr>
          <w:b w:val="0"/>
          <w:i w:val="0"/>
        </w:rPr>
        <w:t xml:space="preserve"> for executable files, and </w:t>
      </w:r>
      <w:r>
        <w:rPr>
          <w:rFonts w:ascii="Courier New" w:hAnsi="Courier New"/>
          <w:b w:val="0"/>
          <w:i w:val="0"/>
          <w:sz w:val="18"/>
        </w:rPr>
        <w:t>0664</w:t>
      </w:r>
      <w:r>
        <w:rPr>
          <w:b w:val="0"/>
          <w:i w:val="0"/>
        </w:rPr>
        <w:t xml:space="preserve"> for ordinary files. The owner and approved package manager group can write. Users outside the group can traverse directories, run executables, and read ordinary files, but cannot write. The leading </w:t>
      </w:r>
      <w:r>
        <w:rPr>
          <w:rFonts w:ascii="Courier New" w:hAnsi="Courier New"/>
          <w:b w:val="0"/>
          <w:i w:val="0"/>
          <w:sz w:val="18"/>
        </w:rPr>
        <w:t>2</w:t>
      </w:r>
      <w:r>
        <w:rPr>
          <w:b w:val="0"/>
          <w:i w:val="0"/>
        </w:rPr>
        <w:t xml:space="preserve"> is the setgid bit, which makes new entries inherit the directory's group; it is not the sticky bit. Sticky is the leading </w:t>
      </w:r>
      <w:r>
        <w:rPr>
          <w:rFonts w:ascii="Courier New" w:hAnsi="Courier New"/>
          <w:b w:val="0"/>
          <w:i w:val="0"/>
          <w:sz w:val="18"/>
        </w:rPr>
        <w:t>1</w:t>
      </w:r>
      <w:r>
        <w:rPr>
          <w:b w:val="0"/>
          <w:i w:val="0"/>
        </w:rPr>
        <w:t xml:space="preserve"> bit and is not used here.</w:t>
      </w:r>
    </w:p>
    <w:p>
      <w:pPr/>
      <w:r>
        <w:rPr>
          <w:b w:val="0"/>
          <w:i w:val="0"/>
        </w:rPr>
        <w:t xml:space="preserve">For a restricted build tree, change only </w:t>
      </w:r>
      <w:r>
        <w:rPr>
          <w:rFonts w:ascii="Courier New" w:hAnsi="Courier New"/>
          <w:b w:val="0"/>
          <w:i w:val="0"/>
          <w:sz w:val="18"/>
        </w:rPr>
        <w:t>read</w:t>
      </w:r>
      <w:r>
        <w:rPr>
          <w:b w:val="0"/>
          <w:i w:val="0"/>
        </w:rPr>
        <w:t xml:space="preserve"> from </w:t>
      </w:r>
      <w:r>
        <w:rPr>
          <w:rFonts w:ascii="Courier New" w:hAnsi="Courier New"/>
          <w:b w:val="0"/>
          <w:i w:val="0"/>
          <w:sz w:val="18"/>
        </w:rPr>
        <w:t>world</w:t>
      </w:r>
      <w:r>
        <w:rPr>
          <w:b w:val="0"/>
          <w:i w:val="0"/>
        </w:rPr>
        <w:t xml:space="preserve"> to </w:t>
      </w:r>
      <w:r>
        <w:rPr>
          <w:rFonts w:ascii="Courier New" w:hAnsi="Courier New"/>
          <w:b w:val="0"/>
          <w:i w:val="0"/>
          <w:sz w:val="18"/>
        </w:rPr>
        <w:t>group</w:t>
      </w:r>
      <w:r>
        <w:rPr>
          <w:b w:val="0"/>
          <w:i w:val="0"/>
        </w:rPr>
        <w:t xml:space="preserve"> and retain </w:t>
      </w:r>
      <w:r>
        <w:rPr>
          <w:rFonts w:ascii="Courier New" w:hAnsi="Courier New"/>
          <w:b w:val="0"/>
          <w:i w:val="0"/>
          <w:sz w:val="18"/>
        </w:rPr>
        <w:t>write: group</w:t>
      </w:r>
      <w:r>
        <w:rPr>
          <w:b w:val="0"/>
          <w:i w:val="0"/>
        </w:rPr>
        <w:t xml:space="preserve">. Its normal modes are </w:t>
      </w:r>
      <w:r>
        <w:rPr>
          <w:rFonts w:ascii="Courier New" w:hAnsi="Courier New"/>
          <w:b w:val="0"/>
          <w:i w:val="0"/>
          <w:sz w:val="18"/>
        </w:rPr>
        <w:t>2770</w:t>
      </w:r>
      <w:r>
        <w:rPr>
          <w:b w:val="0"/>
          <w:i w:val="0"/>
        </w:rPr>
        <w:t xml:space="preserve">, </w:t>
      </w:r>
      <w:r>
        <w:rPr>
          <w:rFonts w:ascii="Courier New" w:hAnsi="Courier New"/>
          <w:b w:val="0"/>
          <w:i w:val="0"/>
          <w:sz w:val="18"/>
        </w:rPr>
        <w:t>0770</w:t>
      </w:r>
      <w:r>
        <w:rPr>
          <w:b w:val="0"/>
          <w:i w:val="0"/>
        </w:rPr>
        <w:t xml:space="preserve">, and </w:t>
      </w:r>
      <w:r>
        <w:rPr>
          <w:rFonts w:ascii="Courier New" w:hAnsi="Courier New"/>
          <w:b w:val="0"/>
          <w:i w:val="0"/>
          <w:sz w:val="18"/>
        </w:rPr>
        <w:t>0660</w:t>
      </w:r>
      <w:r>
        <w:rPr>
          <w:b w:val="0"/>
          <w:i w:val="0"/>
        </w:rPr>
        <w:t>. Keep the private build cache in the restricted tree. General users consume the final installed prefixes, views, and modules rather than the private cache.</w:t>
      </w:r>
    </w:p>
    <w:p>
      <w:pPr>
        <w:pStyle w:val="Heading2"/>
      </w:pPr>
      <w:r>
        <w:rPr>
          <w:b w:val="0"/>
          <w:i w:val="0"/>
        </w:rPr>
        <w:t>4.2 Spack configuration ownership</w:t>
      </w:r>
    </w:p>
    <w:p>
      <w:pPr/>
      <w:r>
        <w:rPr>
          <w:b w:val="0"/>
          <w:i w:val="0"/>
        </w:rPr>
        <w:t>Record portable package intent separately from system deployment choices. A managed stack uses these durable inputs: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5" w:type="dxa"/>
          <w:bottom w:w="95" w:type="dxa"/>
          <w:left w:w="115" w:type="dxa"/>
          <w:right w:w="115" w:type="dxa"/>
        </w:tblCellMar>
      </w:tblPr>
      <w:tblGrid>
        <w:gridCol w:w="2304"/>
        <w:gridCol w:w="3096"/>
        <w:gridCol w:w="4752"/>
      </w:tblGrid>
      <w:tr>
        <w:trPr>
          <w:cantSplit/>
          <w:tblHeader/>
        </w:trPr>
        <w:tc>
          <w:tcPr>
            <w:tcW w:type="dxa" w:w="2304"/>
            <w:vAlign w:val="center"/>
            <w:shd w:fill="DCE6F1"/>
          </w:tcPr>
          <w:p>
            <w:pPr>
              <w:keepNext w:val="0"/>
              <w:widowControl w:val="0"/>
              <w:spacing w:after="0" w:before="0" w:line="250" w:lineRule="auto"/>
            </w:pPr>
            <w:r>
              <w:rPr>
                <w:b/>
                <w:i w:val="0"/>
                <w:sz w:val="20"/>
              </w:rPr>
              <w:t>Information</w:t>
            </w:r>
          </w:p>
        </w:tc>
        <w:tc>
          <w:tcPr>
            <w:tcW w:type="dxa" w:w="3096"/>
            <w:vAlign w:val="center"/>
            <w:shd w:fill="DCE6F1"/>
          </w:tcPr>
          <w:p>
            <w:pPr>
              <w:keepNext w:val="0"/>
              <w:widowControl w:val="0"/>
              <w:spacing w:after="0" w:before="0" w:line="250" w:lineRule="auto"/>
            </w:pPr>
            <w:r>
              <w:rPr>
                <w:b/>
                <w:i w:val="0"/>
                <w:sz w:val="20"/>
              </w:rPr>
              <w:t>Authoritative input</w:t>
            </w:r>
          </w:p>
        </w:tc>
        <w:tc>
          <w:tcPr>
            <w:tcW w:type="dxa" w:w="4752"/>
            <w:vAlign w:val="center"/>
            <w:shd w:fill="DCE6F1"/>
          </w:tcPr>
          <w:p>
            <w:pPr>
              <w:keepNext w:val="0"/>
              <w:widowControl w:val="0"/>
              <w:spacing w:after="0" w:before="0" w:line="250" w:lineRule="auto"/>
            </w:pPr>
            <w:r>
              <w:rPr>
                <w:b/>
                <w:i w:val="0"/>
                <w:sz w:val="20"/>
              </w:rPr>
              <w:t>Spack output or configuration</w:t>
            </w:r>
          </w:p>
        </w:tc>
      </w:tr>
      <w:tr>
        <w:trPr>
          <w:cantSplit/>
        </w:trPr>
        <w:tc>
          <w:tcPr>
            <w:tcW w:type="dxa" w:w="2304"/>
            <w:vAlign w:val="center"/>
          </w:tcPr>
          <w:p>
            <w:pPr>
              <w:keepNext w:val="0"/>
              <w:widowControl w:val="0"/>
              <w:spacing w:after="0" w:before="0" w:line="250" w:lineRule="auto"/>
            </w:pPr>
            <w:r>
              <w:rPr>
                <w:b w:val="0"/>
                <w:i w:val="0"/>
                <w:sz w:val="20"/>
              </w:rPr>
              <w:t>Observed compiler, MPI, GPU, operating-system, and external-package facts</w:t>
            </w:r>
          </w:p>
        </w:tc>
        <w:tc>
          <w:tcPr>
            <w:tcW w:type="dxa" w:w="3096"/>
            <w:vAlign w:val="center"/>
          </w:tcPr>
          <w:p>
            <w:pPr>
              <w:keepNext w:val="0"/>
              <w:widowControl w:val="0"/>
              <w:spacing w:after="0" w:before="0" w:line="250" w:lineRule="auto"/>
            </w:pPr>
            <w:r>
              <w:rPr>
                <w:b w:val="0"/>
                <w:i w:val="0"/>
                <w:sz w:val="20"/>
              </w:rPr>
              <w:t>Reviewed platform evidence retained with the static catalog</w:t>
            </w:r>
          </w:p>
        </w:tc>
        <w:tc>
          <w:tcPr>
            <w:tcW w:type="dxa" w:w="4752"/>
            <w:vAlign w:val="center"/>
          </w:tcPr>
          <w:p>
            <w:pPr>
              <w:keepNext w:val="0"/>
              <w:widowControl w:val="0"/>
              <w:spacing w:after="0" w:before="0" w:line="250" w:lineRule="auto"/>
            </w:pPr>
            <w:r>
              <w:rPr>
                <w:b w:val="0"/>
                <w:i w:val="0"/>
                <w:sz w:val="20"/>
              </w:rPr>
              <w:t xml:space="preserve">Selected </w:t>
            </w:r>
            <w:r>
              <w:rPr>
                <w:rFonts w:ascii="Courier New" w:hAnsi="Courier New"/>
                <w:b w:val="0"/>
                <w:i w:val="0"/>
                <w:sz w:val="18"/>
              </w:rPr>
              <w:t>packages.yaml</w:t>
            </w:r>
            <w:r>
              <w:rPr>
                <w:b w:val="0"/>
                <w:i w:val="0"/>
                <w:sz w:val="20"/>
              </w:rPr>
              <w:t>, compiler, target, and provider scopes</w:t>
            </w:r>
          </w:p>
        </w:tc>
      </w:tr>
      <w:tr>
        <w:trPr>
          <w:cantSplit/>
        </w:trPr>
        <w:tc>
          <w:tcPr>
            <w:tcW w:type="dxa" w:w="2304"/>
            <w:vAlign w:val="center"/>
          </w:tcPr>
          <w:p>
            <w:pPr>
              <w:keepNext w:val="0"/>
              <w:widowControl w:val="0"/>
              <w:spacing w:after="0" w:before="0" w:line="250" w:lineRule="auto"/>
            </w:pPr>
            <w:r>
              <w:rPr>
                <w:b w:val="0"/>
                <w:i w:val="0"/>
                <w:sz w:val="20"/>
              </w:rPr>
              <w:t>Package names, versions, variants, dependency constraints, and compiler/provider selection</w:t>
            </w:r>
          </w:p>
        </w:tc>
        <w:tc>
          <w:tcPr>
            <w:tcW w:type="dxa" w:w="3096"/>
            <w:vAlign w:val="center"/>
          </w:tcPr>
          <w:p>
            <w:pPr>
              <w:keepNext w:val="0"/>
              <w:widowControl w:val="0"/>
              <w:spacing w:after="0" w:before="0" w:line="250" w:lineRule="auto"/>
            </w:pPr>
            <w:r>
              <w:rPr>
                <w:b w:val="0"/>
                <w:i w:val="0"/>
                <w:sz w:val="20"/>
              </w:rPr>
              <w:t xml:space="preserve">Package-manager-owned </w:t>
            </w:r>
            <w:r>
              <w:rPr>
                <w:rFonts w:ascii="Courier New" w:hAnsi="Courier New"/>
                <w:b w:val="0"/>
                <w:i w:val="0"/>
                <w:sz w:val="18"/>
              </w:rPr>
              <w:t>spack.yaml</w:t>
            </w:r>
          </w:p>
        </w:tc>
        <w:tc>
          <w:tcPr>
            <w:tcW w:type="dxa" w:w="4752"/>
            <w:vAlign w:val="center"/>
          </w:tcPr>
          <w:p>
            <w:pPr>
              <w:keepNext w:val="0"/>
              <w:widowControl w:val="0"/>
              <w:spacing w:after="0" w:before="0" w:line="250" w:lineRule="auto"/>
            </w:pPr>
            <w:r>
              <w:rPr>
                <w:rFonts w:ascii="Courier New" w:hAnsi="Courier New"/>
                <w:b w:val="0"/>
                <w:i w:val="0"/>
                <w:sz w:val="18"/>
              </w:rPr>
              <w:t>spack.specs</w:t>
            </w:r>
            <w:r>
              <w:rPr>
                <w:b w:val="0"/>
                <w:i w:val="0"/>
                <w:sz w:val="20"/>
              </w:rPr>
              <w:t xml:space="preserve"> and explicit compiler or toolchain constraints</w:t>
            </w:r>
          </w:p>
        </w:tc>
      </w:tr>
      <w:tr>
        <w:trPr>
          <w:cantSplit/>
        </w:trPr>
        <w:tc>
          <w:tcPr>
            <w:tcW w:type="dxa" w:w="2304"/>
            <w:vAlign w:val="center"/>
          </w:tcPr>
          <w:p>
            <w:pPr>
              <w:keepNext w:val="0"/>
              <w:widowControl w:val="0"/>
              <w:spacing w:after="0" w:before="0" w:line="250" w:lineRule="auto"/>
            </w:pPr>
            <w:r>
              <w:rPr>
                <w:b w:val="0"/>
                <w:i w:val="0"/>
                <w:sz w:val="20"/>
              </w:rPr>
              <w:t>Install tree, build stage, source and miscellaneous caches, view and module roots, build-cache destinations, and access policy</w:t>
            </w:r>
          </w:p>
        </w:tc>
        <w:tc>
          <w:tcPr>
            <w:tcW w:type="dxa" w:w="3096"/>
            <w:vAlign w:val="center"/>
          </w:tcPr>
          <w:p>
            <w:pPr>
              <w:keepNext w:val="0"/>
              <w:widowControl w:val="0"/>
              <w:spacing w:after="0" w:before="0" w:line="250" w:lineRule="auto"/>
            </w:pPr>
            <w:r>
              <w:rPr>
                <w:b w:val="0"/>
                <w:i w:val="0"/>
                <w:sz w:val="20"/>
              </w:rPr>
              <w:t>Controlled deployment record with the actual values from Section 3</w:t>
            </w:r>
          </w:p>
        </w:tc>
        <w:tc>
          <w:tcPr>
            <w:tcW w:type="dxa" w:w="4752"/>
            <w:vAlign w:val="center"/>
          </w:tcPr>
          <w:p>
            <w:pPr>
              <w:keepNext w:val="0"/>
              <w:widowControl w:val="0"/>
              <w:spacing w:after="0" w:before="0" w:line="250" w:lineRule="auto"/>
            </w:pPr>
            <w:r>
              <w:rPr>
                <w:rFonts w:ascii="Courier New" w:hAnsi="Courier New"/>
                <w:b w:val="0"/>
                <w:i w:val="0"/>
                <w:sz w:val="18"/>
              </w:rPr>
              <w:t>config.yaml</w:t>
            </w:r>
            <w:r>
              <w:rPr>
                <w:b w:val="0"/>
                <w:i w:val="0"/>
                <w:sz w:val="20"/>
              </w:rPr>
              <w:t xml:space="preserve">, </w:t>
            </w:r>
            <w:r>
              <w:rPr>
                <w:rFonts w:ascii="Courier New" w:hAnsi="Courier New"/>
                <w:b w:val="0"/>
                <w:i w:val="0"/>
                <w:sz w:val="18"/>
              </w:rPr>
              <w:t>packages.yaml</w:t>
            </w:r>
            <w:r>
              <w:rPr>
                <w:b w:val="0"/>
                <w:i w:val="0"/>
                <w:sz w:val="20"/>
              </w:rPr>
              <w:t xml:space="preserve">, </w:t>
            </w:r>
            <w:r>
              <w:rPr>
                <w:rFonts w:ascii="Courier New" w:hAnsi="Courier New"/>
                <w:b w:val="0"/>
                <w:i w:val="0"/>
                <w:sz w:val="18"/>
              </w:rPr>
              <w:t>modules.yaml</w:t>
            </w:r>
            <w:r>
              <w:rPr>
                <w:b w:val="0"/>
                <w:i w:val="0"/>
                <w:sz w:val="20"/>
              </w:rPr>
              <w:t>, mirror configuration, and view paths</w:t>
            </w:r>
          </w:p>
        </w:tc>
      </w:tr>
      <w:tr>
        <w:trPr>
          <w:cantSplit/>
        </w:trPr>
        <w:tc>
          <w:tcPr>
            <w:tcW w:type="dxa" w:w="2304"/>
            <w:vAlign w:val="center"/>
          </w:tcPr>
          <w:p>
            <w:pPr>
              <w:keepNext w:val="0"/>
              <w:widowControl w:val="0"/>
              <w:spacing w:after="0" w:before="0" w:line="250" w:lineRule="auto"/>
            </w:pPr>
            <w:r>
              <w:rPr>
                <w:b w:val="0"/>
                <w:i w:val="0"/>
                <w:sz w:val="20"/>
              </w:rPr>
              <w:t>Site-wide provider and selection defaults</w:t>
            </w:r>
          </w:p>
        </w:tc>
        <w:tc>
          <w:tcPr>
            <w:tcW w:type="dxa" w:w="3096"/>
            <w:vAlign w:val="center"/>
          </w:tcPr>
          <w:p>
            <w:pPr>
              <w:keepNext w:val="0"/>
              <w:widowControl w:val="0"/>
              <w:spacing w:after="0" w:before="0" w:line="250" w:lineRule="auto"/>
            </w:pPr>
            <w:r>
              <w:rPr>
                <w:b w:val="0"/>
                <w:i w:val="0"/>
                <w:sz w:val="20"/>
              </w:rPr>
              <w:t>Reviewed defaults and catalog policy</w:t>
            </w:r>
          </w:p>
        </w:tc>
        <w:tc>
          <w:tcPr>
            <w:tcW w:type="dxa" w:w="4752"/>
            <w:vAlign w:val="center"/>
          </w:tcPr>
          <w:p>
            <w:pPr>
              <w:keepNext w:val="0"/>
              <w:widowControl w:val="0"/>
              <w:spacing w:after="0" w:before="0" w:line="250" w:lineRule="auto"/>
            </w:pPr>
            <w:r>
              <w:rPr>
                <w:b w:val="0"/>
                <w:i w:val="0"/>
                <w:sz w:val="20"/>
              </w:rPr>
              <w:t>Included configuration scopes</w:t>
            </w:r>
          </w:p>
        </w:tc>
      </w:tr>
    </w:tbl>
    <w:p>
      <w:pPr>
        <w:spacing w:after="0" w:before="0" w:line="80" w:lineRule="exact"/>
      </w:pPr>
      <w:r>
        <w:rPr>
          <w:sz w:val="4"/>
        </w:rPr>
      </w:r>
    </w:p>
    <w:p>
      <w:pPr/>
      <w:r>
        <w:rPr>
          <w:b w:val="0"/>
          <w:i w:val="0"/>
        </w:rPr>
        <w:t xml:space="preserve">Choose the owning input before making a local correction. Package versions, variants, dependency constraints, and compiler/provider selection belong in the environment or reviewed </w:t>
      </w:r>
      <w:r>
        <w:rPr>
          <w:rFonts w:ascii="Courier New" w:hAnsi="Courier New"/>
          <w:b w:val="0"/>
          <w:i w:val="0"/>
          <w:sz w:val="18"/>
        </w:rPr>
        <w:t>packages.yaml</w:t>
      </w:r>
      <w:r>
        <w:rPr>
          <w:b w:val="0"/>
          <w:i w:val="0"/>
        </w:rPr>
        <w:t xml:space="preserve"> scopes. Paths, access, mirrors, views, and module presentation belong in deployment configuration. Correct inaccurate platform facts through the catalog owner and use the resulting reviewed catalog revision. Verify the effective values with the commands below.</w:t>
      </w:r>
    </w:p>
    <w:p>
      <w:pPr/>
      <w:r>
        <w:rPr>
          <w:b w:val="0"/>
          <w:i w:val="0"/>
        </w:rPr>
        <w:t>Use a local package recipe or source patch when the pinned recipe or package source needs a build correction; follow Section 7.6. This can preserve the upstream package-repository pin while separately versioning the local change. Do not encode deployment paths or routine package selections in a recipe merely to avoid correcting their owning configuration. Every retained configuration change still follows Section 12 and the applicable release checks.</w:t>
      </w:r>
    </w:p>
    <w:p>
      <w:pPr/>
      <w:r>
        <w:rPr>
          <w:b w:val="0"/>
          <w:i w:val="0"/>
        </w:rPr>
        <w:t>Do not use an operator-local shell-variable bundle as the release contract. Shell variables may shorten commands during one session, but the retained environment source, deployment record, lockfile, and release record must contain the reviewed values.</w:t>
      </w:r>
    </w:p>
    <w:p>
      <w:pPr/>
      <w:r>
        <w:rPr>
          <w:b w:val="0"/>
          <w:i w:val="0"/>
        </w:rPr>
        <w:t>At minimum, the effective Spack configuration must explicitly resolve these settings before concretization:</w:t>
      </w:r>
    </w:p>
    <w:p>
      <w:pPr>
        <w:keepLines/>
        <w:widowControl/>
        <w:spacing w:before="40" w:after="160" w:line="245" w:lineRule="auto"/>
        <w:ind w:left="115" w:right="43"/>
      </w:pPr>
      <w:r>
        <w:rPr>
          <w:rFonts w:ascii="Courier New" w:hAnsi="Courier New"/>
          <w:b w:val="0"/>
          <w:i w:val="0"/>
          <w:sz w:val="18"/>
        </w:rPr>
        <w:t>config:</w:t>
        <w:br/>
        <w:t xml:space="preserve">  install_tree:</w:t>
        <w:br/>
        <w:t xml:space="preserve">    root: &lt;absolute-install-tree&gt;</w:t>
        <w:br/>
        <w:t xml:space="preserve">  build_stage:</w:t>
        <w:br/>
        <w:t xml:space="preserve">    - &lt;absolute-per-builder-stage&gt;</w:t>
        <w:br/>
        <w:t xml:space="preserve">  source_cache: &lt;absolute-reviewed-source-cache&gt;</w:t>
        <w:br/>
        <w:t xml:space="preserve">  misc_cache: &lt;absolute-builder-misc-cache&gt;</w:t>
        <w:br/>
        <w:t xml:space="preserve">  locks: true</w:t>
      </w:r>
    </w:p>
    <w:p>
      <w:pPr/>
      <w:r>
        <w:rPr>
          <w:b w:val="0"/>
          <w:i w:val="0"/>
        </w:rPr>
        <w:t xml:space="preserve">Keep </w:t>
      </w:r>
      <w:r>
        <w:rPr>
          <w:rFonts w:ascii="Courier New" w:hAnsi="Courier New"/>
          <w:b w:val="0"/>
          <w:i w:val="0"/>
          <w:sz w:val="18"/>
        </w:rPr>
        <w:t>SPACK_USER_CACHE_PATH</w:t>
      </w:r>
      <w:r>
        <w:rPr>
          <w:b w:val="0"/>
          <w:i w:val="0"/>
        </w:rPr>
        <w:t>, bootstrap state, and the signing keyring outside that shared configuration because they are private to the active builder. Configure build-cache mirrors separately from the source cache. A source cache contains fetched source inputs. A build cache contains installed concrete packages and their metadata. They are different trust and promotion boundaries.</w:t>
      </w:r>
    </w:p>
    <w:p>
      <w:pPr/>
      <w:r>
        <w:rPr>
          <w:b w:val="0"/>
          <w:i w:val="0"/>
        </w:rPr>
        <w:t xml:space="preserve">Module configuration must state whether module generation is enabled, the absolute generated-module root, the naming or projection policy, and required dependency loads and conflicts. The SOP does not prescribe one complete </w:t>
      </w:r>
      <w:r>
        <w:rPr>
          <w:rFonts w:ascii="Courier New" w:hAnsi="Courier New"/>
          <w:b w:val="0"/>
          <w:i w:val="0"/>
          <w:sz w:val="18"/>
        </w:rPr>
        <w:t>modules.yaml</w:t>
      </w:r>
      <w:r>
        <w:rPr>
          <w:b w:val="0"/>
          <w:i w:val="0"/>
        </w:rPr>
        <w:t>; the package manager selects those presentation details and retains the generated file with the release.</w:t>
      </w:r>
    </w:p>
    <w:p>
      <w:pPr/>
      <w:r>
        <w:rPr>
          <w:b w:val="0"/>
          <w:i w:val="0"/>
        </w:rPr>
        <w:t>Verify the merged values rather than assuming that the intended file won scope precedence:</w:t>
      </w:r>
    </w:p>
    <w:p>
      <w:pPr>
        <w:keepLines/>
        <w:widowControl/>
        <w:spacing w:before="40" w:after="160" w:line="245" w:lineRule="auto"/>
        <w:ind w:left="115" w:right="43"/>
      </w:pPr>
      <w:r>
        <w:rPr>
          <w:rFonts w:ascii="Courier New" w:hAnsi="Courier New"/>
          <w:b w:val="0"/>
          <w:i w:val="0"/>
          <w:sz w:val="18"/>
        </w:rPr>
        <w:t>spack -C "$BOOTSTRAP_CONFIG_DIR" -e "$ENVIRONMENT_ROOT" config get config</w:t>
        <w:br/>
        <w:t>spack -C "$BOOTSTRAP_CONFIG_DIR" -e "$ENVIRONMENT_ROOT" config get packages</w:t>
        <w:br/>
        <w:t>spack -C "$BOOTSTRAP_CONFIG_DIR" -e "$ENVIRONMENT_ROOT" config get mirrors</w:t>
        <w:br/>
        <w:t>spack -C "$BOOTSTRAP_CONFIG_DIR" -e "$ENVIRONMENT_ROOT" config get modules</w:t>
        <w:br/>
        <w:t>spack -C "$BOOTSTRAP_CONFIG_DIR" -e "$ENVIRONMENT_ROOT" config scopes -vp</w:t>
      </w:r>
    </w:p>
    <w:p>
      <w:pPr>
        <w:pStyle w:val="Heading2"/>
      </w:pPr>
      <w:r>
        <w:rPr>
          <w:b w:val="0"/>
          <w:i w:val="0"/>
        </w:rPr>
        <w:t>4.3 Supply-chain security boundary</w:t>
      </w:r>
    </w:p>
    <w:p>
      <w:pPr/>
      <w:r>
        <w:rPr>
          <w:b w:val="0"/>
          <w:i w:val="0"/>
        </w:rPr>
        <w:t>Treat the Spack runtime, package repositories, package recipes, patches, fetched sources, external packages, and binary caches as separate inputs to the release. A checksum proves that fetched bytes match the checksum approved by the recipe. It does not prove that the recipe, upstream source, or dependency is safe. A lockfile fixes the selected concrete graph; it does not replace review of a changed recipe repository or vulnerability assessment.</w:t>
      </w:r>
    </w:p>
    <w:p>
      <w:pPr/>
      <w:r>
        <w:rPr>
          <w:b w:val="0"/>
          <w:i w:val="0"/>
        </w:rPr>
        <w:t>Apply the following gates using the later procedures: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5" w:type="dxa"/>
          <w:bottom w:w="95" w:type="dxa"/>
          <w:left w:w="115" w:type="dxa"/>
          <w:right w:w="115" w:type="dxa"/>
        </w:tblCellMar>
      </w:tblPr>
      <w:tblGrid>
        <w:gridCol w:w="2333"/>
        <w:gridCol w:w="7819"/>
      </w:tblGrid>
      <w:tr>
        <w:trPr>
          <w:cantSplit/>
          <w:tblHeader/>
        </w:trPr>
        <w:tc>
          <w:tcPr>
            <w:tcW w:type="dxa" w:w="2333"/>
            <w:vAlign w:val="center"/>
            <w:shd w:fill="DCE6F1"/>
          </w:tcPr>
          <w:p>
            <w:pPr>
              <w:keepNext w:val="0"/>
              <w:widowControl w:val="0"/>
              <w:spacing w:after="0" w:before="0" w:line="250" w:lineRule="auto"/>
            </w:pPr>
            <w:r>
              <w:rPr>
                <w:b/>
                <w:i w:val="0"/>
                <w:sz w:val="20"/>
              </w:rPr>
              <w:t>Gate</w:t>
            </w:r>
          </w:p>
        </w:tc>
        <w:tc>
          <w:tcPr>
            <w:tcW w:type="dxa" w:w="7819"/>
            <w:vAlign w:val="center"/>
            <w:shd w:fill="DCE6F1"/>
          </w:tcPr>
          <w:p>
            <w:pPr>
              <w:keepNext w:val="0"/>
              <w:widowControl w:val="0"/>
              <w:spacing w:after="0" w:before="0" w:line="250" w:lineRule="auto"/>
            </w:pPr>
            <w:r>
              <w:rPr>
                <w:b/>
                <w:i w:val="0"/>
                <w:sz w:val="20"/>
              </w:rPr>
              <w:t>Required result</w:t>
            </w:r>
          </w:p>
        </w:tc>
      </w:tr>
      <w:tr>
        <w:trPr>
          <w:cantSplit/>
        </w:trPr>
        <w:tc>
          <w:tcPr>
            <w:tcW w:type="dxa" w:w="2333"/>
            <w:vAlign w:val="center"/>
          </w:tcPr>
          <w:p>
            <w:pPr>
              <w:keepNext w:val="0"/>
              <w:widowControl w:val="0"/>
              <w:spacing w:after="0" w:before="0" w:line="250" w:lineRule="auto"/>
            </w:pPr>
            <w:r>
              <w:rPr>
                <w:b w:val="0"/>
                <w:i w:val="0"/>
                <w:sz w:val="20"/>
              </w:rPr>
              <w:t>Admit inputs, Section 8.1</w:t>
            </w:r>
          </w:p>
        </w:tc>
        <w:tc>
          <w:tcPr>
            <w:tcW w:type="dxa" w:w="7819"/>
            <w:vAlign w:val="center"/>
          </w:tcPr>
          <w:p>
            <w:pPr>
              <w:keepNext w:val="0"/>
              <w:widowControl w:val="0"/>
              <w:spacing w:after="0" w:before="0" w:line="250" w:lineRule="auto"/>
            </w:pPr>
            <w:r>
              <w:rPr>
                <w:b w:val="0"/>
                <w:i w:val="0"/>
                <w:sz w:val="20"/>
              </w:rPr>
              <w:t>Pinned tool and repository identities, complete inventory, risk-based review and scan dispositions</w:t>
            </w:r>
          </w:p>
        </w:tc>
      </w:tr>
      <w:tr>
        <w:trPr>
          <w:cantSplit/>
        </w:trPr>
        <w:tc>
          <w:tcPr>
            <w:tcW w:type="dxa" w:w="2333"/>
            <w:vAlign w:val="center"/>
          </w:tcPr>
          <w:p>
            <w:pPr>
              <w:keepNext w:val="0"/>
              <w:widowControl w:val="0"/>
              <w:spacing w:after="0" w:before="0" w:line="250" w:lineRule="auto"/>
            </w:pPr>
            <w:r>
              <w:rPr>
                <w:b w:val="0"/>
                <w:i w:val="0"/>
                <w:sz w:val="20"/>
              </w:rPr>
              <w:t>Acquire and transfer, Sections 9.1–9.2</w:t>
            </w:r>
          </w:p>
        </w:tc>
        <w:tc>
          <w:tcPr>
            <w:tcW w:type="dxa" w:w="7819"/>
            <w:vAlign w:val="center"/>
          </w:tcPr>
          <w:p>
            <w:pPr>
              <w:keepNext w:val="0"/>
              <w:widowControl w:val="0"/>
              <w:spacing w:after="0" w:before="0" w:line="250" w:lineRule="auto"/>
            </w:pPr>
            <w:r>
              <w:rPr>
                <w:b w:val="0"/>
                <w:i w:val="0"/>
                <w:sz w:val="20"/>
              </w:rPr>
              <w:t>Approved source and binary mirrors, complete bundle when required, verified origin and destination bytes</w:t>
            </w:r>
          </w:p>
        </w:tc>
      </w:tr>
      <w:tr>
        <w:trPr>
          <w:cantSplit/>
        </w:trPr>
        <w:tc>
          <w:tcPr>
            <w:tcW w:type="dxa" w:w="2333"/>
            <w:vAlign w:val="center"/>
          </w:tcPr>
          <w:p>
            <w:pPr>
              <w:keepNext w:val="0"/>
              <w:widowControl w:val="0"/>
              <w:spacing w:after="0" w:before="0" w:line="250" w:lineRule="auto"/>
            </w:pPr>
            <w:r>
              <w:rPr>
                <w:b w:val="0"/>
                <w:i w:val="0"/>
                <w:sz w:val="20"/>
              </w:rPr>
              <w:t>Build and validate, Section 9.3</w:t>
            </w:r>
          </w:p>
        </w:tc>
        <w:tc>
          <w:tcPr>
            <w:tcW w:type="dxa" w:w="7819"/>
            <w:vAlign w:val="center"/>
          </w:tcPr>
          <w:p>
            <w:pPr>
              <w:keepNext w:val="0"/>
              <w:widowControl w:val="0"/>
              <w:spacing w:after="0" w:before="0" w:line="250" w:lineRule="auto"/>
            </w:pPr>
            <w:r>
              <w:rPr>
                <w:b w:val="0"/>
                <w:i w:val="0"/>
                <w:sz w:val="20"/>
              </w:rPr>
              <w:t>Nonprivileged controlled build, approved network restriction, target-system tests and retained evidence</w:t>
            </w:r>
          </w:p>
        </w:tc>
      </w:tr>
      <w:tr>
        <w:trPr>
          <w:cantSplit/>
        </w:trPr>
        <w:tc>
          <w:tcPr>
            <w:tcW w:type="dxa" w:w="2333"/>
            <w:vAlign w:val="center"/>
          </w:tcPr>
          <w:p>
            <w:pPr>
              <w:keepNext w:val="0"/>
              <w:widowControl w:val="0"/>
              <w:spacing w:after="0" w:before="0" w:line="250" w:lineRule="auto"/>
            </w:pPr>
            <w:r>
              <w:rPr>
                <w:b w:val="0"/>
                <w:i w:val="0"/>
                <w:sz w:val="20"/>
              </w:rPr>
              <w:t>Review and release, Sections 10.1–10.4</w:t>
            </w:r>
          </w:p>
        </w:tc>
        <w:tc>
          <w:tcPr>
            <w:tcW w:type="dxa" w:w="7819"/>
            <w:vAlign w:val="center"/>
          </w:tcPr>
          <w:p>
            <w:pPr>
              <w:keepNext w:val="0"/>
              <w:widowControl w:val="0"/>
              <w:spacing w:after="0" w:before="0" w:line="250" w:lineRule="auto"/>
            </w:pPr>
            <w:r>
              <w:rPr>
                <w:b w:val="0"/>
                <w:i w:val="0"/>
                <w:sz w:val="20"/>
              </w:rPr>
              <w:t>Independent review, approved signing identity, exact accepted hashes, controlled publication and inventories</w:t>
            </w:r>
          </w:p>
        </w:tc>
      </w:tr>
      <w:tr>
        <w:trPr>
          <w:cantSplit/>
        </w:trPr>
        <w:tc>
          <w:tcPr>
            <w:tcW w:type="dxa" w:w="2333"/>
            <w:vAlign w:val="center"/>
          </w:tcPr>
          <w:p>
            <w:pPr>
              <w:keepNext w:val="0"/>
              <w:widowControl w:val="0"/>
              <w:spacing w:after="0" w:before="0" w:line="250" w:lineRule="auto"/>
            </w:pPr>
            <w:r>
              <w:rPr>
                <w:b w:val="0"/>
                <w:i w:val="0"/>
                <w:sz w:val="20"/>
              </w:rPr>
              <w:t>Maintain, Sections 12–14</w:t>
            </w:r>
          </w:p>
        </w:tc>
        <w:tc>
          <w:tcPr>
            <w:tcW w:type="dxa" w:w="7819"/>
            <w:vAlign w:val="center"/>
          </w:tcPr>
          <w:p>
            <w:pPr>
              <w:keepNext w:val="0"/>
              <w:widowControl w:val="0"/>
              <w:spacing w:after="0" w:before="0" w:line="250" w:lineRule="auto"/>
            </w:pPr>
            <w:r>
              <w:rPr>
                <w:b w:val="0"/>
                <w:i w:val="0"/>
                <w:sz w:val="20"/>
              </w:rPr>
              <w:t>Advisory handling, recorded exceptions, retention, withdrawal and rollback</w:t>
            </w:r>
          </w:p>
        </w:tc>
      </w:tr>
    </w:tbl>
    <w:p>
      <w:pPr>
        <w:spacing w:after="0" w:before="0" w:line="80" w:lineRule="exact"/>
      </w:pPr>
      <w:r>
        <w:rPr>
          <w:sz w:val="4"/>
        </w:rPr>
      </w:r>
    </w:p>
    <w:p>
      <w:pPr/>
      <w:r>
        <w:rPr>
          <w:b w:val="0"/>
          <w:i w:val="0"/>
        </w:rPr>
        <w:t>Shared working state remains writable by the recorded build group while a candidate is assembled. An admitted baseline or accepted release is version frozen by the release process: retain its digest and approval evidence, limit writes through the site's storage controls, and verify the digests before use or handoff. Group ownership alone does not make content immutable. Changed admitted bytes return to review and receive a new recorded identity.</w:t>
      </w:r>
    </w:p>
    <w:p>
      <w:pPr/>
      <w:r>
        <w:rPr>
          <w:b w:val="0"/>
          <w:i w:val="0"/>
        </w:rPr>
        <w:t>The operating record identifies approved scanners, advisory sources, network controls, hardening requirements, and exception authority. Retain the actual result and applicable acceptance criteria; a planned control is not evidence that it ran. An unresolved requirement follows the hold and escalation process in Section 12.</w:t>
      </w:r>
    </w:p>
    <w:p>
      <w:pPr>
        <w:pStyle w:val="Heading2"/>
      </w:pPr>
      <w:r>
        <w:rPr>
          <w:b w:val="0"/>
          <w:i w:val="0"/>
        </w:rPr>
        <w:t>4.4 Verify the pinned runtime and package repositories</w:t>
      </w:r>
    </w:p>
    <w:p>
      <w:pPr/>
      <w:r>
        <w:rPr>
          <w:b w:val="0"/>
          <w:i w:val="0"/>
        </w:rPr>
        <w:t>Use either the approved shared checkout or an identity-equivalent builder-local checkout. The path may differ, but its version, tag, commit, and clean state may not. Run after the session setup in Section 3.1:</w:t>
      </w:r>
    </w:p>
    <w:p>
      <w:pPr>
        <w:keepLines/>
        <w:widowControl/>
        <w:spacing w:before="40" w:after="160" w:line="245" w:lineRule="auto"/>
        <w:ind w:left="115" w:right="43"/>
      </w:pPr>
      <w:r>
        <w:rPr>
          <w:rFonts w:ascii="Courier New" w:hAnsi="Courier New"/>
          <w:b w:val="0"/>
          <w:i w:val="0"/>
          <w:sz w:val="18"/>
        </w:rPr>
        <w:t>SPACK_VERSION_OUTPUT="$(spack -C "$BOOTSTRAP_CONFIG_DIR" --version)"</w:t>
        <w:br/>
        <w:t>test "${SPACK_VERSION_OUTPUT%% *}" = "$SPACK_VERSION"</w:t>
        <w:br/>
        <w:t>test "$(git -C "$SPACK_ROOT" rev-parse HEAD)" = "$SPACK_COMMIT"</w:t>
        <w:br/>
        <w:t>test "$(git -C "$SPACK_ROOT" rev-parse "${SPACK_TAG}^{commit}")" = "$SPACK_COMMIT"</w:t>
        <w:br/>
        <w:t>test -z "$(git -C "$SPACK_ROOT" status --porcelain)"</w:t>
        <w:br/>
        <w:t>spack -C "$BOOTSTRAP_CONFIG_DIR" config scopes -vp</w:t>
      </w:r>
    </w:p>
    <w:p>
      <w:pPr/>
      <w:r>
        <w:rPr>
          <w:b w:val="0"/>
          <w:i w:val="0"/>
        </w:rPr>
        <w:t>For an approved runtime supplied as an archive without Git metadata, verify its digest against the retained release identity instead. Do not pull, switch branches, edit checkout-local configuration, or replace the approved tool directory during a release. Provision a new version in a sibling directory.</w:t>
      </w:r>
    </w:p>
    <w:p>
      <w:pPr/>
      <w:r>
        <w:rPr>
          <w:b w:val="0"/>
          <w:i w:val="0"/>
        </w:rPr>
        <w:t>Admit repository provenance and assess new/changed executable recipe inputs using Section 8.1 before the first solve imports those recipes. After the solve, complete that assessment against the resolved dependency closure. Inspect every effective package repository after the environment is prepared:</w:t>
      </w:r>
    </w:p>
    <w:p>
      <w:pPr>
        <w:keepLines/>
        <w:widowControl/>
        <w:spacing w:before="40" w:after="160" w:line="245" w:lineRule="auto"/>
        <w:ind w:left="115" w:right="43"/>
      </w:pPr>
      <w:r>
        <w:rPr>
          <w:rFonts w:ascii="Courier New" w:hAnsi="Courier New"/>
          <w:b w:val="0"/>
          <w:i w:val="0"/>
          <w:sz w:val="18"/>
        </w:rPr>
        <w:t>spack -C "$BOOTSTRAP_CONFIG_DIR" -e "$ENVIRONMENT_ROOT" config get repos</w:t>
        <w:br/>
        <w:t>spack -C "$BOOTSTRAP_CONFIG_DIR" -e "$ENVIRONMENT_ROOT" repo list</w:t>
        <w:br/>
        <w:t>spack -C "$BOOTSTRAP_CONFIG_DIR" -e "$ENVIRONMENT_ROOT" config scopes -vp</w:t>
      </w:r>
    </w:p>
    <w:p>
      <w:pPr/>
      <w:r>
        <w:rPr>
          <w:b w:val="0"/>
          <w:i w:val="0"/>
        </w:rPr>
        <w:t xml:space="preserve">Compare each repository's source, commit or approved archive digest, namespace, and effective search order with the release record. Include overlays, helper code and patches that recipes import. Verify the corresponding trees are clean or match the approved archive digests; an unrecorded overlay is a failed gate. </w:t>
      </w:r>
      <w:r>
        <w:rPr>
          <w:rFonts w:ascii="Courier New" w:hAnsi="Courier New"/>
          <w:b w:val="0"/>
          <w:i w:val="0"/>
          <w:sz w:val="18"/>
        </w:rPr>
        <w:t>SPACK_DISABLE_LOCAL_CONFIG</w:t>
      </w:r>
      <w:r>
        <w:rPr>
          <w:b w:val="0"/>
          <w:i w:val="0"/>
        </w:rPr>
        <w:t xml:space="preserve"> disables user and system configuration in the command baseline. Use explicit </w:t>
      </w:r>
      <w:r>
        <w:rPr>
          <w:rFonts w:ascii="Courier New" w:hAnsi="Courier New"/>
          <w:b w:val="0"/>
          <w:i w:val="0"/>
          <w:sz w:val="18"/>
        </w:rPr>
        <w:t>include::</w:t>
      </w:r>
      <w:r>
        <w:rPr>
          <w:b w:val="0"/>
          <w:i w:val="0"/>
        </w:rPr>
        <w:t xml:space="preserve"> to select the environment's intended configuration and inspect every effective scope, repository order and security setting, including approved command-line overrides. Neither this variable nor an include list alone proves the complete configuration is approved.</w:t>
      </w:r>
    </w:p>
    <w:p>
      <w:pPr>
        <w:pStyle w:val="Heading2"/>
      </w:pPr>
      <w:r>
        <w:rPr>
          <w:b w:val="0"/>
          <w:i w:val="0"/>
        </w:rPr>
        <w:t>4.5 Prepare admitted bootstrap and runtime prerequisites</w:t>
      </w:r>
    </w:p>
    <w:p>
      <w:pPr/>
      <w:r>
        <w:rPr>
          <w:b w:val="0"/>
          <w:i w:val="0"/>
        </w:rPr>
        <w:t>Before concretization, the intake or destination system needs the approved Python, solver and other runtime tools. Use pre-provisioned admitted tools, or complete a bootstrap-only acquisition and, where needed, the authorized transfer steps in Section 9.2 before the first solve. This prerequisite bundle does not require an application lockfile. A receiver installing an already reviewed lockfile does not need to reconcretize it.</w:t>
      </w:r>
    </w:p>
    <w:p>
      <w:pPr/>
      <w:r>
        <w:rPr>
          <w:b w:val="0"/>
          <w:i w:val="0"/>
        </w:rPr>
        <w:t xml:space="preserve">Keep the approved bootstrap configuration in </w:t>
      </w:r>
      <w:r>
        <w:rPr>
          <w:rFonts w:ascii="Courier New" w:hAnsi="Courier New"/>
          <w:b w:val="0"/>
          <w:i w:val="0"/>
          <w:sz w:val="18"/>
        </w:rPr>
        <w:t>$BOOTSTRAP_CONFIG_DIR</w:t>
      </w:r>
      <w:r>
        <w:rPr>
          <w:b w:val="0"/>
          <w:i w:val="0"/>
        </w:rPr>
        <w:t xml:space="preserve"> outside the pinned checkout, and keep the active builder's mutable bootstrap root private. For pre-provisioned tools, its </w:t>
      </w:r>
      <w:r>
        <w:rPr>
          <w:rFonts w:ascii="Courier New" w:hAnsi="Courier New"/>
          <w:b w:val="0"/>
          <w:i w:val="0"/>
          <w:sz w:val="18"/>
        </w:rPr>
        <w:t>bootstrap.yaml</w:t>
      </w:r>
      <w:r>
        <w:rPr>
          <w:b w:val="0"/>
          <w:i w:val="0"/>
        </w:rPr>
        <w:t xml:space="preserve"> is:</w:t>
      </w:r>
    </w:p>
    <w:p>
      <w:pPr>
        <w:keepLines/>
        <w:widowControl/>
        <w:spacing w:before="40" w:after="160" w:line="245" w:lineRule="auto"/>
        <w:ind w:left="115" w:right="43"/>
      </w:pPr>
      <w:r>
        <w:rPr>
          <w:rFonts w:ascii="Courier New" w:hAnsi="Courier New"/>
          <w:b w:val="0"/>
          <w:i w:val="0"/>
          <w:sz w:val="18"/>
        </w:rPr>
        <w:t>bootstrap::</w:t>
        <w:br/>
        <w:t xml:space="preserve">  enable: false</w:t>
        <w:br/>
        <w:t xml:space="preserve">  root: &lt;absolute-private-builder-bootstrap-root&gt;</w:t>
        <w:br/>
        <w:t xml:space="preserve">  sources: []</w:t>
        <w:br/>
        <w:t xml:space="preserve">  trusted: {}</w:t>
      </w:r>
    </w:p>
    <w:p>
      <w:pPr/>
      <w:r>
        <w:rPr>
          <w:b w:val="0"/>
          <w:i w:val="0"/>
        </w:rPr>
        <w:t>If an admitted local bootstrap mirror is needed, use this alternative after its metadata and artifacts have passed the acquisition/transfer gate:</w:t>
      </w:r>
    </w:p>
    <w:p>
      <w:pPr>
        <w:keepLines w:val="0"/>
        <w:widowControl/>
        <w:spacing w:before="40" w:after="160" w:line="245" w:lineRule="auto"/>
        <w:ind w:left="115" w:right="43"/>
      </w:pPr>
      <w:r>
        <w:rPr>
          <w:rFonts w:ascii="Courier New" w:hAnsi="Courier New"/>
          <w:b w:val="0"/>
          <w:i w:val="0"/>
          <w:sz w:val="18"/>
        </w:rPr>
        <w:t>bootstrap::</w:t>
        <w:br/>
        <w:t xml:space="preserve">  enable: true</w:t>
        <w:br/>
        <w:t xml:space="preserve">  root: &lt;absolute-private-builder-bootstrap-root&gt;</w:t>
        <w:br/>
        <w:t xml:space="preserve">  sources:</w:t>
        <w:br/>
        <w:t xml:space="preserve">    - name: local-binaries</w:t>
        <w:br/>
        <w:t xml:space="preserve">      metadata: &lt;absolute-admitted-bootstrap-root&gt;/metadata/binaries</w:t>
        <w:br/>
        <w:t xml:space="preserve">    - name: local-sources</w:t>
        <w:br/>
        <w:t xml:space="preserve">      metadata: &lt;absolute-admitted-bootstrap-root&gt;/metadata/sources</w:t>
        <w:br/>
        <w:t xml:space="preserve">  trusted:</w:t>
        <w:br/>
        <w:t xml:space="preserve">    local-binaries: true</w:t>
        <w:br/>
        <w:t xml:space="preserve">    local-sources: true</w:t>
      </w:r>
    </w:p>
    <w:p>
      <w:pPr/>
      <w:r>
        <w:rPr>
          <w:b w:val="0"/>
          <w:i w:val="0"/>
        </w:rPr>
        <w:t xml:space="preserve">The </w:t>
      </w:r>
      <w:r>
        <w:rPr>
          <w:rFonts w:ascii="Courier New" w:hAnsi="Courier New"/>
          <w:b w:val="0"/>
          <w:i w:val="0"/>
          <w:sz w:val="18"/>
        </w:rPr>
        <w:t>bootstrap::</w:t>
      </w:r>
      <w:r>
        <w:rPr>
          <w:b w:val="0"/>
          <w:i w:val="0"/>
        </w:rPr>
        <w:t xml:space="preserve"> override replaces the public default sources and trust list. List only the admitted metadata actually supplied; omit the binary source if its runtime/architecture compatibility has not been accepted. Resolve all paths in the retained local configuration. Trusting bootstrap metadata is separate from trusting a signed release package.</w:t>
      </w:r>
    </w:p>
    <w:p>
      <w:pPr>
        <w:keepLines/>
        <w:widowControl/>
        <w:spacing w:before="40" w:after="160" w:line="245" w:lineRule="auto"/>
        <w:ind w:left="115" w:right="43"/>
      </w:pPr>
      <w:r>
        <w:rPr>
          <w:rFonts w:ascii="Courier New" w:hAnsi="Courier New"/>
          <w:b w:val="0"/>
          <w:i w:val="0"/>
          <w:sz w:val="18"/>
        </w:rPr>
        <w:t>spack -C "$BOOTSTRAP_CONFIG_DIR" bootstrap list</w:t>
        <w:br/>
        <w:t>spack -C "$BOOTSTRAP_CONFIG_DIR" bootstrap status</w:t>
        <w:br/>
        <w:t>spack -C "$BOOTSTRAP_CONFIG_DIR" -e "$ENVIRONMENT_ROOT" config get bootstrap</w:t>
      </w:r>
    </w:p>
    <w:p>
      <w:pPr/>
      <w:r>
        <w:rPr>
          <w:b w:val="0"/>
          <w:i w:val="0"/>
        </w:rPr>
        <w:t xml:space="preserve">Require successful prerequisite status before the first solve. Run the last command after Section 7 has prepared the environment and before concretization. Inspect effective bootstrap configuration with the environment active; retain the same </w:t>
      </w:r>
      <w:r>
        <w:rPr>
          <w:rFonts w:ascii="Courier New" w:hAnsi="Courier New"/>
          <w:b w:val="0"/>
          <w:i w:val="0"/>
          <w:sz w:val="18"/>
        </w:rPr>
        <w:t>-C</w:t>
      </w:r>
      <w:r>
        <w:rPr>
          <w:b w:val="0"/>
          <w:i w:val="0"/>
        </w:rPr>
        <w:t xml:space="preserve"> scope on later commands. Source acquisition, bootstrap and build network restrictions are enforced outside Spack. See the official </w:t>
      </w:r>
      <w:hyperlink r:id="rId10" w:history="1">
        <w:r>
          <w:rPr>
            <w:b w:val="0"/>
            <w:i w:val="0"/>
            <w:color w:val="245A81"/>
            <w:u w:val="single"/>
          </w:rPr>
          <w:t>bootstrap configuration</w:t>
        </w:r>
      </w:hyperlink>
      <w:r>
        <w:rPr>
          <w:b w:val="0"/>
          <w:i w:val="0"/>
        </w:rPr>
        <w:t xml:space="preserve"> and </w:t>
      </w:r>
      <w:hyperlink r:id="rId11" w:history="1">
        <w:r>
          <w:rPr>
            <w:b w:val="0"/>
            <w:i w:val="0"/>
            <w:color w:val="245A81"/>
            <w:u w:val="single"/>
          </w:rPr>
          <w:t>read-only command-line scope</w:t>
        </w:r>
      </w:hyperlink>
      <w:r>
        <w:rPr>
          <w:b w:val="0"/>
          <w:i w:val="0"/>
        </w:rPr>
        <w:t>.</w:t>
      </w:r>
    </w:p>
    <w:p>
      <w:pPr>
        <w:pStyle w:val="Heading1"/>
      </w:pPr>
      <w:r>
        <w:rPr>
          <w:b w:val="0"/>
          <w:i w:val="0"/>
        </w:rPr>
        <w:t>5. Preflight</w:t>
      </w:r>
    </w:p>
    <w:p>
      <w:pPr/>
      <w:r>
        <w:rPr>
          <w:b w:val="0"/>
          <w:i w:val="0"/>
        </w:rPr>
        <w:t>Complete these checks from the node types that will perform the build and runtime tests:</w:t>
      </w:r>
    </w:p>
    <w:p>
      <w:pPr>
        <w:pStyle w:val="ListParagraph"/>
        <w:numPr>
          <w:ilvl w:val="0"/>
          <w:numId w:val="13"/>
        </w:numPr>
        <w:ind w:left="360"/>
      </w:pPr>
      <w:r>
        <w:rPr>
          <w:b w:val="0"/>
          <w:i w:val="0"/>
        </w:rPr>
        <w:t>the catalog release and selected scopes are readable;</w:t>
      </w:r>
    </w:p>
    <w:p>
      <w:pPr>
        <w:pStyle w:val="ListParagraph"/>
        <w:numPr>
          <w:ilvl w:val="0"/>
          <w:numId w:val="13"/>
        </w:numPr>
        <w:ind w:left="360"/>
      </w:pPr>
      <w:r>
        <w:rPr>
          <w:b w:val="0"/>
          <w:i w:val="0"/>
        </w:rPr>
        <w:t>the selected compiler and, when applicable, its approved MPI pairing are present in the catalog;</w:t>
      </w:r>
    </w:p>
    <w:p>
      <w:pPr>
        <w:pStyle w:val="ListParagraph"/>
        <w:numPr>
          <w:ilvl w:val="0"/>
          <w:numId w:val="13"/>
        </w:numPr>
        <w:ind w:left="360"/>
      </w:pPr>
      <w:r>
        <w:rPr>
          <w:b w:val="0"/>
          <w:i w:val="0"/>
        </w:rPr>
        <w:t>the install tree, caches, views, and module root are reachable;</w:t>
      </w:r>
    </w:p>
    <w:p>
      <w:pPr>
        <w:pStyle w:val="ListParagraph"/>
        <w:numPr>
          <w:ilvl w:val="0"/>
          <w:numId w:val="13"/>
        </w:numPr>
        <w:ind w:left="360"/>
      </w:pPr>
      <w:r>
        <w:rPr>
          <w:b w:val="0"/>
          <w:i w:val="0"/>
        </w:rPr>
        <w:t>shared generated content is readable, writable, and traversable by another member of the approved build group;</w:t>
      </w:r>
    </w:p>
    <w:p>
      <w:pPr>
        <w:pStyle w:val="ListParagraph"/>
        <w:numPr>
          <w:ilvl w:val="0"/>
          <w:numId w:val="13"/>
        </w:numPr>
        <w:ind w:left="360"/>
      </w:pPr>
      <w:r>
        <w:rPr>
          <w:b w:val="0"/>
          <w:i w:val="0"/>
        </w:rPr>
        <w:t>the selected build stage is writable and has adequate space and inodes;</w:t>
      </w:r>
    </w:p>
    <w:p>
      <w:pPr>
        <w:pStyle w:val="ListParagraph"/>
        <w:numPr>
          <w:ilvl w:val="0"/>
          <w:numId w:val="13"/>
        </w:numPr>
        <w:ind w:left="360"/>
      </w:pPr>
      <w:r>
        <w:rPr>
          <w:b w:val="0"/>
          <w:i w:val="0"/>
        </w:rPr>
        <w:t>the Spack version matches the approved version;</w:t>
      </w:r>
    </w:p>
    <w:p>
      <w:pPr>
        <w:pStyle w:val="ListParagraph"/>
        <w:numPr>
          <w:ilvl w:val="0"/>
          <w:numId w:val="13"/>
        </w:numPr>
        <w:ind w:left="360"/>
      </w:pPr>
      <w:r>
        <w:rPr>
          <w:b w:val="0"/>
          <w:i w:val="0"/>
        </w:rPr>
        <w:t>the package-recipe source is available;</w:t>
      </w:r>
    </w:p>
    <w:p>
      <w:pPr>
        <w:pStyle w:val="ListParagraph"/>
        <w:numPr>
          <w:ilvl w:val="0"/>
          <w:numId w:val="13"/>
        </w:numPr>
        <w:ind w:left="360"/>
      </w:pPr>
      <w:r>
        <w:rPr>
          <w:b w:val="0"/>
          <w:i w:val="0"/>
        </w:rPr>
        <w:t>the expected scheduler, launcher, fabric, and GPU resources are available when required; and</w:t>
      </w:r>
    </w:p>
    <w:p>
      <w:pPr>
        <w:pStyle w:val="ListParagraph"/>
        <w:numPr>
          <w:ilvl w:val="0"/>
          <w:numId w:val="13"/>
        </w:numPr>
        <w:ind w:left="360"/>
      </w:pPr>
      <w:r>
        <w:rPr>
          <w:b w:val="0"/>
          <w:i w:val="0"/>
        </w:rPr>
        <w:t>the active configuration scopes contain no unexpected user, system, or site policy.</w:t>
      </w:r>
    </w:p>
    <w:p>
      <w:pPr/>
      <w:r>
        <w:rPr>
          <w:b w:val="0"/>
          <w:i w:val="0"/>
        </w:rPr>
        <w:t>Check the active scopes before using an environment:</w:t>
      </w:r>
    </w:p>
    <w:p>
      <w:pPr>
        <w:keepLines/>
        <w:widowControl/>
        <w:spacing w:before="40" w:after="160" w:line="245" w:lineRule="auto"/>
        <w:ind w:left="115" w:right="43"/>
      </w:pPr>
      <w:r>
        <w:rPr>
          <w:rFonts w:ascii="Courier New" w:hAnsi="Courier New"/>
          <w:b w:val="0"/>
          <w:i w:val="0"/>
          <w:sz w:val="18"/>
        </w:rPr>
        <w:t>spack -C "$BOOTSTRAP_CONFIG_DIR" config scopes -vp</w:t>
        <w:br/>
        <w:t>spack -C "$BOOTSTRAP_CONFIG_DIR" -e "$ENVIRONMENT_ROOT" config scopes -vp</w:t>
      </w:r>
    </w:p>
    <w:p>
      <w:pPr/>
      <w:r>
        <w:rPr>
          <w:b w:val="0"/>
          <w:i w:val="0"/>
        </w:rPr>
        <w:t xml:space="preserve">Run the global command during initial preflight. Run the environment command after </w:t>
      </w:r>
      <w:r>
        <w:rPr>
          <w:rFonts w:ascii="Courier New" w:hAnsi="Courier New"/>
          <w:b w:val="0"/>
          <w:i w:val="0"/>
          <w:sz w:val="18"/>
        </w:rPr>
        <w:t>spack.yaml</w:t>
      </w:r>
      <w:r>
        <w:rPr>
          <w:b w:val="0"/>
          <w:i w:val="0"/>
        </w:rPr>
        <w:t xml:space="preserve"> has been created in Section 7 and before concretization.</w:t>
      </w:r>
    </w:p>
    <w:p>
      <w:pPr/>
      <w:r>
        <w:rPr>
          <w:b w:val="0"/>
          <w:i w:val="0"/>
        </w:rPr>
        <w:t>Stop if an unexpected scope can affect the solve. Correct the environment or runtime setup before concretization.</w:t>
      </w:r>
    </w:p>
    <w:p>
      <w:pPr/>
      <w:r>
        <w:rPr>
          <w:b w:val="0"/>
          <w:i w:val="0"/>
        </w:rPr>
        <w:t>Check a build-stage candidate from the intended build node:</w:t>
      </w:r>
    </w:p>
    <w:p>
      <w:pPr>
        <w:keepLines/>
        <w:widowControl/>
        <w:spacing w:before="40" w:after="160" w:line="245" w:lineRule="auto"/>
        <w:ind w:left="115" w:right="43"/>
      </w:pPr>
      <w:r>
        <w:rPr>
          <w:rFonts w:ascii="Courier New" w:hAnsi="Courier New"/>
          <w:b w:val="0"/>
          <w:i w:val="0"/>
          <w:sz w:val="18"/>
        </w:rPr>
        <w:t>export SPACK_STAGE_ROOT="&lt;approved-build-stage&gt;"</w:t>
        <w:br/>
        <w:t>mkdir -p "$SPACK_STAGE_ROOT"</w:t>
        <w:br/>
        <w:t>test -d "$SPACK_STAGE_ROOT"</w:t>
        <w:br/>
        <w:t>test -w "$SPACK_STAGE_ROOT"</w:t>
        <w:br/>
        <w:t>touch "$SPACK_STAGE_ROOT/.spack-write-test"</w:t>
        <w:br/>
        <w:t>rm "$SPACK_STAGE_ROOT/.spack-write-test"</w:t>
        <w:br/>
        <w:t>df -Pk "$SPACK_STAGE_ROOT"</w:t>
        <w:br/>
        <w:t>df -Pi "$SPACK_STAGE_ROOT"</w:t>
      </w:r>
    </w:p>
    <w:p>
      <w:pPr/>
      <w:r>
        <w:rPr>
          <w:b w:val="0"/>
          <w:i w:val="0"/>
        </w:rPr>
        <w:t>Also confirm the quota, cleanup schedule, retention period, and mount options.</w:t>
      </w:r>
    </w:p>
    <w:p>
      <w:pPr/>
      <w:r>
        <w:rPr>
          <w:b w:val="0"/>
          <w:i w:val="0"/>
        </w:rPr>
        <w:t>Confirm the released catalog is readable and complete:</w:t>
      </w:r>
    </w:p>
    <w:p>
      <w:pPr>
        <w:keepLines/>
        <w:widowControl/>
        <w:spacing w:before="40" w:after="160" w:line="245" w:lineRule="auto"/>
        <w:ind w:left="115" w:right="43"/>
      </w:pPr>
      <w:r>
        <w:rPr>
          <w:rFonts w:ascii="Courier New" w:hAnsi="Courier New"/>
          <w:b w:val="0"/>
          <w:i w:val="0"/>
          <w:sz w:val="18"/>
        </w:rPr>
        <w:t>test -d "$CATALOG_RELEASE_ROOT"</w:t>
        <w:br/>
        <w:t>test -r "$CATALOG_RECORD"</w:t>
        <w:br/>
        <w:t>find "$CATALOG_RELEASE_ROOT" -type f -print | sort</w:t>
      </w:r>
    </w:p>
    <w:p>
      <w:pPr/>
      <w:r>
        <w:rPr>
          <w:b w:val="0"/>
          <w:i w:val="0"/>
        </w:rPr>
        <w:t>Compare the files and their digests with the approved catalog inventory. Read its supported compiler, MPI, GPU, target, module, prefix, and external-package selections and compare them with the operating record. Verify every selected scope path exists. Stop if a required scope is absent or the catalog records an unresolved provider dependency.</w:t>
      </w:r>
    </w:p>
    <w:p>
      <w:pPr/>
      <w:r>
        <w:rPr>
          <w:b w:val="0"/>
          <w:i w:val="0"/>
        </w:rPr>
        <w:t>Preflight passes only when the recorded paths and node types are usable, the approved Spack identity matches, the catalog is readable, and the global and environment scope listings contain no unexpected configuration.</w:t>
      </w:r>
    </w:p>
    <w:p>
      <w:pPr>
        <w:pStyle w:val="Heading1"/>
      </w:pPr>
      <w:r>
        <w:rPr>
          <w:b w:val="0"/>
          <w:i w:val="0"/>
        </w:rPr>
        <w:t>6. Select platform configuration</w:t>
      </w:r>
    </w:p>
    <w:p>
      <w:pPr>
        <w:pStyle w:val="Heading2"/>
      </w:pPr>
      <w:r>
        <w:rPr>
          <w:b w:val="0"/>
          <w:i w:val="0"/>
        </w:rPr>
        <w:t>6.1 Prepare and review a catalog when acting as catalog owner</w:t>
      </w:r>
    </w:p>
    <w:p>
      <w:pPr/>
      <w:r>
        <w:rPr>
          <w:b w:val="0"/>
          <w:i w:val="0"/>
        </w:rPr>
        <w:t>Catalog consumers proceed to Section 6.2. The designated catalog owner assembles a versioned directory containing include-ready native Spack configuration, its supporting platform evidence, and a readable catalog record. Manual preparation and approved automation must meet the same requirements:</w:t>
      </w:r>
    </w:p>
    <w:p>
      <w:pPr>
        <w:pStyle w:val="ListParagraph"/>
        <w:numPr>
          <w:ilvl w:val="0"/>
          <w:numId w:val="14"/>
        </w:numPr>
        <w:ind w:left="360"/>
      </w:pPr>
      <w:r>
        <w:rPr>
          <w:b w:val="0"/>
          <w:i w:val="0"/>
        </w:rPr>
        <w:t>Retain observed platform facts and their provenance: system and node types; compiler versions and identities; available MPI, fabric/launcher and GPU providers; CPU targets; and system-owned external versions, prefixes and required modules. Record how and when the facts were verified.</w:t>
      </w:r>
    </w:p>
    <w:p>
      <w:pPr>
        <w:pStyle w:val="ListParagraph"/>
        <w:numPr>
          <w:ilvl w:val="0"/>
          <w:numId w:val="14"/>
        </w:numPr>
        <w:ind w:left="360"/>
      </w:pPr>
      <w:r>
        <w:rPr>
          <w:b w:val="0"/>
          <w:i w:val="0"/>
        </w:rPr>
        <w:t>Prepare valid Spack configuration files in configuration-scope directories. Each scope must be usable from a native Spack environment. Record exact relative paths, file inventories and digests; check any symbolic links and record their targets. File layout is a site choice, not a tool contract.</w:t>
      </w:r>
    </w:p>
    <w:p>
      <w:pPr>
        <w:pStyle w:val="ListParagraph"/>
        <w:numPr>
          <w:ilvl w:val="0"/>
          <w:numId w:val="14"/>
        </w:numPr>
        <w:ind w:left="360"/>
      </w:pPr>
      <w:r>
        <w:rPr>
          <w:b w:val="0"/>
          <w:i w:val="0"/>
        </w:rPr>
        <w:t>Include a readable catalog record that identifies the system, catalog release, exact Spack baseline, source identities, preparation date, scope paths and contents, and supported compiler/provider/target combinations. Include instructions for selecting scopes, their required order, any named toolchains and provider constraints, and the platform evidence supporting those choices. Record unsupported combinations and unresolved limitations. The record may be plain text, Markdown, or a documented structured format.</w:t>
      </w:r>
    </w:p>
    <w:p>
      <w:pPr>
        <w:pStyle w:val="ListParagraph"/>
        <w:numPr>
          <w:ilvl w:val="0"/>
          <w:numId w:val="14"/>
        </w:numPr>
        <w:ind w:left="360"/>
      </w:pPr>
      <w:r>
        <w:rPr>
          <w:b w:val="0"/>
          <w:i w:val="0"/>
        </w:rPr>
        <w:t xml:space="preserve">Set </w:t>
      </w:r>
      <w:r>
        <w:rPr>
          <w:rFonts w:ascii="Courier New" w:hAnsi="Courier New"/>
          <w:b w:val="0"/>
          <w:i w:val="0"/>
          <w:sz w:val="18"/>
        </w:rPr>
        <w:t>CATALOG_RELEASE_ROOT</w:t>
      </w:r>
      <w:r>
        <w:rPr>
          <w:b w:val="0"/>
          <w:i w:val="0"/>
        </w:rPr>
        <w:t xml:space="preserve"> and </w:t>
      </w:r>
      <w:r>
        <w:rPr>
          <w:rFonts w:ascii="Courier New" w:hAnsi="Courier New"/>
          <w:b w:val="0"/>
          <w:i w:val="0"/>
          <w:sz w:val="18"/>
        </w:rPr>
        <w:t>CATALOG_RECORD</w:t>
      </w:r>
      <w:r>
        <w:rPr>
          <w:b w:val="0"/>
          <w:i w:val="0"/>
        </w:rPr>
        <w:t xml:space="preserve"> in the operating record. Verify the record resides in that release. Inspect every selected scope through native Spack configuration commands in Sections 4.2 and 7.5, using a representative environment. Compare effective values with the platform evidence; successful parsing alone does not establish compatibility.</w:t>
      </w:r>
    </w:p>
    <w:p>
      <w:pPr>
        <w:pStyle w:val="ListParagraph"/>
        <w:numPr>
          <w:ilvl w:val="0"/>
          <w:numId w:val="14"/>
        </w:numPr>
        <w:ind w:left="360"/>
      </w:pPr>
      <w:r>
        <w:rPr>
          <w:b w:val="0"/>
          <w:i w:val="0"/>
        </w:rPr>
        <w:t>Record independent review, reviewer, disposition, date, and exact candidate identity. Every claimed compiler/provider pairing and node type must have supporting evidence; hold unsupported or unresolved selections.</w:t>
      </w:r>
    </w:p>
    <w:p>
      <w:pPr>
        <w:pStyle w:val="ListParagraph"/>
        <w:numPr>
          <w:ilvl w:val="0"/>
          <w:numId w:val="14"/>
        </w:numPr>
        <w:ind w:left="360"/>
      </w:pPr>
      <w:r>
        <w:rPr>
          <w:b w:val="0"/>
          <w:i w:val="0"/>
        </w:rPr>
        <w:t>Retain the versioned candidate and its evidence. Publish it through Section 10.2 after applicable acceptance gates. Keep the complete reviewed copy when publication uses a separate directory.</w:t>
      </w:r>
    </w:p>
    <w:p>
      <w:pPr/>
      <w:r>
        <w:rPr>
          <w:b w:val="0"/>
          <w:i w:val="0"/>
        </w:rPr>
        <w:t>The catalog record and its inventory are maintained independently of the application package release. A catalog does not contain application package selection or silently assign install trees, cache locations, views, module roots, or access permissions; those are retained deployment choices.</w:t>
      </w:r>
    </w:p>
    <w:p>
      <w:pPr>
        <w:pStyle w:val="Heading2"/>
      </w:pPr>
      <w:r>
        <w:rPr>
          <w:b w:val="0"/>
          <w:i w:val="0"/>
        </w:rPr>
        <w:t>6.2 Select released scopes</w:t>
      </w:r>
    </w:p>
    <w:p>
      <w:pPr/>
      <w:r>
        <w:rPr>
          <w:b w:val="0"/>
          <w:i w:val="0"/>
        </w:rPr>
        <w:t>Read the catalog inventory and usage record and select the exact scope paths it lists. A normal environment includes:</w:t>
      </w:r>
    </w:p>
    <w:p>
      <w:pPr>
        <w:pStyle w:val="ListParagraph"/>
        <w:numPr>
          <w:ilvl w:val="0"/>
          <w:numId w:val="15"/>
        </w:numPr>
        <w:ind w:left="360"/>
      </w:pPr>
      <w:r>
        <w:rPr>
          <w:b w:val="0"/>
          <w:i w:val="0"/>
        </w:rPr>
        <w:t>common site configuration;</w:t>
      </w:r>
    </w:p>
    <w:p>
      <w:pPr>
        <w:pStyle w:val="ListParagraph"/>
        <w:numPr>
          <w:ilvl w:val="0"/>
          <w:numId w:val="15"/>
        </w:numPr>
        <w:ind w:left="360"/>
      </w:pPr>
      <w:r>
        <w:rPr>
          <w:b w:val="0"/>
          <w:i w:val="0"/>
        </w:rPr>
        <w:t>one compiler scope;</w:t>
      </w:r>
    </w:p>
    <w:p>
      <w:pPr>
        <w:pStyle w:val="ListParagraph"/>
        <w:numPr>
          <w:ilvl w:val="0"/>
          <w:numId w:val="15"/>
        </w:numPr>
        <w:ind w:left="360"/>
      </w:pPr>
      <w:r>
        <w:rPr>
          <w:b w:val="0"/>
          <w:i w:val="0"/>
        </w:rPr>
        <w:t>one target or platform scope;</w:t>
      </w:r>
    </w:p>
    <w:p>
      <w:pPr>
        <w:pStyle w:val="ListParagraph"/>
        <w:numPr>
          <w:ilvl w:val="0"/>
          <w:numId w:val="15"/>
        </w:numPr>
        <w:ind w:left="360"/>
      </w:pPr>
      <w:r>
        <w:rPr>
          <w:b w:val="0"/>
          <w:i w:val="0"/>
        </w:rPr>
        <w:t>one matching MPI scope for MPI builds; and</w:t>
      </w:r>
    </w:p>
    <w:p>
      <w:pPr>
        <w:pStyle w:val="ListParagraph"/>
        <w:numPr>
          <w:ilvl w:val="0"/>
          <w:numId w:val="15"/>
        </w:numPr>
        <w:ind w:left="360"/>
      </w:pPr>
      <w:r>
        <w:rPr>
          <w:b w:val="0"/>
          <w:i w:val="0"/>
        </w:rPr>
        <w:t>one compatible GPU scope for GPU builds.</w:t>
      </w:r>
    </w:p>
    <w:p>
      <w:pPr/>
      <w:r>
        <w:rPr>
          <w:b w:val="0"/>
          <w:i w:val="0"/>
        </w:rPr>
        <w:t xml:space="preserve">Use a version-frozen catalog release path in a reproducible environment. A site may publish a </w:t>
      </w:r>
      <w:r>
        <w:rPr>
          <w:rFonts w:ascii="Courier New" w:hAnsi="Courier New"/>
          <w:b w:val="0"/>
          <w:i w:val="0"/>
          <w:sz w:val="18"/>
        </w:rPr>
        <w:t>current</w:t>
      </w:r>
      <w:r>
        <w:rPr>
          <w:b w:val="0"/>
          <w:i w:val="0"/>
        </w:rPr>
        <w:t xml:space="preserve"> pointer for discovery, but the environment source and release record must identify the resolved release directory. The published catalog must be readable and traversable by its approved consumer audience. Consumers outside the approved catalog-manager group must not have write access. The approved group retains management access, but no operator edits a released version in place. Correct the owning inputs, prepare and review a new catalog release, publish a new version with fresh approval metadata and checksums, and move the discovery pointer only after acceptance. Retain or retire the superseded version through the recorded release policy.</w:t>
      </w:r>
    </w:p>
    <w:p>
      <w:pPr/>
      <w:r>
        <w:rPr>
          <w:b w:val="0"/>
          <w:i w:val="0"/>
        </w:rPr>
        <w:t xml:space="preserve">Use </w:t>
      </w:r>
      <w:r>
        <w:rPr>
          <w:rFonts w:ascii="Courier New" w:hAnsi="Courier New"/>
          <w:b w:val="0"/>
          <w:i w:val="0"/>
          <w:sz w:val="18"/>
        </w:rPr>
        <w:t>include::</w:t>
      </w:r>
      <w:r>
        <w:rPr>
          <w:b w:val="0"/>
          <w:i w:val="0"/>
        </w:rPr>
        <w:t xml:space="preserve"> to replace inherited include-list entries with the reviewed list. This does not remove every other configuration scope; inspect effective values and scope precedence as required in Section 4.4. Use absolute paths to a version-frozen catalog release in a published environment. The directory names below illustrate one valid layout; substitute the actual paths listed in the selected catalog record:</w:t>
      </w:r>
    </w:p>
    <w:p>
      <w:pPr>
        <w:keepLines/>
        <w:widowControl/>
        <w:spacing w:before="40" w:after="160" w:line="245" w:lineRule="auto"/>
        <w:ind w:left="115" w:right="43"/>
      </w:pPr>
      <w:r>
        <w:rPr>
          <w:rFonts w:ascii="Courier New" w:hAnsi="Courier New"/>
          <w:b w:val="0"/>
          <w:i w:val="0"/>
          <w:sz w:val="18"/>
        </w:rPr>
        <w:t>spack:</w:t>
        <w:br/>
        <w:t xml:space="preserve">  include::</w:t>
        <w:br/>
        <w:t xml:space="preserve">    - &lt;absolute-catalog-release-root&gt;/scopes/common</w:t>
        <w:br/>
        <w:t xml:space="preserve">    - &lt;absolute-catalog-release-root&gt;/scopes/compilers/&lt;compiler&gt;/&lt;version&gt;</w:t>
        <w:br/>
        <w:t xml:space="preserve">    - &lt;absolute-catalog-release-root&gt;/scopes/mpi/&lt;provider&gt;/&lt;version&gt;/&lt;compiler-flavor&gt;</w:t>
        <w:br/>
        <w:t xml:space="preserve">    - &lt;absolute-catalog-release-root&gt;/scopes/platform/&lt;platform&gt;</w:t>
      </w:r>
    </w:p>
    <w:p>
      <w:pPr/>
      <w:r>
        <w:rPr>
          <w:b w:val="0"/>
          <w:i w:val="0"/>
        </w:rPr>
        <w:t xml:space="preserve">Use the toolchain name recorded in the selected MPI scope's </w:t>
      </w:r>
      <w:r>
        <w:rPr>
          <w:rFonts w:ascii="Courier New" w:hAnsi="Courier New"/>
          <w:b w:val="0"/>
          <w:i w:val="0"/>
          <w:sz w:val="18"/>
        </w:rPr>
        <w:t>toolchains.yaml</w:t>
      </w:r>
      <w:r>
        <w:rPr>
          <w:b w:val="0"/>
          <w:i w:val="0"/>
        </w:rPr>
        <w:t>. A Serial environment omits the MPI scope and constrains each root with the selected compiler. Do not retype catalog-owned compiler, MPI, external prefix, or module policy in the environment.</w:t>
      </w:r>
    </w:p>
    <w:p>
      <w:pPr/>
      <w:r>
        <w:rPr>
          <w:b w:val="0"/>
          <w:i w:val="0"/>
        </w:rPr>
        <w:t xml:space="preserve">Keep the catalog and environment tree together when a controlled workspace uses relative includes. Do not copy a single </w:t>
      </w:r>
      <w:r>
        <w:rPr>
          <w:rFonts w:ascii="Courier New" w:hAnsi="Courier New"/>
          <w:b w:val="0"/>
          <w:i w:val="0"/>
          <w:sz w:val="18"/>
        </w:rPr>
        <w:t>spack.yaml</w:t>
      </w:r>
      <w:r>
        <w:rPr>
          <w:b w:val="0"/>
          <w:i w:val="0"/>
        </w:rPr>
        <w:t xml:space="preserve"> without the configuration directories it references.</w:t>
      </w:r>
    </w:p>
    <w:p>
      <w:pPr/>
      <w:r>
        <w:rPr>
          <w:b w:val="0"/>
          <w:i w:val="0"/>
        </w:rPr>
        <w:t>Select only documented compiler and MPI pairings. Do not construct a pairing from module names or installed directories without catalog support.</w:t>
      </w:r>
    </w:p>
    <w:p>
      <w:pPr/>
      <w:r>
        <w:rPr>
          <w:b w:val="0"/>
          <w:i w:val="0"/>
        </w:rPr>
        <w:t>Record the exact selected scope paths in the release worksheet. Catalog selection passes when every selected path is present in the approved catalog inventory and the environment scope listing resolves those paths without an unapproved policy override.</w:t>
      </w:r>
    </w:p>
    <w:p>
      <w:pPr>
        <w:pStyle w:val="Heading1"/>
      </w:pPr>
      <w:r>
        <w:rPr>
          <w:b w:val="0"/>
          <w:i w:val="0"/>
        </w:rPr>
        <w:t>7. Define the environment</w:t>
      </w:r>
    </w:p>
    <w:p>
      <w:pPr/>
      <w:r>
        <w:rPr>
          <w:b w:val="0"/>
          <w:i w:val="0"/>
        </w:rPr>
        <w:t xml:space="preserve">Define root packages in </w:t>
      </w:r>
      <w:r>
        <w:rPr>
          <w:rFonts w:ascii="Courier New" w:hAnsi="Courier New"/>
          <w:b w:val="0"/>
          <w:i w:val="0"/>
          <w:sz w:val="18"/>
        </w:rPr>
        <w:t>spack.yaml</w:t>
      </w:r>
      <w:r>
        <w:rPr>
          <w:b w:val="0"/>
          <w:i w:val="0"/>
        </w:rPr>
        <w:t>. Pin public versions and important variants. Use normal Spack spec syntax.</w:t>
      </w:r>
    </w:p>
    <w:p>
      <w:pPr/>
      <w:r>
        <w:rPr>
          <w:b w:val="0"/>
          <w:i w:val="0"/>
        </w:rPr>
        <w:t>Minimum requirements:</w:t>
      </w:r>
    </w:p>
    <w:p>
      <w:pPr>
        <w:pStyle w:val="ListParagraph"/>
        <w:numPr>
          <w:ilvl w:val="0"/>
          <w:numId w:val="16"/>
        </w:numPr>
        <w:ind w:left="360"/>
      </w:pPr>
      <w:r>
        <w:rPr>
          <w:b w:val="0"/>
          <w:i w:val="0"/>
        </w:rPr>
        <w:t>every source-built root has an explicit compiler;</w:t>
      </w:r>
    </w:p>
    <w:p>
      <w:pPr>
        <w:pStyle w:val="ListParagraph"/>
        <w:numPr>
          <w:ilvl w:val="0"/>
          <w:numId w:val="16"/>
        </w:numPr>
        <w:ind w:left="360"/>
      </w:pPr>
      <w:r>
        <w:rPr>
          <w:b w:val="0"/>
          <w:i w:val="0"/>
        </w:rPr>
        <w:t>Serial roots explicitly disable MPI;</w:t>
      </w:r>
    </w:p>
    <w:p>
      <w:pPr>
        <w:pStyle w:val="ListParagraph"/>
        <w:numPr>
          <w:ilvl w:val="0"/>
          <w:numId w:val="16"/>
        </w:numPr>
        <w:ind w:left="360"/>
      </w:pPr>
      <w:r>
        <w:rPr>
          <w:b w:val="0"/>
          <w:i w:val="0"/>
        </w:rPr>
        <w:t>MPI roots explicitly enable MPI and bind the selected provider;</w:t>
      </w:r>
    </w:p>
    <w:p>
      <w:pPr>
        <w:pStyle w:val="ListParagraph"/>
        <w:numPr>
          <w:ilvl w:val="0"/>
          <w:numId w:val="16"/>
        </w:numPr>
        <w:ind w:left="360"/>
      </w:pPr>
      <w:r>
        <w:rPr>
          <w:b w:val="0"/>
          <w:i w:val="0"/>
        </w:rPr>
        <w:t>GPU roots bind the selected compiler, MPI provider, and GPU runtime;</w:t>
      </w:r>
    </w:p>
    <w:p>
      <w:pPr>
        <w:pStyle w:val="ListParagraph"/>
        <w:numPr>
          <w:ilvl w:val="0"/>
          <w:numId w:val="16"/>
        </w:numPr>
        <w:ind w:left="360"/>
      </w:pPr>
      <w:r>
        <w:rPr>
          <w:b w:val="0"/>
          <w:i w:val="0"/>
        </w:rPr>
        <w:t>system-provided components remain external when site policy requires them;</w:t>
      </w:r>
    </w:p>
    <w:p>
      <w:pPr>
        <w:pStyle w:val="ListParagraph"/>
        <w:numPr>
          <w:ilvl w:val="0"/>
          <w:numId w:val="16"/>
        </w:numPr>
        <w:ind w:left="360"/>
      </w:pPr>
      <w:r>
        <w:rPr>
          <w:b w:val="0"/>
          <w:i w:val="0"/>
        </w:rPr>
        <w:t>dependency versions that affect compatibility are constrained; and</w:t>
      </w:r>
    </w:p>
    <w:p>
      <w:pPr>
        <w:pStyle w:val="ListParagraph"/>
        <w:numPr>
          <w:ilvl w:val="0"/>
          <w:numId w:val="16"/>
        </w:numPr>
        <w:ind w:left="360"/>
      </w:pPr>
      <w:r>
        <w:rPr>
          <w:b w:val="0"/>
          <w:i w:val="0"/>
        </w:rPr>
        <w:t>views and module projections avoid ambiguous multi-version names.</w:t>
      </w:r>
    </w:p>
    <w:p>
      <w:pPr/>
      <w:r>
        <w:rPr>
          <w:b w:val="0"/>
          <w:i w:val="0"/>
        </w:rPr>
        <w:t>A package manager may use one environment or several independently concretized environments. Use separate environments when compiler, MPI, GPU, or module-conflict boundaries require them.</w:t>
      </w:r>
    </w:p>
    <w:p>
      <w:pPr>
        <w:pStyle w:val="Heading2"/>
      </w:pPr>
      <w:r>
        <w:rPr>
          <w:b w:val="0"/>
          <w:i w:val="0"/>
        </w:rPr>
        <w:t>7.1 Minimum Serial environment</w:t>
      </w:r>
    </w:p>
    <w:p>
      <w:pPr/>
      <w:r>
        <w:rPr>
          <w:b w:val="0"/>
          <w:i w:val="0"/>
        </w:rPr>
        <w:t>The following source is the minimum normal Serial pattern. Replace every placeholder with values from the operating record and catalog inventory:</w:t>
      </w:r>
    </w:p>
    <w:p>
      <w:pPr>
        <w:keepLines w:val="0"/>
        <w:widowControl/>
        <w:spacing w:before="40" w:after="160" w:line="245" w:lineRule="auto"/>
        <w:ind w:left="115" w:right="43"/>
      </w:pPr>
      <w:r>
        <w:rPr>
          <w:rFonts w:ascii="Courier New" w:hAnsi="Courier New"/>
          <w:b w:val="0"/>
          <w:i w:val="0"/>
          <w:sz w:val="18"/>
        </w:rPr>
        <w:t>spack:</w:t>
        <w:br/>
        <w:t xml:space="preserve">  include::</w:t>
        <w:br/>
        <w:t xml:space="preserve">    - &lt;absolute-catalog-release-root&gt;/scopes/common</w:t>
        <w:br/>
        <w:t xml:space="preserve">    - &lt;absolute-catalog-release-root&gt;/scopes/compilers/&lt;compiler&gt;/&lt;version&gt;</w:t>
        <w:br/>
        <w:t xml:space="preserve">    - &lt;absolute-catalog-release-root&gt;/scopes/platform/&lt;platform&gt;</w:t>
        <w:br/>
        <w:br/>
        <w:t xml:space="preserve">  specs:</w:t>
        <w:br/>
        <w:t xml:space="preserve">    - &lt;package&gt;@&lt;version&gt;~mpi %&lt;compiler&gt;@&lt;compiler-version&gt;</w:t>
        <w:br/>
        <w:br/>
        <w:t xml:space="preserve">  concretizer:</w:t>
        <w:br/>
        <w:t xml:space="preserve">    unify: false</w:t>
        <w:br/>
        <w:t xml:space="preserve">    reuse: false</w:t>
        <w:br/>
        <w:br/>
        <w:t xml:space="preserve">  view: false</w:t>
      </w:r>
    </w:p>
    <w:p>
      <w:pPr/>
      <w:r>
        <w:rPr>
          <w:b w:val="0"/>
          <w:i w:val="0"/>
        </w:rPr>
        <w:t xml:space="preserve">If the package has no MPI variant, omit </w:t>
      </w:r>
      <w:r>
        <w:rPr>
          <w:rFonts w:ascii="Courier New" w:hAnsi="Courier New"/>
          <w:b w:val="0"/>
          <w:i w:val="0"/>
          <w:sz w:val="18"/>
        </w:rPr>
        <w:t>~mpi</w:t>
      </w:r>
      <w:r>
        <w:rPr>
          <w:b w:val="0"/>
          <w:i w:val="0"/>
        </w:rPr>
        <w:t>. The root must still select the approved compiler. Add the application-owned install, view, and module policy before concretization.</w:t>
      </w:r>
    </w:p>
    <w:p>
      <w:pPr>
        <w:pStyle w:val="Heading2"/>
      </w:pPr>
      <w:r>
        <w:rPr>
          <w:b w:val="0"/>
          <w:i w:val="0"/>
        </w:rPr>
        <w:t>7.2 Minimum MPI environment</w:t>
      </w:r>
    </w:p>
    <w:p>
      <w:pPr/>
      <w:r>
        <w:rPr>
          <w:b w:val="0"/>
          <w:i w:val="0"/>
        </w:rPr>
        <w:t>The following source is the minimum normal MPI pattern:</w:t>
      </w:r>
    </w:p>
    <w:p>
      <w:pPr>
        <w:keepLines w:val="0"/>
        <w:widowControl/>
        <w:spacing w:before="40" w:after="160" w:line="245" w:lineRule="auto"/>
        <w:ind w:left="115" w:right="43"/>
      </w:pPr>
      <w:r>
        <w:rPr>
          <w:rFonts w:ascii="Courier New" w:hAnsi="Courier New"/>
          <w:b w:val="0"/>
          <w:i w:val="0"/>
          <w:sz w:val="18"/>
        </w:rPr>
        <w:t>spack:</w:t>
        <w:br/>
        <w:t xml:space="preserve">  include::</w:t>
        <w:br/>
        <w:t xml:space="preserve">    - &lt;absolute-catalog-release-root&gt;/scopes/common</w:t>
        <w:br/>
        <w:t xml:space="preserve">    - &lt;absolute-catalog-release-root&gt;/scopes/compilers/&lt;compiler&gt;/&lt;version&gt;</w:t>
        <w:br/>
        <w:t xml:space="preserve">    - &lt;absolute-catalog-release-root&gt;/scopes/mpi/&lt;provider&gt;/&lt;version&gt;/&lt;compiler-flavor&gt;</w:t>
        <w:br/>
        <w:t xml:space="preserve">    - &lt;absolute-catalog-release-root&gt;/scopes/platform/&lt;platform&gt;</w:t>
        <w:br/>
        <w:br/>
        <w:t xml:space="preserve">  specs:</w:t>
        <w:br/>
        <w:t xml:space="preserve">    - &lt;package&gt;@&lt;version&gt;+mpi %&lt;catalog-toolchain-name&gt;</w:t>
        <w:br/>
        <w:br/>
        <w:t xml:space="preserve">  concretizer:</w:t>
        <w:br/>
        <w:t xml:space="preserve">    unify: false</w:t>
        <w:br/>
        <w:t xml:space="preserve">    reuse: false</w:t>
        <w:br/>
        <w:br/>
        <w:t xml:space="preserve">  view: false</w:t>
      </w:r>
    </w:p>
    <w:p>
      <w:pPr/>
      <w:r>
        <w:rPr>
          <w:b w:val="0"/>
          <w:i w:val="0"/>
        </w:rPr>
        <w:t xml:space="preserve">Read </w:t>
      </w:r>
      <w:r>
        <w:rPr>
          <w:rFonts w:ascii="Courier New" w:hAnsi="Courier New"/>
          <w:b w:val="0"/>
          <w:i w:val="0"/>
          <w:sz w:val="18"/>
        </w:rPr>
        <w:t>&lt;catalog-toolchain-name&gt;</w:t>
      </w:r>
      <w:r>
        <w:rPr>
          <w:b w:val="0"/>
          <w:i w:val="0"/>
        </w:rPr>
        <w:t xml:space="preserve"> from the selected MPI scope's </w:t>
      </w:r>
      <w:r>
        <w:rPr>
          <w:rFonts w:ascii="Courier New" w:hAnsi="Courier New"/>
          <w:b w:val="0"/>
          <w:i w:val="0"/>
          <w:sz w:val="18"/>
        </w:rPr>
        <w:t>toolchains.yaml</w:t>
      </w:r>
      <w:r>
        <w:rPr>
          <w:b w:val="0"/>
          <w:i w:val="0"/>
        </w:rPr>
        <w:t>. Do not construct the name from the provider or module name. Add a GPU scope and the approved GPU variants only for a GPU build.</w:t>
      </w:r>
    </w:p>
    <w:p>
      <w:pPr>
        <w:pStyle w:val="Heading2"/>
      </w:pPr>
      <w:r>
        <w:rPr>
          <w:b w:val="0"/>
          <w:i w:val="0"/>
        </w:rPr>
        <w:t>7.3 Deployment configuration</w:t>
      </w:r>
    </w:p>
    <w:p>
      <w:pPr/>
      <w:r>
        <w:rPr>
          <w:b w:val="0"/>
          <w:i w:val="0"/>
        </w:rPr>
        <w:t>The package manager or site supplies deployment paths through the reviewed deployment record described in Section 4.2. A minimum native Spack environment configuration has this form:</w:t>
      </w:r>
    </w:p>
    <w:p>
      <w:pPr>
        <w:keepLines w:val="0"/>
        <w:widowControl/>
        <w:spacing w:before="40" w:after="160" w:line="245" w:lineRule="auto"/>
        <w:ind w:left="115" w:right="43"/>
      </w:pPr>
      <w:r>
        <w:rPr>
          <w:rFonts w:ascii="Courier New" w:hAnsi="Courier New"/>
          <w:b w:val="0"/>
          <w:i w:val="0"/>
          <w:sz w:val="18"/>
        </w:rPr>
        <w:t>spack:</w:t>
        <w:br/>
        <w:t xml:space="preserve">  config:</w:t>
        <w:br/>
        <w:t xml:space="preserve">    install_tree:</w:t>
        <w:br/>
        <w:t xml:space="preserve">      root: &lt;absolute-install-tree&gt;</w:t>
        <w:br/>
        <w:t xml:space="preserve">    build_stage:</w:t>
        <w:br/>
        <w:t xml:space="preserve">      - &lt;absolute-per-builder-stage&gt;</w:t>
        <w:br/>
        <w:t xml:space="preserve">    source_cache: &lt;absolute-source-cache&gt;</w:t>
        <w:br/>
        <w:t xml:space="preserve">    misc_cache: &lt;absolute-builder-misc-cache&gt;</w:t>
        <w:br/>
        <w:t xml:space="preserve">    locks: true</w:t>
      </w:r>
    </w:p>
    <w:p>
      <w:pPr/>
      <w:r>
        <w:rPr>
          <w:b w:val="0"/>
          <w:i w:val="0"/>
        </w:rPr>
        <w:t>Add view and module configuration only when the release publishes them. The view path and module root must be absolute, owned by the application team, and recorded before concretization. Configure the build-cache destination and signature policy independently from the source and miscellaneous caches. Do not take deployment paths from the static catalog. The catalog provides platform configuration only.</w:t>
      </w:r>
    </w:p>
    <w:p>
      <w:pPr>
        <w:pStyle w:val="Heading2"/>
      </w:pPr>
      <w:r>
        <w:rPr>
          <w:b w:val="0"/>
          <w:i w:val="0"/>
        </w:rPr>
        <w:t>7.4 Ordered producer example</w:t>
      </w:r>
    </w:p>
    <w:p>
      <w:pPr/>
      <w:r>
        <w:rPr>
          <w:b w:val="0"/>
          <w:i w:val="0"/>
        </w:rPr>
        <w:t xml:space="preserve">Spack 1.2 groups and </w:t>
      </w:r>
      <w:r>
        <w:rPr>
          <w:rFonts w:ascii="Courier New" w:hAnsi="Courier New"/>
          <w:b w:val="0"/>
          <w:i w:val="0"/>
          <w:sz w:val="18"/>
        </w:rPr>
        <w:t>needs</w:t>
      </w:r>
      <w:r>
        <w:rPr>
          <w:b w:val="0"/>
          <w:i w:val="0"/>
        </w:rPr>
        <w:t xml:space="preserve"> may be used to order producers and consumers in one environment:</w:t>
      </w:r>
    </w:p>
    <w:p>
      <w:pPr>
        <w:keepLines w:val="0"/>
        <w:widowControl/>
        <w:spacing w:before="40" w:after="160" w:line="245" w:lineRule="auto"/>
        <w:ind w:left="115" w:right="43"/>
      </w:pPr>
      <w:r>
        <w:rPr>
          <w:rFonts w:ascii="Courier New" w:hAnsi="Courier New"/>
          <w:b w:val="0"/>
          <w:i w:val="0"/>
          <w:sz w:val="18"/>
        </w:rPr>
        <w:t>spack:</w:t>
        <w:br/>
        <w:t xml:space="preserve">  packages:</w:t>
        <w:br/>
        <w:t xml:space="preserve">    c:</w:t>
        <w:br/>
        <w:t xml:space="preserve">      prefer: [gcc@&lt;version&gt;]</w:t>
        <w:br/>
        <w:t xml:space="preserve">    cxx:</w:t>
        <w:br/>
        <w:t xml:space="preserve">      prefer: [gcc@&lt;version&gt;]</w:t>
        <w:br/>
        <w:t xml:space="preserve">    fortran:</w:t>
        <w:br/>
        <w:t xml:space="preserve">      prefer: [gcc@&lt;version&gt;]</w:t>
        <w:br/>
        <w:t xml:space="preserve">    mpi:</w:t>
        <w:br/>
        <w:t xml:space="preserve">      require: [openmpi]</w:t>
        <w:br/>
        <w:br/>
        <w:t xml:space="preserve">  specs:</w:t>
        <w:br/>
        <w:t xml:space="preserve">    - group: compiler</w:t>
        <w:br/>
        <w:t xml:space="preserve">      specs:</w:t>
        <w:br/>
        <w:t xml:space="preserve">        - gcc@&lt;version&gt;</w:t>
        <w:br/>
        <w:br/>
        <w:t xml:space="preserve">    - group: mpi</w:t>
        <w:br/>
        <w:t xml:space="preserve">      needs: [compiler]</w:t>
        <w:br/>
        <w:t xml:space="preserve">      specs:</w:t>
        <w:br/>
        <w:t xml:space="preserve">        - openmpi@&lt;version&gt; %&lt;catalog-toolchain-name&gt;</w:t>
        <w:br/>
        <w:br/>
        <w:t xml:space="preserve">    - group: applications</w:t>
        <w:br/>
        <w:t xml:space="preserve">      needs: [compiler, mpi]</w:t>
        <w:br/>
        <w:t xml:space="preserve">      specs:</w:t>
        <w:br/>
        <w:t xml:space="preserve">        - hdf5@&lt;version&gt;+mpi+fortran %&lt;catalog-toolchain-name&gt;</w:t>
        <w:br/>
        <w:br/>
        <w:t xml:space="preserve">  concretizer:</w:t>
        <w:br/>
        <w:t xml:space="preserve">    unify: false</w:t>
        <w:br/>
        <w:t xml:space="preserve">    reuse: false</w:t>
      </w:r>
    </w:p>
    <w:p>
      <w:pPr/>
      <w:r>
        <w:rPr>
          <w:b w:val="0"/>
          <w:i w:val="0"/>
        </w:rPr>
        <w:t xml:space="preserve">The toolchain selects the compiler and MPI providers conditionally for the languages and virtuals each root actually uses. </w:t>
      </w:r>
      <w:r>
        <w:rPr>
          <w:rFonts w:ascii="Courier New" w:hAnsi="Courier New"/>
          <w:b w:val="0"/>
          <w:i w:val="0"/>
          <w:sz w:val="18"/>
        </w:rPr>
        <w:t>needs</w:t>
      </w:r>
      <w:r>
        <w:rPr>
          <w:b w:val="0"/>
          <w:i w:val="0"/>
        </w:rPr>
        <w:t xml:space="preserve"> orders the groups and makes their producer hashes available; it is not a selector. The soft preferences remain useful defaults but are not sufficient enforcement. Resolve new lockfiles for this stack-built-compiler surface without concrete-spec reuse, then reuse identical hashes between environments through the shared install tree, build cache, and normal Spack locking. An external compiler surface may retain its established reuse policy because it has no managed producer to protect from an installed seed-compiler DAG.</w:t>
      </w:r>
    </w:p>
    <w:p>
      <w:pPr>
        <w:pStyle w:val="Heading2"/>
      </w:pPr>
      <w:r>
        <w:rPr>
          <w:b w:val="0"/>
          <w:i w:val="0"/>
        </w:rPr>
        <w:t>7.5 Inspect the complete prepared workspace</w:t>
      </w:r>
    </w:p>
    <w:p>
      <w:pPr/>
      <w:r>
        <w:rPr>
          <w:b w:val="0"/>
          <w:i w:val="0"/>
        </w:rPr>
        <w:t xml:space="preserve">Verify the complete environment and configuration before concretization, whether the package manager prepared the files directly or received them from another authorized operator. A workspace contains one or more </w:t>
      </w:r>
      <w:r>
        <w:rPr>
          <w:rFonts w:ascii="Courier New" w:hAnsi="Courier New"/>
          <w:b w:val="0"/>
          <w:i w:val="0"/>
          <w:sz w:val="18"/>
        </w:rPr>
        <w:t>spack.yaml</w:t>
      </w:r>
      <w:r>
        <w:rPr>
          <w:b w:val="0"/>
          <w:i w:val="0"/>
        </w:rPr>
        <w:t xml:space="preserve"> files, any existing reviewed </w:t>
      </w:r>
      <w:r>
        <w:rPr>
          <w:rFonts w:ascii="Courier New" w:hAnsi="Courier New"/>
          <w:b w:val="0"/>
          <w:i w:val="0"/>
          <w:sz w:val="18"/>
        </w:rPr>
        <w:t>spack.lock</w:t>
      </w:r>
      <w:r>
        <w:rPr>
          <w:b w:val="0"/>
          <w:i w:val="0"/>
        </w:rPr>
        <w:t xml:space="preserve"> files, all referenced configuration files, and accessible pinned package repositories and overlays. Its retained operating record identifies the system, release, approved catalog, package intent, deployment choices, file paths and digests, repository identities, and operator responsibilities. No special workspace directory layout or metadata filename is required.</w:t>
      </w:r>
    </w:p>
    <w:p>
      <w:pPr/>
      <w:r>
        <w:rPr>
          <w:b w:val="0"/>
          <w:i w:val="0"/>
        </w:rPr>
        <w:t>For each environment identified in that record:</w:t>
      </w:r>
    </w:p>
    <w:p>
      <w:pPr>
        <w:keepLines/>
        <w:widowControl/>
        <w:spacing w:before="40" w:after="160" w:line="245" w:lineRule="auto"/>
        <w:ind w:left="115" w:right="43"/>
      </w:pPr>
      <w:r>
        <w:rPr>
          <w:rFonts w:ascii="Courier New" w:hAnsi="Courier New"/>
          <w:b w:val="0"/>
          <w:i w:val="0"/>
          <w:sz w:val="18"/>
        </w:rPr>
        <w:t>test -r "$ENVIRONMENT_ROOT/spack.yaml"</w:t>
        <w:br/>
        <w:t>spack -C "$BOOTSTRAP_CONFIG_DIR" -e "$ENVIRONMENT_ROOT" config scopes -vp</w:t>
        <w:br/>
        <w:t>spack -C "$BOOTSTRAP_CONFIG_DIR" -e "$ENVIRONMENT_ROOT" config get config</w:t>
        <w:br/>
        <w:t>spack -C "$BOOTSTRAP_CONFIG_DIR" -e "$ENVIRONMENT_ROOT" config get packages</w:t>
        <w:br/>
        <w:t>spack -C "$BOOTSTRAP_CONFIG_DIR" -e "$ENVIRONMENT_ROOT" config get mirrors</w:t>
        <w:br/>
        <w:t>spack -C "$BOOTSTRAP_CONFIG_DIR" -e "$ENVIRONMENT_ROOT" config get modules</w:t>
        <w:br/>
        <w:t>spack -C "$BOOTSTRAP_CONFIG_DIR" -e "$ENVIRONMENT_ROOT" config get repos</w:t>
      </w:r>
    </w:p>
    <w:p>
      <w:pPr/>
      <w:r>
        <w:rPr>
          <w:b w:val="0"/>
          <w:i w:val="0"/>
        </w:rPr>
        <w:t xml:space="preserve">Every relative </w:t>
      </w:r>
      <w:r>
        <w:rPr>
          <w:rFonts w:ascii="Courier New" w:hAnsi="Courier New"/>
          <w:b w:val="0"/>
          <w:i w:val="0"/>
          <w:sz w:val="18"/>
        </w:rPr>
        <w:t>include::</w:t>
      </w:r>
      <w:r>
        <w:rPr>
          <w:b w:val="0"/>
          <w:i w:val="0"/>
        </w:rPr>
        <w:t xml:space="preserve"> path must resolve inside the retained workspace or its associated catalog tree, and the complete referenced tree must accompany a transfer. Record and verify external absolute paths on the intended system. A lone copied </w:t>
      </w:r>
      <w:r>
        <w:rPr>
          <w:rFonts w:ascii="Courier New" w:hAnsi="Courier New"/>
          <w:b w:val="0"/>
          <w:i w:val="0"/>
          <w:sz w:val="18"/>
        </w:rPr>
        <w:t>spack.yaml</w:t>
      </w:r>
      <w:r>
        <w:rPr>
          <w:b w:val="0"/>
          <w:i w:val="0"/>
        </w:rPr>
        <w:t xml:space="preserve"> is insufficient when it references other files. Systems unable to reach required configuration or repositories need reviewed local copies; resolve remote includes into reviewed local inputs before transfer.</w:t>
      </w:r>
    </w:p>
    <w:p>
      <w:pPr/>
      <w:r>
        <w:rPr>
          <w:b w:val="0"/>
          <w:i w:val="0"/>
        </w:rPr>
        <w:t>Compare merged deployment paths, access, compilers, targets, providers and module policy with the operating record. Verify each file's recorded identity, repeat inspections using the receiving builder's runtime, and confirm shared access before transferring responsibility. Correct the owning input and prepare a new candidate when configuration must change. Preserve existing lockfiles, build output and evidence rather than overwriting their workspace.</w:t>
      </w:r>
    </w:p>
    <w:p>
      <w:bookmarkStart w:id="1" w:name="procedure_local_corrections"/>
      <w:pPr>
        <w:pStyle w:val="Heading2"/>
      </w:pPr>
      <w:r>
        <w:rPr>
          <w:b w:val="0"/>
          <w:i w:val="0"/>
        </w:rPr>
        <w:t>7.6 Maintain local package corrections</w:t>
      </w:r>
      <w:bookmarkEnd w:id="1"/>
    </w:p>
    <w:p>
      <w:pPr/>
      <w:r>
        <w:rPr>
          <w:b w:val="0"/>
          <w:i w:val="0"/>
        </w:rPr>
        <w:t>A local recipe repository allows a package manager to correct package source or build behavior while retaining the approved upstream package-repository pin. The local repository has its own recorded revision or archive digest. It is a controlled executable input, subject to the same admission, review, transfer, and retention requirements as the upstream recipes. Use Section 4.2 first to determine whether the change belongs in configuration instead.</w:t>
      </w:r>
    </w:p>
    <w:p>
      <w:pPr/>
      <w:r>
        <w:rPr>
          <w:b w:val="0"/>
          <w:i w:val="0"/>
        </w:rPr>
        <w:t xml:space="preserve">For an unqualified package name, Spack selects the recipe from the first configured repository that provides it. Spack does not merge </w:t>
      </w:r>
      <w:r>
        <w:rPr>
          <w:rFonts w:ascii="Courier New" w:hAnsi="Courier New"/>
          <w:b w:val="0"/>
          <w:i w:val="0"/>
          <w:sz w:val="18"/>
        </w:rPr>
        <w:t>package.py</w:t>
      </w:r>
      <w:r>
        <w:rPr>
          <w:b w:val="0"/>
          <w:i w:val="0"/>
        </w:rPr>
        <w:t xml:space="preserve"> files. A local recipe may explicitly inherit the pinned upstream package class and add a scoped patch or override. Inheritance must preserve the recipe's existing behavior, including any recipe-specific builder class. A complete replacement requires review of the behavior it replaces. See </w:t>
      </w:r>
      <w:hyperlink r:id="rId12" w:history="1">
        <w:r>
          <w:rPr>
            <w:b w:val="0"/>
            <w:i w:val="0"/>
            <w:color w:val="245A81"/>
            <w:u w:val="single"/>
          </w:rPr>
          <w:t>Spack repositories and recipe inheritance</w:t>
        </w:r>
      </w:hyperlink>
      <w:r>
        <w:rPr>
          <w:b w:val="0"/>
          <w:i w:val="0"/>
        </w:rPr>
        <w:t>.</w:t>
      </w:r>
    </w:p>
    <w:p>
      <w:pPr>
        <w:pStyle w:val="Heading3"/>
      </w:pPr>
      <w:r>
        <w:rPr>
          <w:b w:val="0"/>
          <w:i w:val="0"/>
        </w:rPr>
        <w:t>7.6.1 Record the correction and its scope</w:t>
      </w:r>
    </w:p>
    <w:p>
      <w:pPr/>
      <w:r>
        <w:rPr>
          <w:b w:val="0"/>
          <w:i w:val="0"/>
        </w:rPr>
        <w:t>Retain the failing command and log, exact package/compiler versions, variants, target, affected environment and concrete hash, pinned upstream recipe and repository identity, and existing local recipe/patch files. Identify the demonstrated cause before choosing the correction layer. When adapting a newer upstream fix, retain its exact revision and check compatibility with the pinned recipe and package source; adopting that fix does not require changing the whole upstream repository pin.</w:t>
      </w:r>
    </w:p>
    <w:p>
      <w:pPr/>
      <w:r>
        <w:rPr>
          <w:b w:val="0"/>
          <w:i w:val="0"/>
        </w:rPr>
        <w:t xml:space="preserve">Obtain a complete updated local </w:t>
      </w:r>
      <w:r>
        <w:rPr>
          <w:rFonts w:ascii="Courier New" w:hAnsi="Courier New"/>
          <w:b w:val="0"/>
          <w:i w:val="0"/>
          <w:sz w:val="18"/>
        </w:rPr>
        <w:t>package.py</w:t>
      </w:r>
      <w:r>
        <w:rPr>
          <w:b w:val="0"/>
          <w:i w:val="0"/>
        </w:rPr>
        <w:t xml:space="preserve"> and every referenced patch or helper file, with a diff and proposed validation. Preserve existing local fixes that still apply. Limit the change by package version, compiler/version, variant, platform, or target where the evidence supports that condition. Record why the selected scope is sufficient. The authoring method does not change the required review.</w:t>
      </w:r>
    </w:p>
    <w:p>
      <w:pPr>
        <w:pStyle w:val="Heading3"/>
      </w:pPr>
      <w:r>
        <w:rPr>
          <w:b w:val="0"/>
          <w:i w:val="0"/>
        </w:rPr>
        <w:t>7.6.2 Select or create the local repository</w:t>
      </w:r>
    </w:p>
    <w:p>
      <w:pPr/>
      <w:r>
        <w:rPr>
          <w:b w:val="0"/>
          <w:i w:val="0"/>
        </w:rPr>
        <w:t>Use an existing approved local repository when one already owns the package correction. For a new repository, choose a managed location and namespace, record its ownership/access policy under Section 4, and initialize it once:</w:t>
      </w:r>
    </w:p>
    <w:p>
      <w:pPr>
        <w:keepLines/>
        <w:widowControl/>
        <w:spacing w:before="40" w:after="160" w:line="245" w:lineRule="auto"/>
        <w:ind w:left="115" w:right="43"/>
      </w:pPr>
      <w:r>
        <w:rPr>
          <w:rFonts w:ascii="Courier New" w:hAnsi="Courier New"/>
          <w:b w:val="0"/>
          <w:i w:val="0"/>
          <w:sz w:val="18"/>
        </w:rPr>
        <w:t>export LOCAL_REPO_PROJECT="&lt;absolute-new-local-repository-project&gt;"</w:t>
        <w:br/>
        <w:t>spack -C "$BOOTSTRAP_CONFIG_DIR" repo create \</w:t>
        <w:br/>
        <w:t xml:space="preserve">  "$LOCAL_REPO_PROJECT" local_overlay</w:t>
        <w:br/>
        <w:t>export LOCAL_REPO_ROOT="$LOCAL_REPO_PROJECT/spack_repo/local_overlay"</w:t>
        <w:br/>
        <w:t>test -r "$LOCAL_REPO_ROOT/repo.yaml"</w:t>
      </w:r>
    </w:p>
    <w:p>
      <w:pPr/>
      <w:r>
        <w:rPr>
          <w:b w:val="0"/>
          <w:i w:val="0"/>
        </w:rPr>
        <w:t xml:space="preserve">Spack 1.2.2 creates an API v2 repository. Verify the printed path, namespace, and API in </w:t>
      </w:r>
      <w:r>
        <w:rPr>
          <w:rFonts w:ascii="Courier New" w:hAnsi="Courier New"/>
          <w:b w:val="0"/>
          <w:i w:val="0"/>
          <w:sz w:val="18"/>
        </w:rPr>
        <w:t>repo.yaml</w:t>
      </w:r>
      <w:r>
        <w:rPr>
          <w:b w:val="0"/>
          <w:i w:val="0"/>
        </w:rPr>
        <w:t xml:space="preserve">. For an existing repository, set </w:t>
      </w:r>
      <w:r>
        <w:rPr>
          <w:rFonts w:ascii="Courier New" w:hAnsi="Courier New"/>
          <w:b w:val="0"/>
          <w:i w:val="0"/>
          <w:sz w:val="18"/>
        </w:rPr>
        <w:t>LOCAL_REPO_ROOT</w:t>
      </w:r>
      <w:r>
        <w:rPr>
          <w:b w:val="0"/>
          <w:i w:val="0"/>
        </w:rPr>
        <w:t xml:space="preserve"> to the directory containing its </w:t>
      </w:r>
      <w:r>
        <w:rPr>
          <w:rFonts w:ascii="Courier New" w:hAnsi="Courier New"/>
          <w:b w:val="0"/>
          <w:i w:val="0"/>
          <w:sz w:val="18"/>
        </w:rPr>
        <w:t>repo.yaml</w:t>
      </w:r>
      <w:r>
        <w:rPr>
          <w:b w:val="0"/>
          <w:i w:val="0"/>
        </w:rPr>
        <w:t xml:space="preserve"> and retain its approved namespace; do not run the initialization command over it. The default package layout is:</w:t>
      </w:r>
    </w:p>
    <w:p>
      <w:pPr>
        <w:keepLines/>
        <w:widowControl/>
        <w:spacing w:before="40" w:after="160" w:line="245" w:lineRule="auto"/>
        <w:ind w:left="115" w:right="43"/>
      </w:pPr>
      <w:r>
        <w:rPr>
          <w:rFonts w:ascii="Courier New" w:hAnsi="Courier New"/>
          <w:b w:val="0"/>
          <w:i w:val="0"/>
          <w:sz w:val="18"/>
        </w:rPr>
        <w:t>&lt;local-repository-root&gt;/</w:t>
        <w:br/>
        <w:t xml:space="preserve">  repo.yaml</w:t>
        <w:br/>
        <w:t xml:space="preserve">  packages/</w:t>
        <w:br/>
        <w:t xml:space="preserve">    &lt;package-module&gt;/</w:t>
        <w:br/>
        <w:t xml:space="preserve">      package.py</w:t>
        <w:br/>
        <w:t xml:space="preserve">      &lt;referenced-local-patch-or-helper-files&gt;</w:t>
      </w:r>
    </w:p>
    <w:p>
      <w:pPr/>
      <w:r>
        <w:rPr>
          <w:b w:val="0"/>
          <w:i w:val="0"/>
        </w:rPr>
        <w:t xml:space="preserve">Use the API v2 Python module spelling from the pinned recipe; for example, </w:t>
      </w:r>
      <w:r>
        <w:rPr>
          <w:rFonts w:ascii="Courier New" w:hAnsi="Courier New"/>
          <w:b w:val="0"/>
          <w:i w:val="0"/>
          <w:sz w:val="18"/>
        </w:rPr>
        <w:t>netlib-lapack</w:t>
      </w:r>
      <w:r>
        <w:rPr>
          <w:b w:val="0"/>
          <w:i w:val="0"/>
        </w:rPr>
        <w:t xml:space="preserve"> uses the directory </w:t>
      </w:r>
      <w:r>
        <w:rPr>
          <w:rFonts w:ascii="Courier New" w:hAnsi="Courier New"/>
          <w:b w:val="0"/>
          <w:i w:val="0"/>
          <w:sz w:val="18"/>
        </w:rPr>
        <w:t>netlib_lapack</w:t>
      </w:r>
      <w:r>
        <w:rPr>
          <w:b w:val="0"/>
          <w:i w:val="0"/>
        </w:rPr>
        <w:t>. The repository and the environment may be in separately recorded locations. No generator, wrapper, or prescribed workspace layout is required.</w:t>
      </w:r>
    </w:p>
    <w:p>
      <w:pPr>
        <w:pStyle w:val="Heading3"/>
      </w:pPr>
      <w:r>
        <w:rPr>
          <w:b w:val="0"/>
          <w:i w:val="0"/>
        </w:rPr>
        <w:t>7.6.3 Place and register the reviewed files</w:t>
      </w:r>
    </w:p>
    <w:p>
      <w:pPr/>
      <w:r>
        <w:rPr>
          <w:b w:val="0"/>
          <w:i w:val="0"/>
        </w:rPr>
        <w:t>Coordinate with all builders using the affected repository. Preserve the original recipe files, effective configuration, and each affected lock before changing candidate inputs. Keep accepted release inputs immutable; prepare a new candidate repository revision or snapshot for a correction.</w:t>
      </w:r>
    </w:p>
    <w:p>
      <w:pPr/>
      <w:r>
        <w:rPr>
          <w:b w:val="0"/>
          <w:i w:val="0"/>
        </w:rPr>
        <w:t>Review the candidate under Section 8.1, then place the complete local recipe and its explicitly listed supporting files in the matching package directory. A patch file must be referenced by the recipe. Check file completeness and group access before use; do not continue from a partial copy. Record the local repository commit or archive digest. Do not edit the cached upstream tree.</w:t>
      </w:r>
    </w:p>
    <w:p>
      <w:pPr/>
      <w:r>
        <w:rPr>
          <w:b w:val="0"/>
          <w:i w:val="0"/>
        </w:rPr>
        <w:t xml:space="preserve">Select the local repository in the candidate environment's reviewed </w:t>
      </w:r>
      <w:r>
        <w:rPr>
          <w:rFonts w:ascii="Courier New" w:hAnsi="Courier New"/>
          <w:b w:val="0"/>
          <w:i w:val="0"/>
          <w:sz w:val="18"/>
        </w:rPr>
        <w:t>repos</w:t>
      </w:r>
      <w:r>
        <w:rPr>
          <w:b w:val="0"/>
          <w:i w:val="0"/>
        </w:rPr>
        <w:t xml:space="preserve"> configuration. For the example namespace above, add this mapping under the existing </w:t>
      </w:r>
      <w:r>
        <w:rPr>
          <w:rFonts w:ascii="Courier New" w:hAnsi="Courier New"/>
          <w:b w:val="0"/>
          <w:i w:val="0"/>
          <w:sz w:val="18"/>
        </w:rPr>
        <w:t>spack:</w:t>
      </w:r>
      <w:r>
        <w:rPr>
          <w:b w:val="0"/>
          <w:i w:val="0"/>
        </w:rPr>
        <w:t xml:space="preserve"> section of </w:t>
      </w:r>
      <w:r>
        <w:rPr>
          <w:rFonts w:ascii="Courier New" w:hAnsi="Courier New"/>
          <w:b w:val="0"/>
          <w:i w:val="0"/>
          <w:sz w:val="18"/>
        </w:rPr>
        <w:t>spack.yaml</w:t>
      </w:r>
      <w:r>
        <w:rPr>
          <w:b w:val="0"/>
          <w:i w:val="0"/>
        </w:rPr>
        <w:t>:</w:t>
      </w:r>
    </w:p>
    <w:p>
      <w:pPr>
        <w:keepLines/>
        <w:widowControl/>
        <w:spacing w:before="40" w:after="160" w:line="245" w:lineRule="auto"/>
        <w:ind w:left="115" w:right="43"/>
      </w:pPr>
      <w:r>
        <w:rPr>
          <w:rFonts w:ascii="Courier New" w:hAnsi="Courier New"/>
          <w:b w:val="0"/>
          <w:i w:val="0"/>
          <w:sz w:val="18"/>
        </w:rPr>
        <w:t xml:space="preserve">  repos:</w:t>
        <w:br/>
        <w:t xml:space="preserve">    local_overlay: &lt;absolute-local-repository-root-containing-repo.yaml&gt;</w:t>
      </w:r>
    </w:p>
    <w:p>
      <w:pPr/>
      <w:r>
        <w:rPr>
          <w:b w:val="0"/>
          <w:i w:val="0"/>
        </w:rPr>
        <w:t xml:space="preserve">Merge this entry into the existing configuration rather than creating a second </w:t>
      </w:r>
      <w:r>
        <w:rPr>
          <w:rFonts w:ascii="Courier New" w:hAnsi="Courier New"/>
          <w:b w:val="0"/>
          <w:i w:val="0"/>
          <w:sz w:val="18"/>
        </w:rPr>
        <w:t>repos</w:t>
      </w:r>
      <w:r>
        <w:rPr>
          <w:b w:val="0"/>
          <w:i w:val="0"/>
        </w:rPr>
        <w:t xml:space="preserve"> key. Retain every approved upstream repository entry and its exact pin in its owning scope. Verify that the effective order puts the local repository before the upstream repository for the affected package. Do not use an unrecorded user-level </w:t>
      </w:r>
      <w:r>
        <w:rPr>
          <w:rFonts w:ascii="Courier New" w:hAnsi="Courier New"/>
          <w:b w:val="0"/>
          <w:i w:val="0"/>
          <w:sz w:val="18"/>
        </w:rPr>
        <w:t>spack repo add</w:t>
      </w:r>
      <w:r>
        <w:rPr>
          <w:b w:val="0"/>
          <w:i w:val="0"/>
        </w:rPr>
        <w:t xml:space="preserve"> as a substitute for retained environment configuration. The operator records actual paths in Section 3.</w:t>
      </w:r>
    </w:p>
    <w:p>
      <w:pPr>
        <w:pStyle w:val="Heading3"/>
      </w:pPr>
      <w:r>
        <w:rPr>
          <w:b w:val="0"/>
          <w:i w:val="0"/>
        </w:rPr>
        <w:t>7.6.4 Verify selection and the proposed correction</w:t>
      </w:r>
    </w:p>
    <w:p>
      <w:pPr/>
      <w:r>
        <w:rPr>
          <w:b w:val="0"/>
          <w:i w:val="0"/>
        </w:rPr>
        <w:t>After reviewing the executable recipe inputs, select the actual package and inspect repository order and the recipe path without running the solver:</w:t>
      </w:r>
    </w:p>
    <w:p>
      <w:pPr>
        <w:keepLines/>
        <w:widowControl/>
        <w:spacing w:before="40" w:after="160" w:line="245" w:lineRule="auto"/>
        <w:ind w:left="115" w:right="43"/>
      </w:pPr>
      <w:r>
        <w:rPr>
          <w:rFonts w:ascii="Courier New" w:hAnsi="Courier New"/>
          <w:b w:val="0"/>
          <w:i w:val="0"/>
          <w:sz w:val="18"/>
        </w:rPr>
        <w:t>export PACKAGE_NAME="&lt;affected-spack-package-name&gt;"</w:t>
        <w:br/>
        <w:t>spack -C "$BOOTSTRAP_CONFIG_DIR" -e "$ENVIRONMENT_ROOT" repo list</w:t>
        <w:br/>
        <w:t>spack -C "$BOOTSTRAP_CONFIG_DIR" -e "$ENVIRONMENT_ROOT" \</w:t>
        <w:br/>
        <w:t xml:space="preserve">  location --package-dir "$PACKAGE_NAME"</w:t>
        <w:br/>
        <w:t>spack -C "$BOOTSTRAP_CONFIG_DIR" -e "$ENVIRONMENT_ROOT" python -c \</w:t>
        <w:br/>
        <w:t>'import inspect, os, spack.repo</w:t>
        <w:br/>
        <w:t>cls = spack.repo.PATH.get_pkg_class(os.environ["PACKAGE_NAME"])</w:t>
        <w:br/>
        <w:t>print(inspect.getfile(cls))'</w:t>
      </w:r>
    </w:p>
    <w:p>
      <w:pPr/>
      <w:r>
        <w:rPr>
          <w:b w:val="0"/>
          <w:i w:val="0"/>
        </w:rPr>
        <w:t xml:space="preserve">Both paths must identify the intended local recipe. Stop on an unexpected repository, import error, or incompatible builder behavior. These checks do not update an old lockfile. Do not use an abstract </w:t>
      </w:r>
      <w:r>
        <w:rPr>
          <w:rFonts w:ascii="Courier New" w:hAnsi="Courier New"/>
          <w:b w:val="0"/>
          <w:i w:val="0"/>
          <w:sz w:val="18"/>
        </w:rPr>
        <w:t>spack spec</w:t>
      </w:r>
      <w:r>
        <w:rPr>
          <w:b w:val="0"/>
          <w:i w:val="0"/>
        </w:rPr>
        <w:t xml:space="preserve"> query as a recipe-location check; it may solve a new graph. Inspect an upstream recipe through its explicitly resolved repository root when comparing the baseline.</w:t>
      </w:r>
    </w:p>
    <w:p>
      <w:pPr/>
      <w:r>
        <w:rPr>
          <w:b w:val="0"/>
          <w:i w:val="0"/>
        </w:rPr>
        <w:t>Check source patches against a disposable copy of the exact pinned source in their intended application order. Retain the original reproducer and verify that the corrected case passes, including an unaffected case where applicable. Full Spack build and runtime acceptance follow the reviewed lock update below.</w:t>
      </w:r>
    </w:p>
    <w:p>
      <w:pPr>
        <w:pStyle w:val="Heading3"/>
      </w:pPr>
      <w:r>
        <w:rPr>
          <w:b w:val="0"/>
          <w:i w:val="0"/>
        </w:rPr>
        <w:t>7.6.5 Review the affected locks and validate the candidate</w:t>
      </w:r>
    </w:p>
    <w:p>
      <w:pPr/>
      <w:r>
        <w:rPr>
          <w:b w:val="0"/>
          <w:i w:val="0"/>
        </w:rPr>
        <w:t xml:space="preserve">Changing recipe files does not update concrete identities already retained in </w:t>
      </w:r>
      <w:r>
        <w:rPr>
          <w:rFonts w:ascii="Courier New" w:hAnsi="Courier New"/>
          <w:b w:val="0"/>
          <w:i w:val="0"/>
          <w:sz w:val="18"/>
        </w:rPr>
        <w:t>spack.lock</w:t>
      </w:r>
      <w:r>
        <w:rPr>
          <w:b w:val="0"/>
          <w:i w:val="0"/>
        </w:rPr>
        <w:t>. Identify affected environments and dependent packages; a compiler-specific condition alone does not prove other hashes are unchanged. Preserve the prior locks and full concrete listings in the release record.</w:t>
      </w:r>
    </w:p>
    <w:p>
      <w:pPr/>
      <w:r>
        <w:rPr>
          <w:b w:val="0"/>
          <w:i w:val="0"/>
        </w:rPr>
        <w:t>For a new candidate without a lock, continue with Section 8. If the corrected candidate already has a lock, recover one affected environment at a time after impact review. The following command permits replacing its concrete entries and disables installed/build-cache reuse during that solve:</w:t>
      </w:r>
    </w:p>
    <w:p>
      <w:pPr>
        <w:keepLines/>
        <w:widowControl/>
        <w:spacing w:before="40" w:after="160" w:line="245" w:lineRule="auto"/>
        <w:ind w:left="115" w:right="43"/>
      </w:pPr>
      <w:r>
        <w:rPr>
          <w:rFonts w:ascii="Courier New" w:hAnsi="Courier New"/>
          <w:b w:val="0"/>
          <w:i w:val="0"/>
          <w:sz w:val="18"/>
        </w:rPr>
        <w:t>spack -C "$BOOTSTRAP_CONFIG_DIR" -e "$ENVIRONMENT_ROOT" \</w:t>
        <w:br/>
        <w:t xml:space="preserve">  concretize -f --fresh</w:t>
        <w:br/>
        <w:t>spack -C "$BOOTSTRAP_CONFIG_DIR" -e "$ENVIRONMENT_ROOT" \</w:t>
        <w:br/>
        <w:t xml:space="preserve">  find -c -d -L -N -v</w:t>
      </w:r>
    </w:p>
    <w:p>
      <w:pPr/>
      <w:r>
        <w:rPr>
          <w:b w:val="0"/>
          <w:i w:val="0"/>
        </w:rPr>
        <w:t xml:space="preserve">Require a successful solve before continuing. </w:t>
      </w:r>
      <w:r>
        <w:rPr>
          <w:rFonts w:ascii="Courier New" w:hAnsi="Courier New"/>
          <w:b w:val="0"/>
          <w:i w:val="0"/>
          <w:sz w:val="18"/>
        </w:rPr>
        <w:t>-f</w:t>
      </w:r>
      <w:r>
        <w:rPr>
          <w:b w:val="0"/>
          <w:i w:val="0"/>
        </w:rPr>
        <w:t xml:space="preserve"> permits replacing existing concrete entries; </w:t>
      </w:r>
      <w:r>
        <w:rPr>
          <w:rFonts w:ascii="Courier New" w:hAnsi="Courier New"/>
          <w:b w:val="0"/>
          <w:i w:val="0"/>
          <w:sz w:val="18"/>
        </w:rPr>
        <w:t>--fresh</w:t>
      </w:r>
      <w:r>
        <w:rPr>
          <w:b w:val="0"/>
          <w:i w:val="0"/>
        </w:rPr>
        <w:t xml:space="preserve"> controls reuse and does not force source compilation during installation. This solve can change additional nodes, so compare the complete graph with the saved baseline. Confirm the expected recipe namespace, corrected package identity, and dependent hashes; resolve every unexplained change before building. A narrower reuse policy may be used when its impact is reviewed, but must not reuse the defective package or dependent graphs carrying it. Never force this operation across accepted releases or delete installed prefixes to make a correction appear effective. See </w:t>
      </w:r>
      <w:hyperlink r:id="rId13" w:history="1">
        <w:r>
          <w:rPr>
            <w:b w:val="0"/>
            <w:i w:val="0"/>
            <w:color w:val="245A81"/>
            <w:u w:val="single"/>
          </w:rPr>
          <w:t>Spack concretization options</w:t>
        </w:r>
      </w:hyperlink>
      <w:r>
        <w:rPr>
          <w:b w:val="0"/>
          <w:i w:val="0"/>
        </w:rPr>
        <w:t>.</w:t>
      </w:r>
    </w:p>
    <w:p>
      <w:pPr/>
      <w:r>
        <w:rPr>
          <w:b w:val="0"/>
          <w:i w:val="0"/>
        </w:rPr>
        <w:t>Repeat Section 8's graph assessment and Section 9's source admission, build, and validation for the affected candidate. A changed lock can require sources, resources, or patches absent from a restricted system; acquire and transfer any missing inputs through Sections 9.1 and 9.2. Retain the failing and passing reproducer results, required binary/runtime checks, and independent review. Signing and publication follow Section 10.</w:t>
      </w:r>
    </w:p>
    <w:p>
      <w:pPr/>
      <w:r>
        <w:rPr>
          <w:b w:val="0"/>
          <w:i w:val="0"/>
        </w:rPr>
        <w:t>Retain the validated local repository revision with the release and make it available to its authorized builders. On a later planned upstream baseline update, check whether upstream provides an equivalent correction. Remove a redundant local change only through a new reviewed and validated candidate.</w:t>
      </w:r>
    </w:p>
    <w:p>
      <w:pPr>
        <w:pStyle w:val="Heading1"/>
      </w:pPr>
      <w:r>
        <w:rPr>
          <w:b w:val="0"/>
          <w:i w:val="0"/>
        </w:rPr>
        <w:t>8. Concretize and review</w:t>
      </w:r>
    </w:p>
    <w:p>
      <w:pPr/>
      <w:r>
        <w:rPr>
          <w:b w:val="0"/>
          <w:i w:val="0"/>
        </w:rPr>
        <w:t>Concretize and retain the generated lockfile:</w:t>
      </w:r>
    </w:p>
    <w:p>
      <w:pPr>
        <w:keepLines/>
        <w:widowControl/>
        <w:spacing w:before="40" w:after="160" w:line="245" w:lineRule="auto"/>
        <w:ind w:left="115" w:right="43"/>
      </w:pPr>
      <w:r>
        <w:rPr>
          <w:rFonts w:ascii="Courier New" w:hAnsi="Courier New"/>
          <w:b w:val="0"/>
          <w:i w:val="0"/>
          <w:sz w:val="18"/>
        </w:rPr>
        <w:t>spack -C "$BOOTSTRAP_CONFIG_DIR" -e "$ENVIRONMENT_ROOT" concretize --fresh</w:t>
        <w:br/>
        <w:t>spack -C "$BOOTSTRAP_CONFIG_DIR" -e "$ENVIRONMENT_ROOT" find -c -d -l -v</w:t>
        <w:br/>
        <w:t>spack -C "$BOOTSTRAP_CONFIG_DIR" -e "$ENVIRONMENT_ROOT" find -c -d -e -l -v</w:t>
      </w:r>
    </w:p>
    <w:p>
      <w:pPr/>
      <w:r>
        <w:rPr>
          <w:b w:val="0"/>
          <w:i w:val="0"/>
        </w:rPr>
        <w:t xml:space="preserve">The first </w:t>
      </w:r>
      <w:r>
        <w:rPr>
          <w:rFonts w:ascii="Courier New" w:hAnsi="Courier New"/>
          <w:b w:val="0"/>
          <w:i w:val="0"/>
          <w:sz w:val="18"/>
        </w:rPr>
        <w:t>find</w:t>
      </w:r>
      <w:r>
        <w:rPr>
          <w:b w:val="0"/>
          <w:i w:val="0"/>
        </w:rPr>
        <w:t xml:space="preserve"> shows the complete concrete DAG, including specs not yet installed. The second filters that DAG to externals.</w:t>
      </w:r>
    </w:p>
    <w:p>
      <w:pPr/>
      <w:r>
        <w:rPr>
          <w:b w:val="0"/>
          <w:i w:val="0"/>
        </w:rPr>
        <w:t>Review at least:</w:t>
      </w:r>
    </w:p>
    <w:p>
      <w:pPr>
        <w:pStyle w:val="ListParagraph"/>
        <w:numPr>
          <w:ilvl w:val="0"/>
          <w:numId w:val="17"/>
        </w:numPr>
        <w:ind w:left="360"/>
      </w:pPr>
      <w:r>
        <w:rPr>
          <w:b w:val="0"/>
          <w:i w:val="0"/>
        </w:rPr>
        <w:t>root versions and variants;</w:t>
      </w:r>
    </w:p>
    <w:p>
      <w:pPr>
        <w:pStyle w:val="ListParagraph"/>
        <w:numPr>
          <w:ilvl w:val="0"/>
          <w:numId w:val="17"/>
        </w:numPr>
        <w:ind w:left="360"/>
      </w:pPr>
      <w:r>
        <w:rPr>
          <w:b w:val="0"/>
          <w:i w:val="0"/>
        </w:rPr>
        <w:t>compiler selection;</w:t>
      </w:r>
    </w:p>
    <w:p>
      <w:pPr>
        <w:pStyle w:val="ListParagraph"/>
        <w:numPr>
          <w:ilvl w:val="0"/>
          <w:numId w:val="17"/>
        </w:numPr>
        <w:ind w:left="360"/>
      </w:pPr>
      <w:r>
        <w:rPr>
          <w:b w:val="0"/>
          <w:i w:val="0"/>
        </w:rPr>
        <w:t>MPI and GPU providers;</w:t>
      </w:r>
    </w:p>
    <w:p>
      <w:pPr>
        <w:pStyle w:val="ListParagraph"/>
        <w:numPr>
          <w:ilvl w:val="0"/>
          <w:numId w:val="17"/>
        </w:numPr>
        <w:ind w:left="360"/>
      </w:pPr>
      <w:r>
        <w:rPr>
          <w:b w:val="0"/>
          <w:i w:val="0"/>
        </w:rPr>
        <w:t>external package modules and prefixes;</w:t>
      </w:r>
    </w:p>
    <w:p>
      <w:pPr>
        <w:pStyle w:val="ListParagraph"/>
        <w:numPr>
          <w:ilvl w:val="0"/>
          <w:numId w:val="17"/>
        </w:numPr>
        <w:ind w:left="360"/>
      </w:pPr>
      <w:r>
        <w:rPr>
          <w:b w:val="0"/>
          <w:i w:val="0"/>
        </w:rPr>
        <w:t>CPU target;</w:t>
      </w:r>
    </w:p>
    <w:p>
      <w:pPr>
        <w:pStyle w:val="ListParagraph"/>
        <w:numPr>
          <w:ilvl w:val="0"/>
          <w:numId w:val="17"/>
        </w:numPr>
        <w:ind w:left="360"/>
      </w:pPr>
      <w:r>
        <w:rPr>
          <w:b w:val="0"/>
          <w:i w:val="0"/>
        </w:rPr>
        <w:t>dependency versions and hashes;</w:t>
      </w:r>
    </w:p>
    <w:p>
      <w:pPr>
        <w:pStyle w:val="ListParagraph"/>
        <w:numPr>
          <w:ilvl w:val="0"/>
          <w:numId w:val="17"/>
        </w:numPr>
        <w:ind w:left="360"/>
      </w:pPr>
      <w:r>
        <w:rPr>
          <w:b w:val="0"/>
          <w:i w:val="0"/>
        </w:rPr>
        <w:t>the absence of MPI from Serial builds; and</w:t>
      </w:r>
    </w:p>
    <w:p>
      <w:pPr>
        <w:pStyle w:val="ListParagraph"/>
        <w:numPr>
          <w:ilvl w:val="0"/>
          <w:numId w:val="17"/>
        </w:numPr>
        <w:ind w:left="360"/>
      </w:pPr>
      <w:r>
        <w:rPr>
          <w:b w:val="0"/>
          <w:i w:val="0"/>
        </w:rPr>
        <w:t>the absence of unapproved providers or configuration.</w:t>
      </w:r>
    </w:p>
    <w:p>
      <w:pPr/>
      <w:r>
        <w:rPr>
          <w:b w:val="0"/>
          <w:i w:val="0"/>
        </w:rPr>
        <w:t xml:space="preserve">Do not edit </w:t>
      </w:r>
      <w:r>
        <w:rPr>
          <w:rFonts w:ascii="Courier New" w:hAnsi="Courier New"/>
          <w:b w:val="0"/>
          <w:i w:val="0"/>
          <w:sz w:val="18"/>
        </w:rPr>
        <w:t>spack.lock</w:t>
      </w:r>
      <w:r>
        <w:rPr>
          <w:b w:val="0"/>
          <w:i w:val="0"/>
        </w:rPr>
        <w:t xml:space="preserve">. Correct the environment or selected catalog scopes and concretize again. For a correction to an already locked candidate, follow Section 7.6.5's controlled lock update; plain </w:t>
      </w:r>
      <w:r>
        <w:rPr>
          <w:rFonts w:ascii="Courier New" w:hAnsi="Courier New"/>
          <w:b w:val="0"/>
          <w:i w:val="0"/>
          <w:sz w:val="18"/>
        </w:rPr>
        <w:t>concretize --fresh</w:t>
      </w:r>
      <w:r>
        <w:rPr>
          <w:b w:val="0"/>
          <w:i w:val="0"/>
        </w:rPr>
        <w:t xml:space="preserve"> preserves existing concrete entries.</w:t>
      </w:r>
    </w:p>
    <w:p>
      <w:pPr/>
      <w:r>
        <w:rPr>
          <w:b w:val="0"/>
          <w:i w:val="0"/>
        </w:rPr>
        <w:t xml:space="preserve">Concretization passes only when </w:t>
      </w:r>
      <w:r>
        <w:rPr>
          <w:rFonts w:ascii="Courier New" w:hAnsi="Courier New"/>
          <w:b w:val="0"/>
          <w:i w:val="0"/>
          <w:sz w:val="18"/>
        </w:rPr>
        <w:t>spack.lock</w:t>
      </w:r>
      <w:r>
        <w:rPr>
          <w:b w:val="0"/>
          <w:i w:val="0"/>
        </w:rPr>
        <w:t xml:space="preserve"> exists, every root matches the approved intent, all providers and externals come from approved scopes, and the complete dependency closure is covered by the admission assessment below. Save the two </w:t>
      </w:r>
      <w:r>
        <w:rPr>
          <w:rFonts w:ascii="Courier New" w:hAnsi="Courier New"/>
          <w:b w:val="0"/>
          <w:i w:val="0"/>
          <w:sz w:val="18"/>
        </w:rPr>
        <w:t>find</w:t>
      </w:r>
      <w:r>
        <w:rPr>
          <w:b w:val="0"/>
          <w:i w:val="0"/>
        </w:rPr>
        <w:t xml:space="preserve"> listings with the release evidence. A recorded automated assessment with risk-based human review can cover unchanged transitive inputs; individual manual approval of each dependency is not required by this SOP.</w:t>
      </w:r>
    </w:p>
    <w:p>
      <w:bookmarkStart w:id="2" w:name="procedure_review"/>
      <w:pPr>
        <w:pStyle w:val="Heading2"/>
      </w:pPr>
      <w:r>
        <w:rPr>
          <w:b w:val="0"/>
          <w:i w:val="0"/>
        </w:rPr>
        <w:t>8.1 Assess package changes and record the two-person review</w:t>
      </w:r>
      <w:bookmarkEnd w:id="2"/>
    </w:p>
    <w:p>
      <w:pPr>
        <w:pStyle w:val="ListParagraph"/>
        <w:numPr>
          <w:ilvl w:val="0"/>
          <w:numId w:val="18"/>
        </w:numPr>
        <w:ind w:left="360"/>
      </w:pPr>
      <w:r>
        <w:rPr>
          <w:b/>
          <w:i w:val="0"/>
        </w:rPr>
        <w:t>Establish the baseline.</w:t>
      </w:r>
      <w:r>
        <w:rPr>
          <w:b w:val="0"/>
          <w:i w:val="0"/>
        </w:rPr>
        <w:t xml:space="preserve"> Inventory the complete locked dependency closure, including repositories and imported recipe helpers, patches, source resources, bootstrap/build tools and system externals. On the first release, record repository provenance, pinned identities, available upstream assurance, scan coverage and risk criteria. There is no previous baseline to inherit, but this still does not require reading every package line by line.</w:t>
      </w:r>
    </w:p>
    <w:p>
      <w:pPr>
        <w:pStyle w:val="ListParagraph"/>
        <w:numPr>
          <w:ilvl w:val="0"/>
          <w:numId w:val="18"/>
        </w:numPr>
        <w:ind w:left="360"/>
      </w:pPr>
      <w:r>
        <w:rPr>
          <w:b/>
          <w:i w:val="0"/>
        </w:rPr>
        <w:t>Assess later changes.</w:t>
      </w:r>
      <w:r>
        <w:rPr>
          <w:b w:val="0"/>
          <w:i w:val="0"/>
        </w:rPr>
        <w:t xml:space="preserve"> Compare the candidate against the last accepted lockfiles, recipe-repository commits and external inventory. Retain the added, removed and changed packages and inputs. Record the approved repository baseline supporting unchanged components. Include common helper changes that affect reachable recipes, not only changed package files.</w:t>
      </w:r>
    </w:p>
    <w:p>
      <w:pPr>
        <w:pStyle w:val="ListParagraph"/>
        <w:numPr>
          <w:ilvl w:val="0"/>
          <w:numId w:val="18"/>
        </w:numPr>
        <w:ind w:left="360"/>
      </w:pPr>
      <w:r>
        <w:rPr>
          <w:b/>
          <w:i w:val="0"/>
        </w:rPr>
        <w:t>Focus manual review.</w:t>
      </w:r>
      <w:r>
        <w:rPr>
          <w:b w:val="0"/>
          <w:i w:val="0"/>
        </w:rPr>
        <w:t xml:space="preserve"> Inspect team-authored or locally modified recipes and patches, changed download locations or checksum/commit rules, custom hooks and undeclared build-time downloads, security-sensitive components, new providers, and material scanner findings. Select newly introduced third-party recipes for manual review by provenance and risk; do not turn repository updates into a blanket manual review of thousands of unchanged packages. Record why deeper review was or was not needed for the assessed change groups.</w:t>
      </w:r>
    </w:p>
    <w:p>
      <w:pPr>
        <w:pStyle w:val="ListParagraph"/>
        <w:numPr>
          <w:ilvl w:val="0"/>
          <w:numId w:val="18"/>
        </w:numPr>
        <w:ind w:left="360"/>
      </w:pPr>
      <w:r>
        <w:rPr>
          <w:b/>
          <w:i w:val="0"/>
        </w:rPr>
        <w:t>Apply the configured checks.</w:t>
      </w:r>
      <w:r>
        <w:rPr>
          <w:b w:val="0"/>
          <w:i w:val="0"/>
        </w:rPr>
        <w:t xml:space="preserve"> Run the site's approved source, recipe, dependency and binary checks at their appropriate intake/build stages. Record tools, rule or advisory versions, time, scope, result, and any coverage gap. Spack checksums, </w:t>
      </w:r>
      <w:r>
        <w:rPr>
          <w:rFonts w:ascii="Courier New" w:hAnsi="Courier New"/>
          <w:b w:val="0"/>
          <w:i w:val="0"/>
          <w:sz w:val="18"/>
        </w:rPr>
        <w:t>spack audit</w:t>
      </w:r>
      <w:r>
        <w:rPr>
          <w:b w:val="0"/>
          <w:i w:val="0"/>
        </w:rPr>
        <w:t xml:space="preserve"> and SBOM generation are not a substitute for vulnerability matching. Disposition findings or route them to Section 12 before proceeding past the affected gate.</w:t>
      </w:r>
    </w:p>
    <w:p>
      <w:pPr>
        <w:pStyle w:val="ListParagraph"/>
        <w:numPr>
          <w:ilvl w:val="0"/>
          <w:numId w:val="18"/>
        </w:numPr>
        <w:ind w:left="360"/>
      </w:pPr>
      <w:r>
        <w:rPr>
          <w:b/>
          <w:i w:val="0"/>
        </w:rPr>
        <w:t>Have the other person review.</w:t>
      </w:r>
      <w:r>
        <w:rPr>
          <w:b w:val="0"/>
          <w:i w:val="0"/>
        </w:rPr>
        <w:t xml:space="preserve"> The builder supplies the assessment and locked candidate. The reviewer checks the selected baseline and deltas, manual-review triggers, graph/provider decisions and dispositions. After Section 9, the same review record covers build/test/scan evidence, expected release hashes and publication readiness. A review may be staged, but its final approval must bind the exact candidate and evidence digests.</w:t>
      </w:r>
    </w:p>
    <w:p>
      <w:pPr>
        <w:pStyle w:val="ListParagraph"/>
        <w:numPr>
          <w:ilvl w:val="0"/>
          <w:numId w:val="18"/>
        </w:numPr>
        <w:ind w:left="360"/>
      </w:pPr>
      <w:r>
        <w:rPr>
          <w:b/>
          <w:i w:val="0"/>
        </w:rPr>
        <w:t>Record and enforce the decision.</w:t>
      </w:r>
      <w:r>
        <w:rPr>
          <w:b w:val="0"/>
          <w:i w:val="0"/>
        </w:rPr>
        <w:t xml:space="preserve"> Retain builder and reviewer names, dates, candidate/lockfile identities, scope checked, findings, disposition (</w:t>
      </w:r>
      <w:r>
        <w:rPr>
          <w:rFonts w:ascii="Courier New" w:hAnsi="Courier New"/>
          <w:b w:val="0"/>
          <w:i w:val="0"/>
          <w:sz w:val="18"/>
        </w:rPr>
        <w:t>accepted</w:t>
      </w:r>
      <w:r>
        <w:rPr>
          <w:b w:val="0"/>
          <w:i w:val="0"/>
        </w:rPr>
        <w:t xml:space="preserve">, </w:t>
      </w:r>
      <w:r>
        <w:rPr>
          <w:rFonts w:ascii="Courier New" w:hAnsi="Courier New"/>
          <w:b w:val="0"/>
          <w:i w:val="0"/>
          <w:sz w:val="18"/>
        </w:rPr>
        <w:t>changes required</w:t>
      </w:r>
      <w:r>
        <w:rPr>
          <w:b w:val="0"/>
          <w:i w:val="0"/>
        </w:rPr>
        <w:t xml:space="preserve">, or </w:t>
      </w:r>
      <w:r>
        <w:rPr>
          <w:rFonts w:ascii="Courier New" w:hAnsi="Courier New"/>
          <w:b w:val="0"/>
          <w:i w:val="0"/>
          <w:sz w:val="18"/>
        </w:rPr>
        <w:t>held</w:t>
      </w:r>
      <w:r>
        <w:rPr>
          <w:b w:val="0"/>
          <w:i w:val="0"/>
        </w:rPr>
        <w:t>) and release authority. Evidence changed after review returns to the reviewer. Signing and publication require the completed independent review.</w:t>
      </w:r>
    </w:p>
    <w:p>
      <w:pPr/>
      <w:r>
        <w:rPr>
          <w:b w:val="0"/>
          <w:i w:val="0"/>
        </w:rPr>
        <w:t>This is one auditable release assessment covering the complete inventory, with deeper manual inspection driven by change and risk. The team's approved policy may require additional review for named components or system conditions.</w:t>
      </w:r>
    </w:p>
    <w:p>
      <w:pPr>
        <w:pStyle w:val="Heading1"/>
      </w:pPr>
      <w:r>
        <w:rPr>
          <w:b w:val="0"/>
          <w:i w:val="0"/>
        </w:rPr>
        <w:t>9. Build and validate</w:t>
      </w:r>
    </w:p>
    <w:p>
      <w:bookmarkStart w:id="3" w:name="procedure_source_mirrors"/>
      <w:pPr>
        <w:pStyle w:val="Heading2"/>
      </w:pPr>
      <w:r>
        <w:rPr>
          <w:b w:val="0"/>
          <w:i w:val="0"/>
        </w:rPr>
        <w:t>9.1 Create and verify source mirrors at controlled intake</w:t>
      </w:r>
      <w:bookmarkEnd w:id="3"/>
    </w:p>
    <w:p>
      <w:pPr/>
      <w:r>
        <w:rPr>
          <w:b w:val="0"/>
          <w:i w:val="0"/>
        </w:rPr>
        <w:t>Use an approved intake system with the necessary network access to acquire the reviewed inputs. This serves systems that cannot directly retrieve every required source archive or supporting input, whether external access is partly restricted or absent. Prepare the destination's reviewed platform configuration and lockfiles before acquisition; the intake host does not silently substitute its own compiler, target or external package choices.</w:t>
      </w:r>
    </w:p>
    <w:p>
      <w:pPr/>
      <w:r>
        <w:rPr>
          <w:b w:val="0"/>
          <w:i w:val="0"/>
        </w:rPr>
        <w:t>For login and compute nodes sharing the same source cache, fetch the complete locked dependency closure:</w:t>
      </w:r>
    </w:p>
    <w:p>
      <w:pPr>
        <w:keepLines/>
        <w:widowControl/>
        <w:spacing w:before="40" w:after="160" w:line="245" w:lineRule="auto"/>
        <w:ind w:left="115" w:right="43"/>
      </w:pPr>
      <w:r>
        <w:rPr>
          <w:rFonts w:ascii="Courier New" w:hAnsi="Courier New"/>
          <w:b w:val="0"/>
          <w:i w:val="0"/>
          <w:sz w:val="18"/>
        </w:rPr>
        <w:t>test -f "$ENVIRONMENT_ROOT/spack.lock"</w:t>
        <w:br/>
        <w:t>spack -C "$BOOTSTRAP_CONFIG_DIR" -e "$ENVIRONMENT_ROOT" fetch -D</w:t>
      </w:r>
    </w:p>
    <w:p>
      <w:pPr/>
      <w:r>
        <w:rPr>
          <w:b w:val="0"/>
          <w:i w:val="0"/>
        </w:rPr>
        <w:t>The later install may run on a different node when it uses the same workspace, source cache, install tree, Spack version, and lockfile. A populated local source cache alone is not the transfer artifact for another network.</w:t>
      </w:r>
    </w:p>
    <w:p>
      <w:pPr/>
      <w:r>
        <w:rPr>
          <w:b w:val="0"/>
          <w:i w:val="0"/>
        </w:rPr>
        <w:t>Create a dedicated transportable source mirror for every locked environment that the destination will use:</w:t>
      </w:r>
    </w:p>
    <w:p>
      <w:pPr>
        <w:keepLines/>
        <w:widowControl/>
        <w:spacing w:before="40" w:after="160" w:line="245" w:lineRule="auto"/>
        <w:ind w:left="115" w:right="43"/>
      </w:pPr>
      <w:r>
        <w:rPr>
          <w:rFonts w:ascii="Courier New" w:hAnsi="Courier New"/>
          <w:b w:val="0"/>
          <w:i w:val="0"/>
          <w:sz w:val="18"/>
        </w:rPr>
        <w:t>export SOURCE_MIRROR_ROOT="&lt;absolute-release-source-mirror&gt;"</w:t>
        <w:br/>
        <w:t>test -f "$ENVIRONMENT_ROOT/spack.lock"</w:t>
        <w:br/>
        <w:t>mkdir -p "$SOURCE_MIRROR_ROOT"</w:t>
        <w:br/>
        <w:t>spack -C "$BOOTSTRAP_CONFIG_DIR" -e "$ENVIRONMENT_ROOT" find -c -d -l -v</w:t>
        <w:br/>
        <w:t>spack -C "$BOOTSTRAP_CONFIG_DIR" -e "$ENVIRONMENT_ROOT" mirror create \</w:t>
        <w:br/>
        <w:t xml:space="preserve">  --all --directory "$SOURCE_MIRROR_ROOT"</w:t>
      </w:r>
    </w:p>
    <w:p>
      <w:pPr/>
      <w:r>
        <w:rPr>
          <w:b w:val="0"/>
          <w:i w:val="0"/>
        </w:rPr>
        <w:t xml:space="preserve">In Spack 1.2.2, </w:t>
      </w:r>
      <w:r>
        <w:rPr>
          <w:rFonts w:ascii="Courier New" w:hAnsi="Courier New"/>
          <w:b w:val="0"/>
          <w:i w:val="0"/>
          <w:sz w:val="18"/>
        </w:rPr>
        <w:t>--all</w:t>
      </w:r>
      <w:r>
        <w:rPr>
          <w:b w:val="0"/>
          <w:i w:val="0"/>
        </w:rPr>
        <w:t xml:space="preserve"> with an active concrete environment selects that environment's concrete roots and dependencies; it does not mirror every recipe in the repository. Repeat for all release environments into the same reviewed release mirror. Inspect the mirror command's missing/failed-fetch report and record completeness against all retained lockfiles. Externals are not fetched. (</w:t>
      </w:r>
      <w:hyperlink r:id="rId14" w:history="1">
        <w:r>
          <w:rPr>
            <w:b w:val="0"/>
            <w:i w:val="0"/>
            <w:color w:val="245A81"/>
            <w:u w:val="single"/>
          </w:rPr>
          <w:t>Spack mirror procedure</w:t>
        </w:r>
      </w:hyperlink>
      <w:r>
        <w:rPr>
          <w:b w:val="0"/>
          <w:i w:val="0"/>
        </w:rPr>
        <w:t>)</w:t>
      </w:r>
    </w:p>
    <w:p>
      <w:pPr/>
      <w:r>
        <w:rPr>
          <w:b w:val="0"/>
          <w:i w:val="0"/>
        </w:rPr>
        <w:t>Retain source archives, package resources and patches with their acquisition locations, recipe identities and checksums. Use full immutable commits for VCS inputs. For a VCS source converted to a mirror archive, independently record how the archive was produced from the reviewed commit and retain its digest: Spack 1.2.2 cannot apply an ordinary recipe archive checksum to that generated tar file. Stop for unrecorded downloads or checksum failures; do not suppress verification to complete the mirror. (</w:t>
      </w:r>
      <w:hyperlink r:id="rId15" w:history="1">
        <w:r>
          <w:rPr>
            <w:b w:val="0"/>
            <w:i w:val="0"/>
            <w:color w:val="245A81"/>
            <w:u w:val="single"/>
          </w:rPr>
          <w:t>Spack VCS mirror verification</w:t>
        </w:r>
      </w:hyperlink>
      <w:r>
        <w:rPr>
          <w:b w:val="0"/>
          <w:i w:val="0"/>
        </w:rPr>
        <w:t>)</w:t>
      </w:r>
    </w:p>
    <w:p>
      <w:pPr/>
      <w:r>
        <w:rPr>
          <w:b w:val="0"/>
          <w:i w:val="0"/>
        </w:rPr>
        <w:t>Run the approved intake checks and record their disposition before admitting the mirror. Register an admitted source mirror in the owned environment:</w:t>
      </w:r>
    </w:p>
    <w:p>
      <w:pPr>
        <w:keepLines/>
        <w:widowControl/>
        <w:spacing w:before="40" w:after="160" w:line="245" w:lineRule="auto"/>
        <w:ind w:left="115" w:right="43"/>
      </w:pPr>
      <w:r>
        <w:rPr>
          <w:rFonts w:ascii="Courier New" w:hAnsi="Courier New"/>
          <w:b w:val="0"/>
          <w:i w:val="0"/>
          <w:sz w:val="18"/>
        </w:rPr>
        <w:t>spack -C "$BOOTSTRAP_CONFIG_DIR" -e "$ENVIRONMENT_ROOT" mirror add \</w:t>
        <w:br/>
        <w:t xml:space="preserve">  --scope "env:$ENVIRONMENT_ROOT" --type source \</w:t>
        <w:br/>
        <w:t xml:space="preserve">  admitted-sources "$SOURCE_MIRROR_ROOT"</w:t>
        <w:br/>
        <w:t>spack -C "$BOOTSTRAP_CONFIG_DIR" -e "$ENVIRONMENT_ROOT" mirror list</w:t>
        <w:br/>
        <w:t>spack -C "$BOOTSTRAP_CONFIG_DIR" -e "$ENVIRONMENT_ROOT" config get mirrors</w:t>
      </w:r>
    </w:p>
    <w:p>
      <w:pPr/>
      <w:r>
        <w:rPr>
          <w:b w:val="0"/>
          <w:i w:val="0"/>
        </w:rPr>
        <w:t>This changes the environment's mirror configuration; retain and review that configuration with the candidate before use. If the name is already configured, verify its value and use the reviewed configuration update process instead of adding a duplicate. A source mirror is not a binary build cache. Registration also does not prevent fallback to original URLs: enforce the required network restriction outside Spack and treat an attempted fallback as a failed gate.</w:t>
      </w:r>
    </w:p>
    <w:p>
      <w:bookmarkStart w:id="4" w:name="procedure_disconnected_transfer"/>
      <w:pPr>
        <w:pStyle w:val="Heading2"/>
      </w:pPr>
      <w:r>
        <w:rPr>
          <w:b w:val="0"/>
          <w:i w:val="0"/>
        </w:rPr>
        <w:t>9.2 Transfer to a system with limited or no external network access</w:t>
      </w:r>
      <w:bookmarkEnd w:id="4"/>
    </w:p>
    <w:p>
      <w:pPr/>
      <w:r>
        <w:rPr>
          <w:b w:val="0"/>
          <w:i w:val="0"/>
        </w:rPr>
        <w:t>Use this sequence when the destination cannot directly obtain all required source tarballs or other build inputs. It applies even when the system can reach some Internet or internal-network resources, and also covers fully air-gapped systems. Where a classified or other controlled boundary is involved, the site's authorized transfer process supplies handling, scanning, release and import permission. This SOP does not authorize a transfer or select removable media or a cross-domain mechanism. Record the applicable authorization and destination owner before assembling the bundle.</w:t>
      </w:r>
    </w:p>
    <w:p>
      <w:pPr>
        <w:pStyle w:val="Heading3"/>
      </w:pPr>
      <w:r>
        <w:rPr>
          <w:b w:val="0"/>
          <w:i w:val="0"/>
        </w:rPr>
        <w:t>9.2.1 Select the destination execution mode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5" w:type="dxa"/>
          <w:bottom w:w="95" w:type="dxa"/>
          <w:left w:w="115" w:type="dxa"/>
          <w:right w:w="115" w:type="dxa"/>
        </w:tblCellMar>
      </w:tblPr>
      <w:tblGrid>
        <w:gridCol w:w="2016"/>
        <w:gridCol w:w="4752"/>
        <w:gridCol w:w="3384"/>
      </w:tblGrid>
      <w:tr>
        <w:trPr>
          <w:cantSplit/>
          <w:tblHeader/>
        </w:trPr>
        <w:tc>
          <w:tcPr>
            <w:tcW w:type="dxa" w:w="2016"/>
            <w:vAlign w:val="center"/>
            <w:shd w:fill="DCE6F1"/>
          </w:tcPr>
          <w:p>
            <w:pPr>
              <w:keepNext w:val="0"/>
              <w:widowControl w:val="0"/>
              <w:spacing w:after="0" w:before="0" w:line="250" w:lineRule="auto"/>
            </w:pPr>
            <w:r>
              <w:rPr>
                <w:b/>
                <w:i w:val="0"/>
                <w:sz w:val="20"/>
              </w:rPr>
              <w:t>Mode</w:t>
            </w:r>
          </w:p>
        </w:tc>
        <w:tc>
          <w:tcPr>
            <w:tcW w:type="dxa" w:w="4752"/>
            <w:vAlign w:val="center"/>
            <w:shd w:fill="DCE6F1"/>
          </w:tcPr>
          <w:p>
            <w:pPr>
              <w:keepNext w:val="0"/>
              <w:widowControl w:val="0"/>
              <w:spacing w:after="0" w:before="0" w:line="250" w:lineRule="auto"/>
            </w:pPr>
            <w:r>
              <w:rPr>
                <w:b/>
                <w:i w:val="0"/>
                <w:sz w:val="20"/>
              </w:rPr>
              <w:t>Required destination evidence</w:t>
            </w:r>
          </w:p>
        </w:tc>
        <w:tc>
          <w:tcPr>
            <w:tcW w:type="dxa" w:w="3384"/>
            <w:vAlign w:val="center"/>
            <w:shd w:fill="DCE6F1"/>
          </w:tcPr>
          <w:p>
            <w:pPr>
              <w:keepNext w:val="0"/>
              <w:widowControl w:val="0"/>
              <w:spacing w:after="0" w:before="0" w:line="250" w:lineRule="auto"/>
            </w:pPr>
            <w:r>
              <w:rPr>
                <w:b/>
                <w:i w:val="0"/>
                <w:sz w:val="20"/>
              </w:rPr>
              <w:t>Next action</w:t>
            </w:r>
          </w:p>
        </w:tc>
      </w:tr>
      <w:tr>
        <w:trPr>
          <w:cantSplit/>
        </w:trPr>
        <w:tc>
          <w:tcPr>
            <w:tcW w:type="dxa" w:w="2016"/>
            <w:vAlign w:val="center"/>
          </w:tcPr>
          <w:p>
            <w:pPr>
              <w:keepNext w:val="0"/>
              <w:widowControl w:val="0"/>
              <w:spacing w:after="0" w:before="0" w:line="250" w:lineRule="auto"/>
            </w:pPr>
            <w:r>
              <w:rPr>
                <w:b w:val="0"/>
                <w:i w:val="0"/>
                <w:sz w:val="20"/>
              </w:rPr>
              <w:t>Build from admitted sources</w:t>
            </w:r>
          </w:p>
        </w:tc>
        <w:tc>
          <w:tcPr>
            <w:tcW w:type="dxa" w:w="4752"/>
            <w:vAlign w:val="center"/>
          </w:tcPr>
          <w:p>
            <w:pPr>
              <w:keepNext w:val="0"/>
              <w:widowControl w:val="0"/>
              <w:spacing w:after="0" w:before="0" w:line="250" w:lineRule="auto"/>
            </w:pPr>
            <w:r>
              <w:rPr>
                <w:b w:val="0"/>
                <w:i w:val="0"/>
                <w:sz w:val="20"/>
              </w:rPr>
              <w:t>Destination-specific catalog, locked graph, approved compilers/providers/externals and complete sources/tools</w:t>
            </w:r>
          </w:p>
        </w:tc>
        <w:tc>
          <w:tcPr>
            <w:tcW w:type="dxa" w:w="3384"/>
            <w:vAlign w:val="center"/>
          </w:tcPr>
          <w:p>
            <w:pPr>
              <w:keepNext w:val="0"/>
              <w:widowControl w:val="0"/>
              <w:spacing w:after="0" w:before="0" w:line="250" w:lineRule="auto"/>
            </w:pPr>
            <w:r>
              <w:rPr>
                <w:b w:val="0"/>
                <w:i w:val="0"/>
                <w:sz w:val="20"/>
              </w:rPr>
              <w:t>Build a restricted destination candidate from the local source mirror, then validate, review, sign and publish through the normal gates</w:t>
            </w:r>
          </w:p>
        </w:tc>
      </w:tr>
      <w:tr>
        <w:trPr>
          <w:cantSplit/>
        </w:trPr>
        <w:tc>
          <w:tcPr>
            <w:tcW w:type="dxa" w:w="2016"/>
            <w:vAlign w:val="center"/>
          </w:tcPr>
          <w:p>
            <w:pPr>
              <w:keepNext w:val="0"/>
              <w:widowControl w:val="0"/>
              <w:spacing w:after="0" w:before="0" w:line="250" w:lineRule="auto"/>
            </w:pPr>
            <w:r>
              <w:rPr>
                <w:b w:val="0"/>
                <w:i w:val="0"/>
                <w:sz w:val="20"/>
              </w:rPr>
              <w:t>Install approved signed binaries</w:t>
            </w:r>
          </w:p>
        </w:tc>
        <w:tc>
          <w:tcPr>
            <w:tcW w:type="dxa" w:w="4752"/>
            <w:vAlign w:val="center"/>
          </w:tcPr>
          <w:p>
            <w:pPr>
              <w:keepNext w:val="0"/>
              <w:widowControl w:val="0"/>
              <w:spacing w:after="0" w:before="0" w:line="250" w:lineRule="auto"/>
            </w:pPr>
            <w:r>
              <w:rPr>
                <w:b w:val="0"/>
                <w:i w:val="0"/>
                <w:sz w:val="20"/>
              </w:rPr>
              <w:t>Approved release hashes and keys, compatible target/OS/ABI/providers/externals, supported relocation paths and complete signed cache</w:t>
            </w:r>
          </w:p>
        </w:tc>
        <w:tc>
          <w:tcPr>
            <w:tcW w:type="dxa" w:w="3384"/>
            <w:vAlign w:val="center"/>
          </w:tcPr>
          <w:p>
            <w:pPr>
              <w:keepNext w:val="0"/>
              <w:widowControl w:val="0"/>
              <w:spacing w:after="0" w:before="0" w:line="250" w:lineRule="auto"/>
            </w:pPr>
            <w:r>
              <w:rPr>
                <w:b w:val="0"/>
                <w:i w:val="0"/>
                <w:sz w:val="20"/>
              </w:rPr>
              <w:t>Install cache-only into a controlled destination candidate store, run local acceptance, then approve destination publication</w:t>
            </w:r>
          </w:p>
        </w:tc>
      </w:tr>
    </w:tbl>
    <w:p>
      <w:pPr>
        <w:spacing w:after="0" w:before="0" w:line="80" w:lineRule="exact"/>
      </w:pPr>
      <w:r>
        <w:rPr>
          <w:sz w:val="4"/>
        </w:rPr>
      </w:r>
    </w:p>
    <w:p>
      <w:pPr/>
      <w:r>
        <w:rPr>
          <w:b w:val="0"/>
          <w:i w:val="0"/>
        </w:rPr>
        <w:t>For source delivery, complete source intake in Section 9.1, transfer and receive under Sections 9.2.2–9.2.3, then finish destination validation in Section 9.3 and publication in Section 10. For binary delivery, the producer first completes Section 9.3 build/validation, independent review and Section 10.1 signing. An existing accepted cache may supply that producer record. Only then assemble and receive the signed-cache bundle under Sections 9.2.2–9.2.3. The destination verifies and retains the producer's signatures and signing record, completes local acceptance, and follows the remaining applicable Section 10 publication gates. Record separate producer and destination dispositions.</w:t>
      </w:r>
    </w:p>
    <w:p>
      <w:pPr/>
      <w:r>
        <w:rPr>
          <w:b w:val="0"/>
          <w:i w:val="0"/>
        </w:rPr>
        <w:t>Sister systems are a useful starting point for comparison, not evidence of binary compatibility. Compare CPU target/features, OS and libc/runtime ABI, compiler runtime, MPI/fabric/launcher and GPU identities, external versions and prefixes, and install-prefix relocation limits. Have the platform owner record the result. A compatible name or identical Spack hash alone is insufficient. An incompatible or uncertain binary goes to the source-build branch, with a new destination candidate and any revised lockfile reviewed before transfer. Neither a rebuild nor a transferred binary bypasses destination acceptance.</w:t>
      </w:r>
    </w:p>
    <w:p>
      <w:pPr>
        <w:pStyle w:val="Heading3"/>
      </w:pPr>
      <w:r>
        <w:rPr>
          <w:b w:val="0"/>
          <w:i w:val="0"/>
        </w:rPr>
        <w:t>9.2.2 Assemble and verify the complete bundle at origin</w:t>
      </w:r>
    </w:p>
    <w:p>
      <w:pPr>
        <w:pStyle w:val="ListParagraph"/>
        <w:numPr>
          <w:ilvl w:val="0"/>
          <w:numId w:val="19"/>
        </w:numPr>
        <w:ind w:left="360"/>
      </w:pPr>
      <w:r>
        <w:rPr>
          <w:b w:val="0"/>
          <w:i w:val="0"/>
        </w:rPr>
        <w:t>Populate a dedicated release bundle for the selected execution mode: the admitted source mirror for destination source builds, the approved signed build cache for binary-only installs, or both when the delivery deliberately supports both modes. Section 10.1 creates the signed cache. Preserve its entire mirror root, index/manifests, signatures and content blobs. Do not copy only package archives or only the index.</w:t>
      </w:r>
    </w:p>
    <w:p>
      <w:pPr>
        <w:pStyle w:val="ListParagraph"/>
        <w:numPr>
          <w:ilvl w:val="0"/>
          <w:numId w:val="19"/>
        </w:numPr>
        <w:ind w:left="360"/>
      </w:pPr>
      <w:r>
        <w:rPr>
          <w:b w:val="0"/>
          <w:i w:val="0"/>
        </w:rPr>
        <w:t xml:space="preserve">Include the complete destination workspace, catalog snapshot and relative configuration tree; all </w:t>
      </w:r>
      <w:r>
        <w:rPr>
          <w:rFonts w:ascii="Courier New" w:hAnsi="Courier New"/>
          <w:b w:val="0"/>
          <w:i w:val="0"/>
          <w:sz w:val="18"/>
        </w:rPr>
        <w:t>spack.yaml</w:t>
      </w:r>
      <w:r>
        <w:rPr>
          <w:b w:val="0"/>
          <w:i w:val="0"/>
        </w:rPr>
        <w:t xml:space="preserve"> and unedited </w:t>
      </w:r>
      <w:r>
        <w:rPr>
          <w:rFonts w:ascii="Courier New" w:hAnsi="Courier New"/>
          <w:b w:val="0"/>
          <w:i w:val="0"/>
          <w:sz w:val="18"/>
        </w:rPr>
        <w:t>spack.lock</w:t>
      </w:r>
      <w:r>
        <w:rPr>
          <w:b w:val="0"/>
          <w:i w:val="0"/>
        </w:rPr>
        <w:t xml:space="preserve"> files; pinned Spack runtime and package repositories/overlays; patches/resources; release records; and approval, scan, inventory and test evidence.</w:t>
      </w:r>
    </w:p>
    <w:p>
      <w:pPr>
        <w:pStyle w:val="ListParagraph"/>
        <w:numPr>
          <w:ilvl w:val="0"/>
          <w:numId w:val="19"/>
        </w:numPr>
        <w:ind w:left="360"/>
      </w:pPr>
      <w:r>
        <w:rPr>
          <w:b w:val="0"/>
          <w:i w:val="0"/>
        </w:rPr>
        <w:t>Include or separately pre-provision the exact admitted Python, bootstrap prerequisites, compilers, build tools and other runtime requirements. Package mirrors exclude system externals; retain their separate inventory and verify destination availability. A source mirror is not a complete Spack/bootstrap installation.</w:t>
      </w:r>
    </w:p>
    <w:p>
      <w:pPr>
        <w:pStyle w:val="ListParagraph"/>
        <w:numPr>
          <w:ilvl w:val="0"/>
          <w:numId w:val="19"/>
        </w:numPr>
        <w:ind w:left="360"/>
      </w:pPr>
      <w:r>
        <w:rPr>
          <w:b w:val="0"/>
          <w:i w:val="0"/>
        </w:rPr>
        <w:t>When bootstrap acquisition is needed, prepare a dedicated mirror on a compatible connected system:</w:t>
      </w:r>
    </w:p>
    <w:p>
      <w:pPr>
        <w:keepLines/>
        <w:widowControl/>
        <w:spacing w:before="40" w:after="160" w:line="245" w:lineRule="auto"/>
        <w:ind w:left="115" w:right="43"/>
      </w:pPr>
      <w:r>
        <w:rPr>
          <w:rFonts w:ascii="Courier New" w:hAnsi="Courier New"/>
          <w:b w:val="0"/>
          <w:i w:val="0"/>
          <w:sz w:val="18"/>
        </w:rPr>
        <w:t>export BOOTSTRAP_ROOT="&lt;absolute-release-bootstrap-bundle&gt;"</w:t>
        <w:br/>
        <w:t>spack -C "$BOOTSTRAP_CONFIG_DIR" bootstrap mirror --binary-packages "$BOOTSTRAP_ROOT"</w:t>
      </w:r>
    </w:p>
    <w:p>
      <w:pPr/>
      <w:r>
        <w:rPr>
          <w:b w:val="0"/>
          <w:i w:val="0"/>
        </w:rPr>
        <w:t>Retain the generated source/binary metadata, bootstrap cache and emitted setup instructions. Review and admit their provenance/digests and destination architecture/runtime compatibility separately from the ordinary signed package cache. Bootstrap metadata trust is a separate decision; it does not inherit approval from a normal build-cache signature. Destination bootstrap configuration follows Section 4.5; do not modify the pinned Spack checkout or rely on an ambient user configuration disabled by this SOP. (</w:t>
      </w:r>
      <w:hyperlink r:id="rId16" w:history="1">
        <w:r>
          <w:rPr>
            <w:b w:val="0"/>
            <w:i w:val="0"/>
            <w:color w:val="245A81"/>
            <w:u w:val="single"/>
          </w:rPr>
          <w:t>Spack bootstrap mirrors</w:t>
        </w:r>
      </w:hyperlink>
      <w:r>
        <w:rPr>
          <w:b w:val="0"/>
          <w:i w:val="0"/>
        </w:rPr>
        <w:t>)</w:t>
      </w:r>
    </w:p>
    <w:p>
      <w:pPr>
        <w:pStyle w:val="ListParagraph"/>
        <w:numPr>
          <w:ilvl w:val="0"/>
          <w:numId w:val="20"/>
        </w:numPr>
        <w:ind w:left="360"/>
      </w:pPr>
      <w:r>
        <w:rPr>
          <w:b w:val="0"/>
          <w:i w:val="0"/>
        </w:rPr>
        <w:t>Retain a bundle manifest listing origin/destination, release IDs, workspace and lockfile identities, repository/runtime identities, source and binary inventories, source-archive digests, expected signing fingerprints, bootstrap inputs, external requirements, execution mode and transfer authorization. Keep private keys, credentials and another builder's mutable state out.</w:t>
      </w:r>
    </w:p>
    <w:p>
      <w:pPr>
        <w:pStyle w:val="ListParagraph"/>
        <w:numPr>
          <w:ilvl w:val="0"/>
          <w:numId w:val="20"/>
        </w:numPr>
        <w:ind w:left="360"/>
      </w:pPr>
      <w:r>
        <w:rPr>
          <w:b w:val="0"/>
          <w:i w:val="0"/>
        </w:rPr>
        <w:t>Check that relative includes and mirror symlinks remain inside the bundle, no required link refers to an origin-only absolute path, and the archive will extract without replacing unrelated destination files. Preserve the complete directory structure and links. Freeze the assembled input before packaging.</w:t>
      </w:r>
    </w:p>
    <w:p>
      <w:pPr>
        <w:pStyle w:val="ListParagraph"/>
        <w:numPr>
          <w:ilvl w:val="0"/>
          <w:numId w:val="20"/>
        </w:numPr>
        <w:ind w:left="360"/>
      </w:pPr>
      <w:r>
        <w:rPr>
          <w:b w:val="0"/>
          <w:i w:val="0"/>
        </w:rPr>
        <w:t>Create and verify a digest for the transfer archive. For example, after the site-approved assembly has populated a dedicated bundle directory:</w:t>
      </w:r>
    </w:p>
    <w:p>
      <w:pPr>
        <w:keepLines w:val="0"/>
        <w:widowControl/>
        <w:spacing w:before="40" w:after="160" w:line="245" w:lineRule="auto"/>
        <w:ind w:left="115" w:right="43"/>
      </w:pPr>
      <w:r>
        <w:rPr>
          <w:rFonts w:ascii="Courier New" w:hAnsi="Courier New"/>
          <w:b w:val="0"/>
          <w:i w:val="0"/>
          <w:sz w:val="18"/>
        </w:rPr>
        <w:t>export TRANSFER_BUNDLE_ROOT="&lt;absolute-complete-transfer-bundle&gt;"</w:t>
        <w:br/>
        <w:t>export TRANSFER_OUTPUT_ROOT="&lt;absolute-transfer-output-parent&gt;"</w:t>
        <w:br/>
        <w:t>(</w:t>
        <w:br/>
        <w:t xml:space="preserve">  set -euo pipefail</w:t>
        <w:br/>
        <w:t xml:space="preserve">  cd "$TRANSFER_OUTPUT_ROOT" || exit 1</w:t>
        <w:br/>
        <w:t xml:space="preserve">  test ! -e release-bundle.tar</w:t>
        <w:br/>
        <w:t xml:space="preserve">  tar -C "$TRANSFER_BUNDLE_ROOT" -cpf release-bundle.tar .</w:t>
        <w:br/>
        <w:t xml:space="preserve">  sha256sum release-bundle.tar &gt; release-bundle.tar.sha256</w:t>
        <w:br/>
        <w:t xml:space="preserve">  sha256sum --check release-bundle.tar.sha256</w:t>
        <w:br/>
        <w:t>)</w:t>
      </w:r>
    </w:p>
    <w:p>
      <w:pPr/>
      <w:r>
        <w:rPr>
          <w:b w:val="0"/>
          <w:i w:val="0"/>
        </w:rPr>
        <w:t>Use a fresh output directory outside the bundle tree for each transfer. Bind that digest and manifest to the reviewed transfer record through the site's authenticated record or signature mechanism. A checksum file accompanying arbitrary bytes alone does not establish origin approval. The reviewer checks completeness, findings and the exact bundle digest before the authorized transfer process begins.</w:t>
      </w:r>
    </w:p>
    <w:p>
      <w:pPr>
        <w:pStyle w:val="Heading3"/>
      </w:pPr>
      <w:r>
        <w:rPr>
          <w:b w:val="0"/>
          <w:i w:val="0"/>
        </w:rPr>
        <w:t>9.2.3 Verify, configure and accept at destination</w:t>
      </w:r>
    </w:p>
    <w:p>
      <w:pPr>
        <w:pStyle w:val="ListParagraph"/>
        <w:numPr>
          <w:ilvl w:val="0"/>
          <w:numId w:val="21"/>
        </w:numPr>
        <w:ind w:left="360"/>
      </w:pPr>
      <w:r>
        <w:rPr>
          <w:b w:val="0"/>
          <w:i w:val="0"/>
        </w:rPr>
        <w:t>Receive into the approved intake area. Complete local import checks and compare the archive digest to the independently authenticated origin record before extracting. Retain both origin and destination results:</w:t>
      </w:r>
    </w:p>
    <w:p>
      <w:pPr>
        <w:keepLines w:val="0"/>
        <w:widowControl/>
        <w:spacing w:before="40" w:after="160" w:line="245" w:lineRule="auto"/>
        <w:ind w:left="115" w:right="43"/>
      </w:pPr>
      <w:r>
        <w:rPr>
          <w:rFonts w:ascii="Courier New" w:hAnsi="Courier New"/>
          <w:b w:val="0"/>
          <w:i w:val="0"/>
          <w:sz w:val="18"/>
        </w:rPr>
        <w:t>export RECEIVED_ARCHIVE_ROOT="&lt;absolute-received-archive-parent&gt;"</w:t>
        <w:br/>
        <w:t>export RECEIVE_ROOT="&lt;absolute-new-destination-bundle-directory&gt;"</w:t>
        <w:br/>
        <w:t>(</w:t>
        <w:br/>
        <w:t xml:space="preserve">  set -euo pipefail</w:t>
        <w:br/>
        <w:t xml:space="preserve">  cd "$RECEIVED_ARCHIVE_ROOT" || exit 1</w:t>
        <w:br/>
        <w:t xml:space="preserve">  sha256sum --check release-bundle.tar.sha256</w:t>
        <w:br/>
        <w:t xml:space="preserve">  test ! -e "$RECEIVE_ROOT"</w:t>
        <w:br/>
        <w:t xml:space="preserve">  test ! -L "$RECEIVE_ROOT"</w:t>
        <w:br/>
        <w:t xml:space="preserve">  mkdir -p "$RECEIVE_ROOT"</w:t>
        <w:br/>
        <w:t xml:space="preserve">  tar -C "$RECEIVE_ROOT" -xpf "$RECEIVED_ARCHIVE_ROOT/release-bundle.tar"</w:t>
        <w:br/>
        <w:t>)</w:t>
      </w:r>
    </w:p>
    <w:p>
      <w:pPr>
        <w:pStyle w:val="ListParagraph"/>
        <w:numPr>
          <w:ilvl w:val="0"/>
          <w:numId w:val="22"/>
        </w:numPr>
        <w:ind w:left="360"/>
      </w:pPr>
      <w:r>
        <w:rPr>
          <w:b w:val="0"/>
          <w:i w:val="0"/>
        </w:rPr>
        <w:t xml:space="preserve">Check the extracted bundle against its manifest and provision the approved destination-local bootstrap configuration from Section 4.5. Repeat runtime, repository, configuration, local external and scope checks from Sections 4–7. Keep the complete workspace and relative </w:t>
      </w:r>
      <w:r>
        <w:rPr>
          <w:rFonts w:ascii="Courier New" w:hAnsi="Courier New"/>
          <w:b w:val="0"/>
          <w:i w:val="0"/>
          <w:sz w:val="18"/>
        </w:rPr>
        <w:t>include::</w:t>
      </w:r>
      <w:r>
        <w:rPr>
          <w:b w:val="0"/>
          <w:i w:val="0"/>
        </w:rPr>
        <w:t xml:space="preserve"> paths intact. Configure approved local repository and deployment paths before use and retain the reviewed destination configuration delta. If the dependency or platform identity must change, stop and create a new candidate; do not silently reconcretize during import.</w:t>
      </w:r>
    </w:p>
    <w:p>
      <w:pPr>
        <w:pStyle w:val="ListParagraph"/>
        <w:numPr>
          <w:ilvl w:val="0"/>
          <w:numId w:val="22"/>
        </w:numPr>
        <w:ind w:left="360"/>
      </w:pPr>
      <w:r>
        <w:rPr>
          <w:b w:val="0"/>
          <w:i w:val="0"/>
        </w:rPr>
        <w:t>Configure only admitted destination-local mirrors in the effective environment. A reviewed inline replacement has this shape:</w:t>
      </w:r>
    </w:p>
    <w:p>
      <w:pPr>
        <w:keepLines w:val="0"/>
        <w:widowControl/>
        <w:spacing w:before="40" w:after="160" w:line="245" w:lineRule="auto"/>
        <w:ind w:left="115" w:right="43"/>
      </w:pPr>
      <w:r>
        <w:rPr>
          <w:rFonts w:ascii="Courier New" w:hAnsi="Courier New"/>
          <w:b w:val="0"/>
          <w:i w:val="0"/>
          <w:sz w:val="18"/>
        </w:rPr>
        <w:t>spack:</w:t>
        <w:br/>
        <w:t xml:space="preserve">  mirrors::</w:t>
        <w:br/>
        <w:t xml:space="preserve">    admitted-sources:</w:t>
        <w:br/>
        <w:t xml:space="preserve">      url: file://&lt;absolute-destination-source-mirror&gt;</w:t>
        <w:br/>
        <w:t xml:space="preserve">      source: true</w:t>
        <w:br/>
        <w:t xml:space="preserve">      binary: false</w:t>
        <w:br/>
        <w:t xml:space="preserve">    approved-binaries:</w:t>
        <w:br/>
        <w:t xml:space="preserve">      url: file://&lt;absolute-destination-binary-mirror&gt;</w:t>
        <w:br/>
        <w:t xml:space="preserve">      source: false</w:t>
        <w:br/>
        <w:t xml:space="preserve">      binary: true</w:t>
        <w:br/>
        <w:t xml:space="preserve">      signed: true</w:t>
      </w:r>
    </w:p>
    <w:p>
      <w:pPr/>
      <w:r>
        <w:rPr>
          <w:b w:val="0"/>
          <w:i w:val="0"/>
        </w:rPr>
        <w:t>Omit either mirror entry when that mirror is not part of the admitted delivery. Retain the rest of the reviewed environment unchanged; this is a configuration fragment, not a new environment source. Inspect local repositories and bootstrap configuration, and verify the effective settings:</w:t>
      </w:r>
    </w:p>
    <w:p>
      <w:pPr>
        <w:keepLines/>
        <w:widowControl/>
        <w:spacing w:before="40" w:after="160" w:line="245" w:lineRule="auto"/>
        <w:ind w:left="115" w:right="43"/>
      </w:pPr>
      <w:r>
        <w:rPr>
          <w:rFonts w:ascii="Courier New" w:hAnsi="Courier New"/>
          <w:b w:val="0"/>
          <w:i w:val="0"/>
          <w:sz w:val="18"/>
        </w:rPr>
        <w:t>spack -C "$BOOTSTRAP_CONFIG_DIR" -e "$ENVIRONMENT_ROOT" config get mirrors</w:t>
        <w:br/>
        <w:t>spack -C "$BOOTSTRAP_CONFIG_DIR" -e "$ENVIRONMENT_ROOT" config scopes -vp</w:t>
      </w:r>
    </w:p>
    <w:p>
      <w:pPr/>
      <w:r>
        <w:rPr>
          <w:b w:val="0"/>
          <w:i w:val="0"/>
        </w:rPr>
        <w:t>Import only a public release key whose full fingerprint matches the independently approved record, using Section 10.1. A key found in the transfer bundle or mirror does not establish trust by its presence.</w:t>
      </w:r>
    </w:p>
    <w:p>
      <w:pPr>
        <w:pStyle w:val="ListParagraph"/>
        <w:numPr>
          <w:ilvl w:val="0"/>
          <w:numId w:val="23"/>
        </w:numPr>
        <w:ind w:left="360"/>
      </w:pPr>
      <w:r>
        <w:rPr>
          <w:b w:val="0"/>
          <w:i w:val="0"/>
        </w:rPr>
        <w:t>Have the platform owner enforce and record denial of outbound access to nonapproved networks for fetch, bootstrap, build and installation. Verify that restriction with the site's approved test. Mirrors alone do not disable Spack's origin fallback or downloads initiated by package build scripts. Missing sources, tools, cache objects or keys stop the run and return to controlled intake for a reviewed supplemental bundle; do not temporarily restore Internet access or bypass integrity/signature checks.</w:t>
      </w:r>
    </w:p>
    <w:p>
      <w:pPr>
        <w:pStyle w:val="ListParagraph"/>
        <w:numPr>
          <w:ilvl w:val="0"/>
          <w:numId w:val="23"/>
        </w:numPr>
        <w:ind w:left="360"/>
      </w:pPr>
      <w:r>
        <w:rPr>
          <w:b w:val="0"/>
          <w:i w:val="0"/>
        </w:rPr>
        <w:t>For the source-build mode, fetch from the local mirror into the approved destination source cache and install the existing concrete graph in the restricted candidate area:</w:t>
      </w:r>
    </w:p>
    <w:p>
      <w:pPr>
        <w:keepLines/>
        <w:widowControl/>
        <w:spacing w:before="40" w:after="160" w:line="245" w:lineRule="auto"/>
        <w:ind w:left="115" w:right="43"/>
      </w:pPr>
      <w:r>
        <w:rPr>
          <w:rFonts w:ascii="Courier New" w:hAnsi="Courier New"/>
          <w:b w:val="0"/>
          <w:i w:val="0"/>
          <w:sz w:val="18"/>
        </w:rPr>
        <w:t>spack -C "$BOOTSTRAP_CONFIG_DIR" -e "$ENVIRONMENT_ROOT" fetch -D</w:t>
        <w:br/>
        <w:t>spack -C "$BOOTSTRAP_CONFIG_DIR" -e "$ENVIRONMENT_ROOT" install \</w:t>
        <w:br/>
        <w:t xml:space="preserve">  --only-concrete --use-buildcache=never --fail-fast</w:t>
      </w:r>
    </w:p>
    <w:p>
      <w:pPr/>
      <w:r>
        <w:rPr>
          <w:rFonts w:ascii="Courier New" w:hAnsi="Courier New"/>
          <w:b w:val="0"/>
          <w:i w:val="0"/>
          <w:sz w:val="18"/>
        </w:rPr>
        <w:t>--use-buildcache=never</w:t>
      </w:r>
      <w:r>
        <w:rPr>
          <w:b w:val="0"/>
          <w:i w:val="0"/>
        </w:rPr>
        <w:t xml:space="preserve"> disables binary-cache use; it can still reuse existing or upstream installations and declared externals. Use a clean or dedicated controlled store with no unapproved upstream store and separately admitted externals. Record and accept any intentionally reused installations. Record which packages were actually rebuilt; claim source reconstruction only for those outputs.</w:t>
      </w:r>
    </w:p>
    <w:p>
      <w:pPr/>
      <w:r>
        <w:rPr>
          <w:b w:val="0"/>
          <w:i w:val="0"/>
        </w:rPr>
        <w:t>For the binary mode, verify mirror consistency and install the approved hashes cache-only into the controlled destination candidate environment/store:</w:t>
      </w:r>
    </w:p>
    <w:p>
      <w:pPr>
        <w:keepLines/>
        <w:widowControl/>
        <w:spacing w:before="40" w:after="160" w:line="245" w:lineRule="auto"/>
        <w:ind w:left="115" w:right="43"/>
      </w:pPr>
      <w:r>
        <w:rPr>
          <w:rFonts w:ascii="Courier New" w:hAnsi="Courier New"/>
          <w:b w:val="0"/>
          <w:i w:val="0"/>
          <w:sz w:val="18"/>
        </w:rPr>
        <w:t>spack -C "$BOOTSTRAP_CONFIG_DIR" buildcache check-index --verify all &lt;local-approved-binary-mirror&gt;</w:t>
        <w:br/>
        <w:t>spack -C "$BOOTSTRAP_CONFIG_DIR" -e "$ENVIRONMENT_ROOT" install \</w:t>
        <w:br/>
        <w:t xml:space="preserve">  --only-concrete --use-buildcache=only --fail-fast</w:t>
      </w:r>
    </w:p>
    <w:p>
      <w:pPr/>
      <w:r>
        <w:rPr>
          <w:b w:val="0"/>
          <w:i w:val="0"/>
        </w:rPr>
        <w:t>The binary mode uses the same clean/controlled store, signature and external admission requirements as Section 10.3. A cache miss or relocation failure is a held candidate, not permission to build from source in that store.</w:t>
      </w:r>
    </w:p>
    <w:p>
      <w:pPr>
        <w:pStyle w:val="ListParagraph"/>
        <w:numPr>
          <w:ilvl w:val="0"/>
          <w:numId w:val="24"/>
        </w:numPr>
        <w:ind w:left="360"/>
      </w:pPr>
      <w:r>
        <w:rPr>
          <w:b w:val="0"/>
          <w:i w:val="0"/>
        </w:rPr>
        <w:t>Run Section 9.3 on destination login and compute nodes, including scheduler, MPI/fabric, GPU and module tests when applicable. Retain local SBOM and external evidence and obtain independent review. A destination source build produces a new candidate artifact even when concrete hashes match the origin; sign its accepted outputs through the authorized destination release process. Complete Section 10 before user exposure.</w:t>
      </w:r>
    </w:p>
    <w:p>
      <w:pPr/>
      <w:r>
        <w:rPr>
          <w:b w:val="0"/>
          <w:i w:val="0"/>
        </w:rPr>
        <w:t>The transfer gate passes only when authenticated origin identity, received digests, intake disposition, complete local inputs, enforced connectivity bounds and destination compatibility are recorded. The release gate additionally requires destination acceptance and review.</w:t>
      </w:r>
    </w:p>
    <w:p>
      <w:bookmarkStart w:id="5" w:name="procedure_build_validation"/>
      <w:pPr>
        <w:pStyle w:val="Heading2"/>
      </w:pPr>
      <w:r>
        <w:rPr>
          <w:b w:val="0"/>
          <w:i w:val="0"/>
        </w:rPr>
        <w:t>9.3 Build and validate the candidate on the target system</w:t>
      </w:r>
      <w:bookmarkEnd w:id="5"/>
    </w:p>
    <w:p>
      <w:pPr/>
      <w:r>
        <w:rPr>
          <w:b w:val="0"/>
          <w:i w:val="0"/>
        </w:rPr>
        <w:t>Run as a nonprivileged build identity in the restricted candidate area. Record the approved network restriction and enter the required compute allocation. Section 9.1 must have completed controlled source intake. When inputs arrive by transfer, Section 9.2 must also have passed transfer and configuration checks.</w:t>
      </w:r>
    </w:p>
    <w:p>
      <w:pPr/>
      <w:r>
        <w:rPr>
          <w:b w:val="0"/>
          <w:i w:val="0"/>
        </w:rPr>
        <w:t>When several environments install in parallel, verify the complete lock set first, give every process a distinct mutable user cache, never run the same environment twice, and assign view/module refresh to that environment's one owning process. After parallel work stops, run the shared-output permission gate before transferring responsibility to another builder.</w:t>
      </w:r>
    </w:p>
    <w:p>
      <w:pPr/>
      <w:r>
        <w:rPr>
          <w:b w:val="0"/>
          <w:i w:val="0"/>
        </w:rPr>
        <w:t>Install the reviewed concrete graph, then refresh the environment-owned presentation. If Section 9.2 already installed the candidate, continue with presentation and validation without repeating the install:</w:t>
      </w:r>
    </w:p>
    <w:p>
      <w:pPr>
        <w:keepLines/>
        <w:widowControl/>
        <w:spacing w:before="40" w:after="160" w:line="245" w:lineRule="auto"/>
        <w:ind w:left="115" w:right="43"/>
      </w:pPr>
      <w:r>
        <w:rPr>
          <w:rFonts w:ascii="Courier New" w:hAnsi="Courier New"/>
          <w:b w:val="0"/>
          <w:i w:val="0"/>
          <w:sz w:val="18"/>
        </w:rPr>
        <w:t>spack -C "$BOOTSTRAP_CONFIG_DIR" -e "$ENVIRONMENT_ROOT" install --only-concrete --fail-fast</w:t>
        <w:br/>
        <w:t>spack -C "$BOOTSTRAP_CONFIG_DIR" -e "$ENVIRONMENT_ROOT" env view regenerate</w:t>
        <w:br/>
        <w:t>spack -C "$BOOTSTRAP_CONFIG_DIR" -e "$ENVIRONMENT_ROOT" module tcl refresh --delete-tree -y</w:t>
      </w:r>
    </w:p>
    <w:p>
      <w:pPr/>
      <w:r>
        <w:rPr>
          <w:b w:val="0"/>
          <w:i w:val="0"/>
        </w:rPr>
        <w:t>Run view regeneration only when the environment defines a view. Run module refresh only when the environment defines module generation. A build that does not publish a view or modules records those checks as not applicable.</w:t>
      </w:r>
    </w:p>
    <w:p>
      <w:pPr/>
      <w:r>
        <w:rPr>
          <w:b w:val="0"/>
          <w:i w:val="0"/>
        </w:rPr>
        <w:t>Run the checks that apply:</w:t>
      </w:r>
    </w:p>
    <w:p>
      <w:pPr>
        <w:pStyle w:val="ListParagraph"/>
        <w:numPr>
          <w:ilvl w:val="0"/>
          <w:numId w:val="25"/>
        </w:numPr>
        <w:ind w:left="360"/>
      </w:pPr>
      <w:r>
        <w:rPr>
          <w:b w:val="0"/>
          <w:i w:val="0"/>
        </w:rPr>
        <w:t>compile and run representative C, C++, and Fortran programs;</w:t>
      </w:r>
    </w:p>
    <w:p>
      <w:pPr>
        <w:pStyle w:val="ListParagraph"/>
        <w:numPr>
          <w:ilvl w:val="0"/>
          <w:numId w:val="25"/>
        </w:numPr>
        <w:ind w:left="360"/>
      </w:pPr>
      <w:r>
        <w:rPr>
          <w:b w:val="0"/>
          <w:i w:val="0"/>
        </w:rPr>
        <w:t>confirm headers, libraries, RPATHs, and package metadata;</w:t>
      </w:r>
    </w:p>
    <w:p>
      <w:pPr>
        <w:pStyle w:val="ListParagraph"/>
        <w:numPr>
          <w:ilvl w:val="0"/>
          <w:numId w:val="25"/>
        </w:numPr>
        <w:ind w:left="360"/>
      </w:pPr>
      <w:r>
        <w:rPr>
          <w:b w:val="0"/>
          <w:i w:val="0"/>
        </w:rPr>
        <w:t>test Serial packages without MPI loaded;</w:t>
      </w:r>
    </w:p>
    <w:p>
      <w:pPr>
        <w:pStyle w:val="ListParagraph"/>
        <w:numPr>
          <w:ilvl w:val="0"/>
          <w:numId w:val="25"/>
        </w:numPr>
        <w:ind w:left="360"/>
      </w:pPr>
      <w:r>
        <w:rPr>
          <w:b w:val="0"/>
          <w:i w:val="0"/>
        </w:rPr>
        <w:t>run scheduler-launched, multi-node MPI tests;</w:t>
      </w:r>
    </w:p>
    <w:p>
      <w:pPr>
        <w:pStyle w:val="ListParagraph"/>
        <w:numPr>
          <w:ilvl w:val="0"/>
          <w:numId w:val="25"/>
        </w:numPr>
        <w:ind w:left="360"/>
      </w:pPr>
      <w:r>
        <w:rPr>
          <w:b w:val="0"/>
          <w:i w:val="0"/>
        </w:rPr>
        <w:t>confirm the intended launcher, fabric, and MPI provider;</w:t>
      </w:r>
    </w:p>
    <w:p>
      <w:pPr>
        <w:pStyle w:val="ListParagraph"/>
        <w:numPr>
          <w:ilvl w:val="0"/>
          <w:numId w:val="25"/>
        </w:numPr>
        <w:ind w:left="360"/>
      </w:pPr>
      <w:r>
        <w:rPr>
          <w:b w:val="0"/>
          <w:i w:val="0"/>
        </w:rPr>
        <w:t>run GPU and GPU-aware MPI tests when applicable;</w:t>
      </w:r>
    </w:p>
    <w:p>
      <w:pPr>
        <w:pStyle w:val="ListParagraph"/>
        <w:numPr>
          <w:ilvl w:val="0"/>
          <w:numId w:val="25"/>
        </w:numPr>
        <w:ind w:left="360"/>
      </w:pPr>
      <w:r>
        <w:rPr>
          <w:b w:val="0"/>
          <w:i w:val="0"/>
        </w:rPr>
        <w:t>verify views and package modules after regeneration; and</w:t>
      </w:r>
    </w:p>
    <w:p>
      <w:pPr>
        <w:pStyle w:val="ListParagraph"/>
        <w:numPr>
          <w:ilvl w:val="0"/>
          <w:numId w:val="25"/>
        </w:numPr>
        <w:ind w:left="360"/>
      </w:pPr>
      <w:r>
        <w:rPr>
          <w:b w:val="0"/>
          <w:i w:val="0"/>
        </w:rPr>
        <w:t>test from clean login-node and compute-node sessions.</w:t>
      </w:r>
    </w:p>
    <w:p>
      <w:pPr/>
      <w:r>
        <w:rPr>
          <w:b w:val="0"/>
          <w:i w:val="0"/>
        </w:rPr>
        <w:t>Select numerical-correctness and representative performance checks according to package purpose, platform, candidate changes, and risk. Record the cases, tolerances, comparison baseline, and acceptance results. Evidence for an unchanged package may be reused when the inputs, platform, and test assumptions remain applicable. Record that basis and the reason for any check marked not applicable; a required missing result holds the candidate.</w:t>
      </w:r>
    </w:p>
    <w:p>
      <w:pPr/>
      <w:r>
        <w:rPr>
          <w:b w:val="0"/>
          <w:i w:val="0"/>
        </w:rPr>
        <w:t>Also retain the configured security-check results, approved compiler-hardening settings and any scoped exceptions. Verify installed-file integrity and linkage where the platform supports those checks. These checks do not replace the organization's vulnerability scanner. Complete the required functional, numerical and performance acceptance before approving a hardening change that can affect scientific results or runtime behavior.</w:t>
      </w:r>
    </w:p>
    <w:p>
      <w:pPr/>
      <w:r>
        <w:rPr>
          <w:b w:val="0"/>
          <w:i w:val="0"/>
        </w:rPr>
        <w:t xml:space="preserve">When the environment defines additional named module sets, refresh each configured set separately. Substitute a set name from the reviewed </w:t>
      </w:r>
      <w:r>
        <w:rPr>
          <w:rFonts w:ascii="Courier New" w:hAnsi="Courier New"/>
          <w:b w:val="0"/>
          <w:i w:val="0"/>
          <w:sz w:val="18"/>
        </w:rPr>
        <w:t>modules.yaml</w:t>
      </w:r>
      <w:r>
        <w:rPr>
          <w:b w:val="0"/>
          <w:i w:val="0"/>
        </w:rPr>
        <w:t>; do not create an additional namespace merely to run this example:</w:t>
      </w:r>
    </w:p>
    <w:p>
      <w:pPr>
        <w:keepLines/>
        <w:widowControl/>
        <w:spacing w:before="40" w:after="160" w:line="245" w:lineRule="auto"/>
        <w:ind w:left="115" w:right="43"/>
      </w:pPr>
      <w:r>
        <w:rPr>
          <w:rFonts w:ascii="Courier New" w:hAnsi="Courier New"/>
          <w:b w:val="0"/>
          <w:i w:val="0"/>
          <w:sz w:val="18"/>
        </w:rPr>
        <w:t>spack -C "$BOOTSTRAP_CONFIG_DIR" -e "$ENVIRONMENT_ROOT" module tcl -n &lt;configured-module-set&gt; refresh --delete-tree -y</w:t>
      </w:r>
    </w:p>
    <w:p>
      <w:pPr/>
      <w:r>
        <w:rPr>
          <w:b w:val="0"/>
          <w:i w:val="0"/>
        </w:rPr>
        <w:t xml:space="preserve">Record </w:t>
      </w:r>
      <w:r>
        <w:rPr>
          <w:rFonts w:ascii="Courier New" w:hAnsi="Courier New"/>
          <w:b w:val="0"/>
          <w:i w:val="0"/>
          <w:sz w:val="18"/>
        </w:rPr>
        <w:t>module avail</w:t>
      </w:r>
      <w:r>
        <w:rPr>
          <w:b w:val="0"/>
          <w:i w:val="0"/>
        </w:rPr>
        <w:t xml:space="preserve">, </w:t>
      </w:r>
      <w:r>
        <w:rPr>
          <w:rFonts w:ascii="Courier New" w:hAnsi="Courier New"/>
          <w:b w:val="0"/>
          <w:i w:val="0"/>
          <w:sz w:val="18"/>
        </w:rPr>
        <w:t>module show</w:t>
      </w:r>
      <w:r>
        <w:rPr>
          <w:b w:val="0"/>
          <w:i w:val="0"/>
        </w:rPr>
        <w:t>, load, conflict and runtime results from clean login and batch sessions. Compare selected prefixes and concrete hashes. When two module names expose the same package, they must resolve to the same accepted prefix and conflict as the team's presentation policy requires. Check required direct-dependency loads and version conflicts; do not expose every private transitive dependency as a user module.</w:t>
      </w:r>
    </w:p>
    <w:p>
      <w:pPr/>
      <w:r>
        <w:rPr>
          <w:b w:val="0"/>
          <w:i w:val="0"/>
        </w:rPr>
        <w:t>After parallel work stops, verify the recorded group and modes on shared outputs. A second package manager must be able to traverse/read the required inputs and create, replace and remove a controlled test artifact in each shared working root. Do not use package prefixes or database files as the test artifact. Preserve private keyrings, bootstrap state and per-builder temporary state. Retain the results with the reviewer handoff.</w:t>
      </w:r>
    </w:p>
    <w:p>
      <w:pPr/>
      <w:r>
        <w:rPr>
          <w:b w:val="0"/>
          <w:i w:val="0"/>
        </w:rPr>
        <w:t xml:space="preserve">Record the result as </w:t>
      </w:r>
      <w:r>
        <w:rPr>
          <w:rFonts w:ascii="Courier New" w:hAnsi="Courier New"/>
          <w:b w:val="0"/>
          <w:i w:val="0"/>
          <w:sz w:val="18"/>
        </w:rPr>
        <w:t>built</w:t>
      </w:r>
      <w:r>
        <w:rPr>
          <w:b w:val="0"/>
          <w:i w:val="0"/>
        </w:rPr>
        <w:t xml:space="preserve">, </w:t>
      </w:r>
      <w:r>
        <w:rPr>
          <w:rFonts w:ascii="Courier New" w:hAnsi="Courier New"/>
          <w:b w:val="0"/>
          <w:i w:val="0"/>
          <w:sz w:val="18"/>
        </w:rPr>
        <w:t>runtime-passed</w:t>
      </w:r>
      <w:r>
        <w:rPr>
          <w:b w:val="0"/>
          <w:i w:val="0"/>
        </w:rPr>
        <w:t xml:space="preserve">, or </w:t>
      </w:r>
      <w:r>
        <w:rPr>
          <w:rFonts w:ascii="Courier New" w:hAnsi="Courier New"/>
          <w:b w:val="0"/>
          <w:i w:val="0"/>
          <w:sz w:val="18"/>
        </w:rPr>
        <w:t>held</w:t>
      </w:r>
      <w:r>
        <w:rPr>
          <w:b w:val="0"/>
          <w:i w:val="0"/>
        </w:rPr>
        <w:t xml:space="preserve">. Publish only a </w:t>
      </w:r>
      <w:r>
        <w:rPr>
          <w:rFonts w:ascii="Courier New" w:hAnsi="Courier New"/>
          <w:b w:val="0"/>
          <w:i w:val="0"/>
          <w:sz w:val="18"/>
        </w:rPr>
        <w:t>runtime-passed</w:t>
      </w:r>
      <w:r>
        <w:rPr>
          <w:b w:val="0"/>
          <w:i w:val="0"/>
        </w:rPr>
        <w:t xml:space="preserve"> environment.</w:t>
      </w:r>
    </w:p>
    <w:p>
      <w:pPr/>
      <w:r>
        <w:rPr>
          <w:b w:val="0"/>
          <w:i w:val="0"/>
        </w:rPr>
        <w:t xml:space="preserve">Validation passes only when the required compile, runtime, scheduler, MPI, GPU, view, module, clean-session, and permission tests have recorded successful exit status. Mark the release </w:t>
      </w:r>
      <w:r>
        <w:rPr>
          <w:rFonts w:ascii="Courier New" w:hAnsi="Courier New"/>
          <w:b w:val="0"/>
          <w:i w:val="0"/>
          <w:sz w:val="18"/>
        </w:rPr>
        <w:t>held</w:t>
      </w:r>
      <w:r>
        <w:rPr>
          <w:b w:val="0"/>
          <w:i w:val="0"/>
        </w:rPr>
        <w:t xml:space="preserve"> when a required resource was unavailable or a required result was not obtained.</w:t>
      </w:r>
    </w:p>
    <w:p>
      <w:pPr>
        <w:pStyle w:val="Heading1"/>
      </w:pPr>
      <w:r>
        <w:rPr>
          <w:b w:val="0"/>
          <w:i w:val="0"/>
        </w:rPr>
        <w:t>10. Publish</w:t>
      </w:r>
    </w:p>
    <w:p>
      <w:pPr/>
      <w:r>
        <w:rPr>
          <w:b w:val="0"/>
          <w:i w:val="0"/>
        </w:rPr>
        <w:t>Use the application team's approved publication method. Preserve the reviewed lockfile and concrete hashes. Final independent review of the exact candidate and evidence must pass before signing or publication. Record whether the accepted installation is published directly or installed from an approved signed cache. Both methods complete the same acceptance, authenticated release record, and access gates; Section 10.1 applies whenever a binary cache is used.</w:t>
      </w:r>
    </w:p>
    <w:p>
      <w:bookmarkStart w:id="6" w:name="procedure_signing"/>
      <w:pPr>
        <w:pStyle w:val="Heading2"/>
      </w:pPr>
      <w:r>
        <w:rPr>
          <w:b w:val="0"/>
          <w:i w:val="0"/>
        </w:rPr>
        <w:t>10.1 Sign and populate the approved binary cache</w:t>
      </w:r>
      <w:bookmarkEnd w:id="6"/>
    </w:p>
    <w:p>
      <w:pPr/>
      <w:r>
        <w:rPr>
          <w:b w:val="0"/>
          <w:i w:val="0"/>
        </w:rPr>
        <w:t>Use the release identity and authorized key custodian named in the operating record. Keep the private key in the restricted signing process. Obtain the approved public key and full fingerprint through an authenticated record; compare the key fingerprint before deliberately trusting it. Verification uses a dedicated keyring containing approved public keys only. Keep its directory private to the operator:</w:t>
      </w:r>
    </w:p>
    <w:p>
      <w:pPr>
        <w:keepLines/>
        <w:widowControl/>
        <w:spacing w:before="40" w:after="160" w:line="245" w:lineRule="auto"/>
        <w:ind w:left="115" w:right="43"/>
      </w:pPr>
      <w:r>
        <w:rPr>
          <w:rFonts w:ascii="Courier New" w:hAnsi="Courier New"/>
          <w:b w:val="0"/>
          <w:i w:val="0"/>
          <w:sz w:val="18"/>
        </w:rPr>
        <w:t>export SPACK_GNUPGHOME="&lt;absolute-verification-only-spack-keyring&gt;"</w:t>
        <w:br/>
        <w:t>spack -C "$BOOTSTRAP_CONFIG_DIR" gpg trust &lt;verified-release-public-key-file&gt;</w:t>
      </w:r>
    </w:p>
    <w:p>
      <w:pPr/>
      <w:r>
        <w:rPr>
          <w:b w:val="0"/>
          <w:i w:val="0"/>
        </w:rPr>
        <w:t xml:space="preserve">Do not infer trust from a key arriving with a mirror. Avoid </w:t>
      </w:r>
      <w:r>
        <w:rPr>
          <w:rFonts w:ascii="Courier New" w:hAnsi="Courier New"/>
          <w:b w:val="0"/>
          <w:i w:val="0"/>
          <w:sz w:val="18"/>
        </w:rPr>
        <w:t>spack buildcache keys --install --trust</w:t>
      </w:r>
      <w:r>
        <w:rPr>
          <w:b w:val="0"/>
          <w:i w:val="0"/>
        </w:rPr>
        <w:t xml:space="preserve"> unless every key in that controlled mirror is explicitly approved. Retain old approved public keys while retained releases require them; follow Section 12 for rotation, revocation or exposure.</w:t>
      </w:r>
    </w:p>
    <w:p>
      <w:pPr/>
      <w:r>
        <w:rPr>
          <w:b w:val="0"/>
          <w:i w:val="0"/>
        </w:rPr>
        <w:t>Use a URL/filesystem build-cache backend supporting native Spack package signing. In Spack 1.2.2, an OCI cache does not meet this native-signature procedure. Configure the binary mirror separately from source mirrors:</w:t>
      </w:r>
    </w:p>
    <w:p>
      <w:pPr>
        <w:keepLines/>
        <w:widowControl/>
        <w:spacing w:before="40" w:after="160" w:line="245" w:lineRule="auto"/>
        <w:ind w:left="115" w:right="43"/>
      </w:pPr>
      <w:r>
        <w:rPr>
          <w:rFonts w:ascii="Courier New" w:hAnsi="Courier New"/>
          <w:b w:val="0"/>
          <w:i w:val="0"/>
          <w:sz w:val="18"/>
        </w:rPr>
        <w:t>export BINARY_MIRROR_ROOT="&lt;approved-build-cache-path-or-url&gt;"</w:t>
        <w:br/>
        <w:t>export SIGNING_KEY_FINGERPRINT="&lt;full-approved-signing-fingerprint&gt;"</w:t>
        <w:br/>
        <w:t>spack -C "$BOOTSTRAP_CONFIG_DIR" -e "$ENVIRONMENT_ROOT" mirror add \</w:t>
        <w:br/>
        <w:t xml:space="preserve">  --scope "env:$ENVIRONMENT_ROOT" --type binary --signed \</w:t>
        <w:br/>
        <w:t xml:space="preserve">  approved-binaries "$BINARY_MIRROR_ROOT"</w:t>
        <w:br/>
        <w:t>spack -C "$BOOTSTRAP_CONFIG_DIR" -e "$ENVIRONMENT_ROOT" config get mirrors</w:t>
      </w:r>
    </w:p>
    <w:p>
      <w:pPr/>
      <w:r>
        <w:rPr>
          <w:b w:val="0"/>
          <w:i w:val="0"/>
        </w:rPr>
        <w:t>Configure and review that endpoint before the candidate is frozen; if it already exists, inspect its exact value instead of adding it again. The signer checks that every package selected for the push belongs to the accepted release set. Push by full concrete hash, repeating for the complete approved non-external closure:</w:t>
      </w:r>
    </w:p>
    <w:p>
      <w:pPr>
        <w:keepLines/>
        <w:widowControl/>
        <w:spacing w:before="40" w:after="160" w:line="245" w:lineRule="auto"/>
        <w:ind w:left="115" w:right="43"/>
      </w:pPr>
      <w:r>
        <w:rPr>
          <w:rFonts w:ascii="Courier New" w:hAnsi="Courier New"/>
          <w:b w:val="0"/>
          <w:i w:val="0"/>
          <w:sz w:val="18"/>
        </w:rPr>
        <w:t>export SPACK_GNUPGHOME="&lt;absolute-restricted-signing-keyring&gt;"</w:t>
        <w:br/>
        <w:t>spack -C "$BOOTSTRAP_CONFIG_DIR" -e "$ENVIRONMENT_ROOT" buildcache push \</w:t>
        <w:br/>
        <w:t xml:space="preserve">  --signed --key "$SIGNING_KEY_FINGERPRINT" --update-index --fail-fast \</w:t>
        <w:br/>
        <w:t xml:space="preserve">  "$BINARY_MIRROR_ROOT" /&lt;approved-full-concrete-hash&gt;</w:t>
        <w:br/>
        <w:t>spack -C "$BOOTSTRAP_CONFIG_DIR" buildcache update-index --keys "$BINARY_MIRROR_ROOT"</w:t>
        <w:br/>
        <w:t>spack -C "$BOOTSTRAP_CONFIG_DIR" buildcache check-index --verify all "$BINARY_MIRROR_ROOT"</w:t>
      </w:r>
    </w:p>
    <w:p>
      <w:pPr/>
      <w:r>
        <w:rPr>
          <w:b w:val="0"/>
          <w:i w:val="0"/>
        </w:rPr>
        <w:t>Run that signing block only in the authorized signing context with the provisioned private key. End that context before build or publication work; the verification-only keyring is used again by destination and publication installation. The private key is not copied into that keyring.</w:t>
      </w:r>
    </w:p>
    <w:p>
      <w:pPr/>
      <w:r>
        <w:rPr>
          <w:b w:val="0"/>
          <w:i w:val="0"/>
        </w:rPr>
        <w:t xml:space="preserve">No unsigned push or signature-verification bypass belongs in the normal path. Retain signing identity, approved hashes, push results and cache-index digest. Finalize the index before checksumming a transfer bundle. Preserve the entire mirror when moving it: package manifests/signatures and content blobs must travel together. </w:t>
      </w:r>
      <w:r>
        <w:rPr>
          <w:rFonts w:ascii="Courier New" w:hAnsi="Courier New"/>
          <w:b w:val="0"/>
          <w:i w:val="0"/>
          <w:sz w:val="18"/>
        </w:rPr>
        <w:t>check-index</w:t>
      </w:r>
      <w:r>
        <w:rPr>
          <w:b w:val="0"/>
          <w:i w:val="0"/>
        </w:rPr>
        <w:t xml:space="preserve"> checks consistency; installation performs package signature verification. The Spack 1.2.2 index itself is not signed, so the separately authenticated release record must bind the permitted hash set and transferred mirror digest. Compare that permitted set before installation. (</w:t>
      </w:r>
      <w:hyperlink r:id="rId17" w:history="1">
        <w:r>
          <w:rPr>
            <w:b w:val="0"/>
            <w:i w:val="0"/>
            <w:color w:val="245A81"/>
            <w:u w:val="single"/>
          </w:rPr>
          <w:t>Spack signing and cache layout</w:t>
        </w:r>
      </w:hyperlink>
      <w:r>
        <w:rPr>
          <w:b w:val="0"/>
          <w:i w:val="0"/>
        </w:rPr>
        <w:t>)</w:t>
      </w:r>
    </w:p>
    <w:p>
      <w:bookmarkStart w:id="7" w:name="procedure_catalog_publication"/>
      <w:pPr>
        <w:pStyle w:val="Heading2"/>
      </w:pPr>
      <w:r>
        <w:rPr>
          <w:b w:val="0"/>
          <w:i w:val="0"/>
        </w:rPr>
        <w:t>10.2 Publish the reviewed static catalog</w:t>
      </w:r>
      <w:bookmarkEnd w:id="7"/>
    </w:p>
    <w:p>
      <w:pPr/>
      <w:r>
        <w:rPr>
          <w:b w:val="0"/>
          <w:i w:val="0"/>
        </w:rPr>
        <w:t>This branch is for the catalog owner. The operating record sets its place in the release sequence and its authorized audience; the catalog remains a separate configuration product from package binaries.</w:t>
      </w:r>
    </w:p>
    <w:p>
      <w:pPr>
        <w:pStyle w:val="ListParagraph"/>
        <w:numPr>
          <w:ilvl w:val="0"/>
          <w:numId w:val="26"/>
        </w:numPr>
        <w:ind w:left="360"/>
      </w:pPr>
      <w:r>
        <w:rPr>
          <w:b w:val="0"/>
          <w:i w:val="0"/>
        </w:rPr>
        <w:t>Confirm Section 6.1 review of the catalog record, supporting platform evidence, scope files and usage instructions. Verify paths and instructions from the intended final location; no consumer path may depend on inaccessible restricted storage.</w:t>
      </w:r>
    </w:p>
    <w:p>
      <w:pPr>
        <w:pStyle w:val="ListParagraph"/>
        <w:numPr>
          <w:ilvl w:val="0"/>
          <w:numId w:val="26"/>
        </w:numPr>
        <w:ind w:left="360"/>
      </w:pPr>
      <w:r>
        <w:rPr>
          <w:b w:val="0"/>
          <w:i w:val="0"/>
        </w:rPr>
        <w:t>Reserve a new versioned destination and a staging directory in the same dedicated publication parent. Serialize publication through the site's approved ownership/locking method. Never overwrite an existing version.</w:t>
      </w:r>
    </w:p>
    <w:p>
      <w:pPr>
        <w:pStyle w:val="ListParagraph"/>
        <w:numPr>
          <w:ilvl w:val="0"/>
          <w:numId w:val="26"/>
        </w:numPr>
        <w:ind w:left="360"/>
      </w:pPr>
      <w:r>
        <w:rPr>
          <w:b w:val="0"/>
          <w:i w:val="0"/>
        </w:rPr>
        <w:t>Copy the complete reviewed bytes without regenerating them. Retain a publication record identifying the catalog release, source identities, candidate digest, reviewer, approval, date, intended audience and final destination. Use an auditable text or structured record; its format and filename are site choices. Keep its content and the released file inventory bound to the authenticated approval record.</w:t>
      </w:r>
    </w:p>
    <w:p>
      <w:pPr>
        <w:pStyle w:val="ListParagraph"/>
        <w:numPr>
          <w:ilvl w:val="0"/>
          <w:numId w:val="26"/>
        </w:numPr>
        <w:ind w:left="360"/>
      </w:pPr>
      <w:r>
        <w:rPr>
          <w:b w:val="0"/>
          <w:i w:val="0"/>
        </w:rPr>
        <w:t xml:space="preserve">Create </w:t>
      </w:r>
      <w:r>
        <w:rPr>
          <w:rFonts w:ascii="Courier New" w:hAnsi="Courier New"/>
          <w:b w:val="0"/>
          <w:i w:val="0"/>
          <w:sz w:val="18"/>
        </w:rPr>
        <w:t>SHA256SUMS</w:t>
      </w:r>
      <w:r>
        <w:rPr>
          <w:b w:val="0"/>
          <w:i w:val="0"/>
        </w:rPr>
        <w:t xml:space="preserve"> over every released regular file, including the publication record and excluding </w:t>
      </w:r>
      <w:r>
        <w:rPr>
          <w:rFonts w:ascii="Courier New" w:hAnsi="Courier New"/>
          <w:b w:val="0"/>
          <w:i w:val="0"/>
          <w:sz w:val="18"/>
        </w:rPr>
        <w:t>SHA256SUMS</w:t>
      </w:r>
      <w:r>
        <w:rPr>
          <w:b w:val="0"/>
          <w:i w:val="0"/>
        </w:rPr>
        <w:t xml:space="preserve"> itself. Confirm any links are reviewed and resolve within the released tree; record their targets in the publication inventory. Apply the approved group and public modes in this dedicated tree: directories </w:t>
      </w:r>
      <w:r>
        <w:rPr>
          <w:rFonts w:ascii="Courier New" w:hAnsi="Courier New"/>
          <w:b w:val="0"/>
          <w:i w:val="0"/>
          <w:sz w:val="18"/>
        </w:rPr>
        <w:t>2775</w:t>
      </w:r>
      <w:r>
        <w:rPr>
          <w:b w:val="0"/>
          <w:i w:val="0"/>
        </w:rPr>
        <w:t xml:space="preserve">, executables </w:t>
      </w:r>
      <w:r>
        <w:rPr>
          <w:rFonts w:ascii="Courier New" w:hAnsi="Courier New"/>
          <w:b w:val="0"/>
          <w:i w:val="0"/>
          <w:sz w:val="18"/>
        </w:rPr>
        <w:t>0775</w:t>
      </w:r>
      <w:r>
        <w:rPr>
          <w:b w:val="0"/>
          <w:i w:val="0"/>
        </w:rPr>
        <w:t xml:space="preserve">, ordinary files </w:t>
      </w:r>
      <w:r>
        <w:rPr>
          <w:rFonts w:ascii="Courier New" w:hAnsi="Courier New"/>
          <w:b w:val="0"/>
          <w:i w:val="0"/>
          <w:sz w:val="18"/>
        </w:rPr>
        <w:t>0664</w:t>
      </w:r>
      <w:r>
        <w:rPr>
          <w:b w:val="0"/>
          <w:i w:val="0"/>
        </w:rPr>
        <w:t>.</w:t>
      </w:r>
    </w:p>
    <w:p>
      <w:pPr/>
      <w:r>
        <w:rPr>
          <w:b w:val="0"/>
          <w:i w:val="0"/>
        </w:rPr>
        <w:t xml:space="preserve">The following example uses a </w:t>
      </w:r>
      <w:r>
        <w:rPr>
          <w:rFonts w:ascii="Courier New" w:hAnsi="Courier New"/>
          <w:b w:val="0"/>
          <w:i w:val="0"/>
          <w:sz w:val="18"/>
        </w:rPr>
        <w:t>SHA256SUMS</w:t>
      </w:r>
      <w:r>
        <w:rPr>
          <w:b w:val="0"/>
          <w:i w:val="0"/>
        </w:rPr>
        <w:t xml:space="preserve"> inventory produced by the system's SHA-256 utility. The publication record is included in the staged tree at the path selected by the operator; it is not a Spack configuration file. Prepare that record and the required modes before running:</w:t>
      </w:r>
    </w:p>
    <w:p>
      <w:pPr>
        <w:keepLines w:val="0"/>
        <w:widowControl/>
        <w:spacing w:before="40" w:after="160" w:line="245" w:lineRule="auto"/>
        <w:ind w:left="115" w:right="43"/>
      </w:pPr>
      <w:r>
        <w:rPr>
          <w:rFonts w:ascii="Courier New" w:hAnsi="Courier New"/>
          <w:b w:val="0"/>
          <w:i w:val="0"/>
          <w:sz w:val="18"/>
        </w:rPr>
        <w:t>export CATALOG_STAGE="&lt;absolute-new-catalog-staging-directory&gt;"</w:t>
        <w:br/>
        <w:t>export PUBLISHED_CATALOG="&lt;absolute-new-versioned-published-catalog&gt;"</w:t>
        <w:br/>
        <w:t>export BUILD_GROUP="&lt;approved-catalog-manager-group&gt;"</w:t>
        <w:br/>
        <w:t>export CATALOG_PUBLICATION_RECORD="&lt;absolute-publication-record-within-staged-tree&gt;"</w:t>
        <w:br/>
        <w:t>(</w:t>
        <w:br/>
        <w:t xml:space="preserve">  set -euo pipefail</w:t>
        <w:br/>
        <w:t xml:space="preserve">  test -r "$CATALOG_PUBLICATION_RECORD"</w:t>
        <w:br/>
        <w:t xml:space="preserve">  cd "$CATALOG_STAGE" || exit 1</w:t>
        <w:br/>
        <w:t xml:space="preserve">  find . -type f ! -name SHA256SUMS -print0 \</w:t>
        <w:br/>
        <w:t xml:space="preserve">    | sort -z | xargs -0 sha256sum &gt; SHA256SUMS</w:t>
        <w:br/>
        <w:t xml:space="preserve">  sha256sum --check SHA256SUMS</w:t>
        <w:br/>
        <w:t>)</w:t>
      </w:r>
    </w:p>
    <w:p>
      <w:pPr>
        <w:pStyle w:val="ListParagraph"/>
        <w:numPr>
          <w:ilvl w:val="0"/>
          <w:numId w:val="27"/>
        </w:numPr>
        <w:ind w:left="360"/>
      </w:pPr>
      <w:r>
        <w:rPr>
          <w:b w:val="0"/>
          <w:i w:val="0"/>
        </w:rPr>
        <w:t>Recheck the staging tree, including the inventory file's ownership/mode. Expose the directory as one same-filesystem rename only after approval:</w:t>
      </w:r>
    </w:p>
    <w:p>
      <w:pPr>
        <w:keepLines w:val="0"/>
        <w:widowControl/>
        <w:spacing w:before="40" w:after="160" w:line="245" w:lineRule="auto"/>
        <w:ind w:left="115" w:right="43"/>
      </w:pPr>
      <w:r>
        <w:rPr>
          <w:rFonts w:ascii="Courier New" w:hAnsi="Courier New"/>
          <w:b w:val="0"/>
          <w:i w:val="0"/>
          <w:sz w:val="18"/>
        </w:rPr>
        <w:t>(</w:t>
        <w:br/>
        <w:t xml:space="preserve">  set -euo pipefail</w:t>
        <w:br/>
        <w:t xml:space="preserve">  test ! -e "$PUBLISHED_CATALOG"</w:t>
        <w:br/>
        <w:t xml:space="preserve">  test ! -L "$PUBLISHED_CATALOG"</w:t>
        <w:br/>
        <w:t xml:space="preserve">  mv -T -n "$CATALOG_STAGE" "$PUBLISHED_CATALOG"</w:t>
        <w:br/>
        <w:t xml:space="preserve">  test ! -e "$CATALOG_STAGE"</w:t>
        <w:br/>
        <w:t xml:space="preserve">  cd "$PUBLISHED_CATALOG" || exit 1</w:t>
        <w:br/>
        <w:t xml:space="preserve">  sha256sum --check SHA256SUMS</w:t>
        <w:br/>
        <w:t>)</w:t>
        <w:br/>
        <w:t>test -z "$(find "$PUBLISHED_CATALOG" -type d ! -perm 2775 -print -quit)"</w:t>
        <w:br/>
        <w:t>test -z "$(find "$PUBLISHED_CATALOG" -type f -perm /111 ! -perm 0775 -print -quit)"</w:t>
        <w:br/>
        <w:t>test -z "$(find "$PUBLISHED_CATALOG" -type f ! -perm /111 ! -perm 0664 -print -quit)"</w:t>
        <w:br/>
        <w:t>test -z "$(find "$PUBLISHED_CATALOG" -perm -0002 -print -quit)"</w:t>
        <w:br/>
        <w:t>test -z "$(find "$PUBLISHED_CATALOG" ! -group "$BUILD_GROUP" -print -quit)"</w:t>
      </w:r>
    </w:p>
    <w:p>
      <w:pPr>
        <w:pStyle w:val="ListParagraph"/>
        <w:numPr>
          <w:ilvl w:val="0"/>
          <w:numId w:val="28"/>
        </w:numPr>
        <w:ind w:left="360"/>
      </w:pPr>
      <w:r>
        <w:rPr>
          <w:b w:val="0"/>
          <w:i w:val="0"/>
        </w:rPr>
        <w:t xml:space="preserve">Verify read/traverse and denied write using a consumer account outside the management group, and controlled management access using another group member. Retain checksum, mode, ownership and access results. Move an optional </w:t>
      </w:r>
      <w:r>
        <w:rPr>
          <w:rFonts w:ascii="Courier New" w:hAnsi="Courier New"/>
          <w:b w:val="0"/>
          <w:i w:val="0"/>
          <w:sz w:val="18"/>
        </w:rPr>
        <w:t>current</w:t>
      </w:r>
      <w:r>
        <w:rPr>
          <w:b w:val="0"/>
          <w:i w:val="0"/>
        </w:rPr>
        <w:t xml:space="preserve"> discovery pointer only after acceptance; consumers pin the exact versioned path. Corrections create a new reviewed catalog release.</w:t>
      </w:r>
    </w:p>
    <w:p>
      <w:bookmarkStart w:id="8" w:name="procedure_cache_publication"/>
      <w:pPr>
        <w:pStyle w:val="Heading2"/>
      </w:pPr>
      <w:r>
        <w:rPr>
          <w:b w:val="0"/>
          <w:i w:val="0"/>
        </w:rPr>
        <w:t>10.3 Install and accept the release from the cache only</w:t>
      </w:r>
      <w:bookmarkEnd w:id="8"/>
    </w:p>
    <w:p>
      <w:pPr/>
      <w:r>
        <w:rPr>
          <w:b w:val="0"/>
          <w:i w:val="0"/>
        </w:rPr>
        <w:t>When a build cache is used:</w:t>
      </w:r>
    </w:p>
    <w:p>
      <w:pPr>
        <w:pStyle w:val="ListParagraph"/>
        <w:numPr>
          <w:ilvl w:val="0"/>
          <w:numId w:val="29"/>
        </w:numPr>
        <w:ind w:left="360"/>
      </w:pPr>
      <w:r>
        <w:rPr>
          <w:b w:val="0"/>
          <w:i w:val="0"/>
        </w:rPr>
        <w:t>push only validated concrete packages;</w:t>
      </w:r>
    </w:p>
    <w:p>
      <w:pPr>
        <w:pStyle w:val="ListParagraph"/>
        <w:numPr>
          <w:ilvl w:val="0"/>
          <w:numId w:val="29"/>
        </w:numPr>
        <w:ind w:left="360"/>
      </w:pPr>
      <w:r>
        <w:rPr>
          <w:b w:val="0"/>
          <w:i w:val="0"/>
        </w:rPr>
        <w:t>create a separate publication workspace;</w:t>
      </w:r>
    </w:p>
    <w:p>
      <w:pPr>
        <w:pStyle w:val="ListParagraph"/>
        <w:numPr>
          <w:ilvl w:val="0"/>
          <w:numId w:val="29"/>
        </w:numPr>
        <w:ind w:left="360"/>
      </w:pPr>
      <w:r>
        <w:rPr>
          <w:b w:val="0"/>
          <w:i w:val="0"/>
        </w:rPr>
        <w:t>copy the approved lockfile;</w:t>
      </w:r>
    </w:p>
    <w:p>
      <w:pPr>
        <w:pStyle w:val="ListParagraph"/>
        <w:numPr>
          <w:ilvl w:val="0"/>
          <w:numId w:val="29"/>
        </w:numPr>
        <w:ind w:left="360"/>
      </w:pPr>
      <w:r>
        <w:rPr>
          <w:b w:val="0"/>
          <w:i w:val="0"/>
        </w:rPr>
        <w:t>install the locked packages from the approved cache;</w:t>
      </w:r>
    </w:p>
    <w:p>
      <w:pPr>
        <w:pStyle w:val="ListParagraph"/>
        <w:numPr>
          <w:ilvl w:val="0"/>
          <w:numId w:val="29"/>
        </w:numPr>
        <w:ind w:left="360"/>
      </w:pPr>
      <w:r>
        <w:rPr>
          <w:b w:val="0"/>
          <w:i w:val="0"/>
        </w:rPr>
        <w:t>stop on a cache miss rather than building unreviewed source in the publication workspace; and</w:t>
      </w:r>
    </w:p>
    <w:p>
      <w:pPr>
        <w:pStyle w:val="ListParagraph"/>
        <w:numPr>
          <w:ilvl w:val="0"/>
          <w:numId w:val="29"/>
        </w:numPr>
        <w:ind w:left="360"/>
      </w:pPr>
      <w:r>
        <w:rPr>
          <w:b w:val="0"/>
          <w:i w:val="0"/>
        </w:rPr>
        <w:t>compare the published hashes with the validated build hashes.</w:t>
      </w:r>
    </w:p>
    <w:p>
      <w:pPr/>
      <w:r>
        <w:rPr>
          <w:b w:val="0"/>
          <w:i w:val="0"/>
        </w:rPr>
        <w:t>Prepare a separate matching publication workspace from the same reviewed package/platform inputs, repositories and release identity, applying the approved publication deployment record and access audience. Keep referenced scopes intact. Do not copy a mutable working tree wholesale. Before install, verify effective configuration, approved source and signed binary mirrors, bootstrap policy, expected release hashes, and the world-read/group-write package policy from Section 4.1.</w:t>
      </w:r>
    </w:p>
    <w:p>
      <w:pPr/>
      <w:r>
        <w:rPr>
          <w:b w:val="0"/>
          <w:i w:val="0"/>
        </w:rPr>
        <w:t>Use a clean or dedicated controlled publication store with no unapproved upstream store. Cache-only options do not retroactively verify packages already installed in a store, and externals are not supplied by the binary cache. Separately accept those external identities and retain their inventory. Run publication installation with a verification-only keyring in a context without access to the signing private key. Confirm the public key's full fingerprint against the authenticated approved record before the trust command. After the validated hashes are available in the approved cache:</w:t>
      </w:r>
    </w:p>
    <w:p>
      <w:pPr>
        <w:keepLines w:val="0"/>
        <w:widowControl/>
        <w:spacing w:before="40" w:after="160" w:line="245" w:lineRule="auto"/>
        <w:ind w:left="115" w:right="43"/>
      </w:pPr>
      <w:r>
        <w:rPr>
          <w:rFonts w:ascii="Courier New" w:hAnsi="Courier New"/>
          <w:b w:val="0"/>
          <w:i w:val="0"/>
          <w:sz w:val="18"/>
        </w:rPr>
        <w:t>export PUBLICATION_ENVIRONMENT_ROOT="&lt;absolute-publication-environment&gt;"</w:t>
        <w:br/>
        <w:t>export SPACK_GNUPGHOME="&lt;absolute-verification-only-spack-keyring&gt;"</w:t>
        <w:br/>
        <w:br/>
        <w:t>spack -C "$BOOTSTRAP_CONFIG_DIR" gpg trust &lt;verified-release-public-key-file&gt;</w:t>
        <w:br/>
        <w:t>test -f "$PUBLICATION_ENVIRONMENT_ROOT/spack.yaml"</w:t>
        <w:br/>
        <w:t>cp "$ENVIRONMENT_ROOT/spack.lock" "$PUBLICATION_ENVIRONMENT_ROOT/spack.lock"</w:t>
        <w:br/>
        <w:t>spack -C "$BOOTSTRAP_CONFIG_DIR" -e "$PUBLICATION_ENVIRONMENT_ROOT" find -c -d -l -v</w:t>
        <w:br/>
        <w:t>spack -C "$BOOTSTRAP_CONFIG_DIR" -e "$PUBLICATION_ENVIRONMENT_ROOT" install \</w:t>
        <w:br/>
        <w:t xml:space="preserve">  --only-concrete --use-buildcache=only --fail-fast</w:t>
      </w:r>
    </w:p>
    <w:p>
      <w:pPr/>
      <w:r>
        <w:rPr>
          <w:b w:val="0"/>
          <w:i w:val="0"/>
        </w:rPr>
        <w:t>Do not concretize the publication environment. A cache miss is a failed publication control point. Return to the validated build, supply the missing approved hash, and repeat the cache-only install. If the correction changes a hash, create a new release record.</w:t>
      </w:r>
    </w:p>
    <w:p>
      <w:pPr/>
      <w:r>
        <w:rPr>
          <w:b w:val="0"/>
          <w:i w:val="0"/>
        </w:rPr>
        <w:t>Record and compare hashes before approval:</w:t>
      </w:r>
    </w:p>
    <w:p>
      <w:pPr>
        <w:keepLines w:val="0"/>
        <w:widowControl/>
        <w:spacing w:before="40" w:after="160" w:line="245" w:lineRule="auto"/>
        <w:ind w:left="115" w:right="43"/>
      </w:pPr>
      <w:r>
        <w:rPr>
          <w:rFonts w:ascii="Courier New" w:hAnsi="Courier New"/>
          <w:b w:val="0"/>
          <w:i w:val="0"/>
          <w:sz w:val="18"/>
        </w:rPr>
        <w:t>export EVIDENCE_ROOT="&lt;absolute-evidence-path&gt;"</w:t>
        <w:br/>
        <w:t>mkdir -p "$EVIDENCE_ROOT"</w:t>
        <w:br/>
        <w:t>spack -C "$BOOTSTRAP_CONFIG_DIR" -e "$ENVIRONMENT_ROOT" find -c -d --format '{hash}' | sort -u \</w:t>
        <w:br/>
        <w:t xml:space="preserve">  &gt; "$EVIDENCE_ROOT/validated-hashes.txt"</w:t>
        <w:br/>
        <w:t>spack -C "$BOOTSTRAP_CONFIG_DIR" -e "$PUBLICATION_ENVIRONMENT_ROOT" find -c -d --format '{hash}' | sort -u \</w:t>
        <w:br/>
        <w:t xml:space="preserve">  &gt; "$EVIDENCE_ROOT/published-hashes.txt"</w:t>
        <w:br/>
        <w:t>diff -u \</w:t>
        <w:br/>
        <w:t xml:space="preserve">  "$EVIDENCE_ROOT/validated-hashes.txt" \</w:t>
        <w:br/>
        <w:t xml:space="preserve">  "$EVIDENCE_ROOT/published-hashes.txt"</w:t>
      </w:r>
    </w:p>
    <w:p>
      <w:pPr/>
      <w:r>
        <w:rPr>
          <w:b w:val="0"/>
          <w:i w:val="0"/>
        </w:rPr>
        <w:t>When the validated install tree is published directly, freeze the accepted release after view, module, permission, and clean-session tests pass. Do not change an accepted release in place.</w:t>
      </w:r>
    </w:p>
    <w:p>
      <w:pPr/>
      <w:r>
        <w:rPr>
          <w:b w:val="0"/>
          <w:i w:val="0"/>
        </w:rPr>
        <w:t>Generate or refresh views and modules only after installation. Use version-sensitive module names, dependencies, and conflicts when more than one public package version is available.</w:t>
      </w:r>
    </w:p>
    <w:p>
      <w:pPr/>
      <w:r>
        <w:rPr>
          <w:b w:val="0"/>
          <w:i w:val="0"/>
        </w:rPr>
        <w:t>When a package exposes a direct dependency as part of its public build or runtime interface, configure its module to load the exact compatible dependency module. Do not automatically load private transitive dependencies. Apply a package-family conflict so a user cannot replace that dependency with another published version in the same session. NetCDF-C and HDF5 are the minimum acceptance case when both are in the release.</w:t>
      </w:r>
    </w:p>
    <w:p>
      <w:pPr/>
      <w:r>
        <w:rPr>
          <w:b w:val="0"/>
          <w:i w:val="0"/>
        </w:rPr>
        <w:t>Publication passes only when the validated and published hashes match, the required clean-session runtime and module checks pass, users have read and execute access, consumers outside the approved package-manager group have no write access, a second package manager in the group can perform a controlled write test, and the release authority has recorded approval.</w:t>
      </w:r>
    </w:p>
    <w:p>
      <w:pPr/>
      <w:r>
        <w:rPr>
          <w:b w:val="0"/>
          <w:i w:val="0"/>
        </w:rPr>
        <w:t>Compare the concrete listings above to the authenticated approved release inventory, and retain separate installed-package listings showing that every required non-external hash is installed. Matching copied lockfiles alone does not prove an installation completed. Run all applicable destination validation and cross-user access checks from Section 9.3 before exposing module defaults.</w:t>
      </w:r>
    </w:p>
    <w:p>
      <w:pPr>
        <w:pStyle w:val="Heading2"/>
      </w:pPr>
      <w:r>
        <w:rPr>
          <w:b w:val="0"/>
          <w:i w:val="0"/>
        </w:rPr>
        <w:t>10.4 Retain SBOMs and the separate external inventory</w:t>
      </w:r>
    </w:p>
    <w:p>
      <w:pPr/>
      <w:r>
        <w:rPr>
          <w:b w:val="0"/>
          <w:i w:val="0"/>
        </w:rPr>
        <w:t>Spack 1.2.2 writes a per-installation SPDX 2.3 SBOM for a non-external package:</w:t>
      </w:r>
    </w:p>
    <w:p>
      <w:pPr>
        <w:keepLines/>
        <w:widowControl/>
        <w:spacing w:before="40" w:after="160" w:line="245" w:lineRule="auto"/>
        <w:ind w:left="115" w:right="43"/>
      </w:pPr>
      <w:r>
        <w:rPr>
          <w:rFonts w:ascii="Courier New" w:hAnsi="Courier New"/>
          <w:b w:val="0"/>
          <w:i w:val="0"/>
          <w:sz w:val="18"/>
        </w:rPr>
        <w:t>&lt;package-prefix&gt;/.spack/sbom/spdx-2.3.json</w:t>
      </w:r>
    </w:p>
    <w:p>
      <w:pPr/>
      <w:r>
        <w:rPr>
          <w:b w:val="0"/>
          <w:i w:val="0"/>
        </w:rPr>
        <w:t>Locate an accepted package and retain its producer SBOM with a checksum:</w:t>
      </w:r>
    </w:p>
    <w:p>
      <w:pPr>
        <w:keepLines/>
        <w:widowControl/>
        <w:spacing w:before="40" w:after="160" w:line="245" w:lineRule="auto"/>
        <w:ind w:left="115" w:right="43"/>
      </w:pPr>
      <w:r>
        <w:rPr>
          <w:rFonts w:ascii="Courier New" w:hAnsi="Courier New"/>
          <w:b w:val="0"/>
          <w:i w:val="0"/>
          <w:sz w:val="18"/>
        </w:rPr>
        <w:t>spack -C "$BOOTSTRAP_CONFIG_DIR" -e "$ENVIRONMENT_ROOT" location -i /&lt;approved-full-concrete-hash&gt;</w:t>
        <w:br/>
        <w:t>sha256sum &lt;approved-package-prefix&gt;/.spack/sbom/spdx-2.3.json</w:t>
      </w:r>
    </w:p>
    <w:p>
      <w:pPr/>
      <w:r>
        <w:rPr>
          <w:b w:val="0"/>
          <w:i w:val="0"/>
        </w:rPr>
        <w:t>Record package name/version, full hash, prefix, SBOM location and digest. Retain the producer SBOM and approved scan result as release evidence separately from the published prefix. Binary installation runs hooks and may regenerate local SBOM metadata, so producer and consumer SBOM files need not have equal bytes for the same concrete hash. Record the consumer copy separately and compare component identity and dependency relationships against the approved release; investigate substantive discrepancies. Inventory and assess system externals separately because Spack does not generate their SBOMs. SBOM presence is an inventory check, not a vulnerability assessment. (</w:t>
      </w:r>
      <w:hyperlink r:id="rId18" w:history="1">
        <w:r>
          <w:rPr>
            <w:b w:val="0"/>
            <w:i w:val="0"/>
            <w:color w:val="245A81"/>
            <w:u w:val="single"/>
          </w:rPr>
          <w:t>Spack SBOM generation</w:t>
        </w:r>
      </w:hyperlink>
      <w:r>
        <w:rPr>
          <w:b w:val="0"/>
          <w:i w:val="0"/>
        </w:rPr>
        <w:t xml:space="preserve">, </w:t>
      </w:r>
      <w:hyperlink r:id="rId19" w:history="1">
        <w:r>
          <w:rPr>
            <w:b w:val="0"/>
            <w:i w:val="0"/>
            <w:color w:val="245A81"/>
            <w:u w:val="single"/>
          </w:rPr>
          <w:t>binary installation hooks</w:t>
        </w:r>
      </w:hyperlink>
      <w:r>
        <w:rPr>
          <w:b w:val="0"/>
          <w:i w:val="0"/>
        </w:rPr>
        <w:t>)</w:t>
      </w:r>
    </w:p>
    <w:p>
      <w:pPr>
        <w:pStyle w:val="Heading1"/>
      </w:pPr>
      <w:r>
        <w:rPr>
          <w:b w:val="0"/>
          <w:i w:val="0"/>
        </w:rPr>
        <w:t>11. User access</w:t>
      </w:r>
    </w:p>
    <w:p>
      <w:pPr/>
      <w:r>
        <w:rPr>
          <w:b w:val="0"/>
          <w:i w:val="0"/>
        </w:rPr>
        <w:t xml:space="preserve">Publish package modules under the application's established module root. The normal module root should already be on users' </w:t>
      </w:r>
      <w:r>
        <w:rPr>
          <w:rFonts w:ascii="Courier New" w:hAnsi="Courier New"/>
          <w:b w:val="0"/>
          <w:i w:val="0"/>
          <w:sz w:val="18"/>
        </w:rPr>
        <w:t>MODULEPATH</w:t>
      </w:r>
      <w:r>
        <w:rPr>
          <w:b w:val="0"/>
          <w:i w:val="0"/>
        </w:rPr>
        <w:t>. A user normally loads the package directly:</w:t>
      </w:r>
    </w:p>
    <w:p>
      <w:pPr>
        <w:keepLines/>
        <w:widowControl/>
        <w:spacing w:before="40" w:after="160" w:line="245" w:lineRule="auto"/>
        <w:ind w:left="115" w:right="43"/>
      </w:pPr>
      <w:r>
        <w:rPr>
          <w:rFonts w:ascii="Courier New" w:hAnsi="Courier New"/>
          <w:b w:val="0"/>
          <w:i w:val="0"/>
          <w:sz w:val="18"/>
        </w:rPr>
        <w:t>module load &lt;package&gt;/&lt;version&gt;</w:t>
      </w:r>
    </w:p>
    <w:p>
      <w:pPr/>
      <w:r>
        <w:rPr>
          <w:b w:val="0"/>
          <w:i w:val="0"/>
        </w:rPr>
        <w:t xml:space="preserve">Use </w:t>
      </w:r>
      <w:r>
        <w:rPr>
          <w:rFonts w:ascii="Courier New" w:hAnsi="Courier New"/>
          <w:b w:val="0"/>
          <w:i w:val="0"/>
          <w:sz w:val="18"/>
        </w:rPr>
        <w:t>module use</w:t>
      </w:r>
      <w:r>
        <w:rPr>
          <w:b w:val="0"/>
          <w:i w:val="0"/>
        </w:rPr>
        <w:t xml:space="preserve"> only for a private, test, or newly introduced module root. Document that path with the release.</w:t>
      </w:r>
    </w:p>
    <w:p>
      <w:pPr/>
      <w:r>
        <w:rPr>
          <w:b w:val="0"/>
          <w:i w:val="0"/>
        </w:rPr>
        <w:t>Verify that users can traverse the module tree, views, external runtime paths, and package prefixes from login and compute nodes. Users outside the approved package-manager group must not have write access to an accepted release. Authorized package-manager writes remain subject to the release procedure; use a new release for unrecorded package or configuration changes.</w:t>
      </w:r>
    </w:p>
    <w:p>
      <w:pPr>
        <w:pStyle w:val="Heading1"/>
      </w:pPr>
      <w:r>
        <w:rPr>
          <w:b w:val="0"/>
          <w:i w:val="0"/>
        </w:rPr>
        <w:t>12. Changes, security events, and platform updates</w:t>
      </w:r>
    </w:p>
    <w:p>
      <w:pPr/>
      <w:r>
        <w:rPr>
          <w:b w:val="0"/>
          <w:i w:val="0"/>
        </w:rPr>
        <w:t>A change to a root spec, version, variant, recipe, patch, package-repository revision or order, compiler, MPI, GPU provider, catalog scope, Spack version, external-package identity, or lockfile requires a new release record. Rebuild and retest the affected dependency closure. Reuse unchanged concrete packages only when their hashes are unchanged.</w:t>
      </w:r>
    </w:p>
    <w:p>
      <w:pPr/>
      <w:r>
        <w:rPr>
          <w:b w:val="0"/>
          <w:i w:val="0"/>
        </w:rPr>
        <w:t>For a security advisory:</w:t>
      </w:r>
    </w:p>
    <w:p>
      <w:pPr>
        <w:pStyle w:val="ListParagraph"/>
        <w:numPr>
          <w:ilvl w:val="0"/>
          <w:numId w:val="30"/>
        </w:numPr>
        <w:ind w:left="360"/>
      </w:pPr>
      <w:r>
        <w:rPr>
          <w:b w:val="0"/>
          <w:i w:val="0"/>
        </w:rPr>
        <w:t>record the advisory and affected versions;</w:t>
      </w:r>
    </w:p>
    <w:p>
      <w:pPr>
        <w:pStyle w:val="ListParagraph"/>
        <w:numPr>
          <w:ilvl w:val="0"/>
          <w:numId w:val="30"/>
        </w:numPr>
        <w:ind w:left="360"/>
      </w:pPr>
      <w:r>
        <w:rPr>
          <w:b w:val="0"/>
          <w:i w:val="0"/>
        </w:rPr>
        <w:t>inspect lockfiles, package inventories, SBOMs, and the separate external inventory;</w:t>
      </w:r>
    </w:p>
    <w:p>
      <w:pPr>
        <w:pStyle w:val="ListParagraph"/>
        <w:numPr>
          <w:ilvl w:val="0"/>
          <w:numId w:val="30"/>
        </w:numPr>
        <w:ind w:left="360"/>
      </w:pPr>
      <w:r>
        <w:rPr>
          <w:b w:val="0"/>
          <w:i w:val="0"/>
        </w:rPr>
        <w:t>select an approved fix or mitigation;</w:t>
      </w:r>
    </w:p>
    <w:p>
      <w:pPr>
        <w:pStyle w:val="ListParagraph"/>
        <w:numPr>
          <w:ilvl w:val="0"/>
          <w:numId w:val="30"/>
        </w:numPr>
        <w:ind w:left="360"/>
      </w:pPr>
      <w:r>
        <w:rPr>
          <w:b w:val="0"/>
          <w:i w:val="0"/>
        </w:rPr>
        <w:t>rebuild and retest affected packages; and</w:t>
      </w:r>
    </w:p>
    <w:p>
      <w:pPr>
        <w:pStyle w:val="ListParagraph"/>
        <w:numPr>
          <w:ilvl w:val="0"/>
          <w:numId w:val="30"/>
        </w:numPr>
        <w:ind w:left="360"/>
      </w:pPr>
      <w:r>
        <w:rPr>
          <w:b w:val="0"/>
          <w:i w:val="0"/>
        </w:rPr>
        <w:t>withdraw or replace exposed modules according to local policy.</w:t>
      </w:r>
    </w:p>
    <w:p>
      <w:pPr/>
      <w:r>
        <w:rPr>
          <w:b w:val="0"/>
          <w:i w:val="0"/>
        </w:rPr>
        <w:t>Spack SBOMs provide package and dependency inventory. They do not perform CVE matching. Use the organization's approved vulnerability source or scanner.</w:t>
      </w:r>
    </w:p>
    <w:p>
      <w:pPr/>
      <w:r>
        <w:rPr>
          <w:b w:val="0"/>
          <w:i w:val="0"/>
        </w:rPr>
        <w:t>Routine releases inside the team's agreed source, build, signing and transfer bounds stay with the builder, reviewer and release authority. Obtain security review or a decision through the local process at these points: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5" w:type="dxa"/>
          <w:bottom w:w="95" w:type="dxa"/>
          <w:left w:w="115" w:type="dxa"/>
          <w:right w:w="115" w:type="dxa"/>
        </w:tblCellMar>
      </w:tblPr>
      <w:tblGrid>
        <w:gridCol w:w="2333"/>
        <w:gridCol w:w="7819"/>
      </w:tblGrid>
      <w:tr>
        <w:trPr>
          <w:cantSplit/>
          <w:tblHeader/>
        </w:trPr>
        <w:tc>
          <w:tcPr>
            <w:tcW w:type="dxa" w:w="2333"/>
            <w:vAlign w:val="center"/>
            <w:shd w:fill="DCE6F1"/>
          </w:tcPr>
          <w:p>
            <w:pPr>
              <w:keepNext w:val="0"/>
              <w:widowControl w:val="0"/>
              <w:spacing w:after="0" w:before="0" w:line="250" w:lineRule="auto"/>
            </w:pPr>
            <w:r>
              <w:rPr>
                <w:b/>
                <w:i w:val="0"/>
                <w:sz w:val="20"/>
              </w:rPr>
              <w:t>Trigger</w:t>
            </w:r>
          </w:p>
        </w:tc>
        <w:tc>
          <w:tcPr>
            <w:tcW w:type="dxa" w:w="7819"/>
            <w:vAlign w:val="center"/>
            <w:shd w:fill="DCE6F1"/>
          </w:tcPr>
          <w:p>
            <w:pPr>
              <w:keepNext w:val="0"/>
              <w:widowControl w:val="0"/>
              <w:spacing w:after="0" w:before="0" w:line="250" w:lineRule="auto"/>
            </w:pPr>
            <w:r>
              <w:rPr>
                <w:b/>
                <w:i w:val="0"/>
                <w:sz w:val="20"/>
              </w:rPr>
              <w:t>Action and retained decision</w:t>
            </w:r>
          </w:p>
        </w:tc>
      </w:tr>
      <w:tr>
        <w:trPr>
          <w:cantSplit/>
        </w:trPr>
        <w:tc>
          <w:tcPr>
            <w:tcW w:type="dxa" w:w="2333"/>
            <w:vAlign w:val="center"/>
          </w:tcPr>
          <w:p>
            <w:pPr>
              <w:keepNext w:val="0"/>
              <w:widowControl w:val="0"/>
              <w:spacing w:after="0" w:before="0" w:line="250" w:lineRule="auto"/>
            </w:pPr>
            <w:r>
              <w:rPr>
                <w:b w:val="0"/>
                <w:i w:val="0"/>
                <w:sz w:val="20"/>
              </w:rPr>
              <w:t>First use on a new authorization/network boundary, or material change to intake, transfer, egress, signing/trust or publication access</w:t>
            </w:r>
          </w:p>
        </w:tc>
        <w:tc>
          <w:tcPr>
            <w:tcW w:type="dxa" w:w="7819"/>
            <w:vAlign w:val="center"/>
          </w:tcPr>
          <w:p>
            <w:pPr>
              <w:keepNext w:val="0"/>
              <w:widowControl w:val="0"/>
              <w:spacing w:after="0" w:before="0" w:line="250" w:lineRule="auto"/>
            </w:pPr>
            <w:r>
              <w:rPr>
                <w:b w:val="0"/>
                <w:i w:val="0"/>
                <w:sz w:val="20"/>
              </w:rPr>
              <w:t>Obtain the platform/security owners' assessment and applicable approval before enabling that changed path</w:t>
            </w:r>
          </w:p>
        </w:tc>
      </w:tr>
      <w:tr>
        <w:trPr>
          <w:cantSplit/>
        </w:trPr>
        <w:tc>
          <w:tcPr>
            <w:tcW w:type="dxa" w:w="2333"/>
            <w:vAlign w:val="center"/>
          </w:tcPr>
          <w:p>
            <w:pPr>
              <w:keepNext w:val="0"/>
              <w:widowControl w:val="0"/>
              <w:spacing w:after="0" w:before="0" w:line="250" w:lineRule="auto"/>
            </w:pPr>
            <w:r>
              <w:rPr>
                <w:b w:val="0"/>
                <w:i w:val="0"/>
                <w:sz w:val="20"/>
              </w:rPr>
              <w:t>Exception to required integrity/signature checks, isolation, hardening or scan coverage; unresolved finding beyond the team's risk authority</w:t>
            </w:r>
          </w:p>
        </w:tc>
        <w:tc>
          <w:tcPr>
            <w:tcW w:type="dxa" w:w="7819"/>
            <w:vAlign w:val="center"/>
          </w:tcPr>
          <w:p>
            <w:pPr>
              <w:keepNext w:val="0"/>
              <w:widowControl w:val="0"/>
              <w:spacing w:after="0" w:before="0" w:line="250" w:lineRule="auto"/>
            </w:pPr>
            <w:r>
              <w:rPr>
                <w:b w:val="0"/>
                <w:i w:val="0"/>
                <w:sz w:val="20"/>
              </w:rPr>
              <w:t>Hold the affected gate; record scope, justification, compensating controls, owner, expiry and approving authority</w:t>
            </w:r>
          </w:p>
        </w:tc>
      </w:tr>
      <w:tr>
        <w:trPr>
          <w:cantSplit/>
        </w:trPr>
        <w:tc>
          <w:tcPr>
            <w:tcW w:type="dxa" w:w="2333"/>
            <w:vAlign w:val="center"/>
          </w:tcPr>
          <w:p>
            <w:pPr>
              <w:keepNext w:val="0"/>
              <w:widowControl w:val="0"/>
              <w:spacing w:after="0" w:before="0" w:line="250" w:lineRule="auto"/>
            </w:pPr>
            <w:r>
              <w:rPr>
                <w:b w:val="0"/>
                <w:i w:val="0"/>
                <w:sz w:val="20"/>
              </w:rPr>
              <w:t>Suspected compromise, unapproved artifact change, or exposed/revoked signing key</w:t>
            </w:r>
          </w:p>
        </w:tc>
        <w:tc>
          <w:tcPr>
            <w:tcW w:type="dxa" w:w="7819"/>
            <w:vAlign w:val="center"/>
          </w:tcPr>
          <w:p>
            <w:pPr>
              <w:keepNext w:val="0"/>
              <w:widowControl w:val="0"/>
              <w:spacing w:after="0" w:before="0" w:line="250" w:lineRule="auto"/>
            </w:pPr>
            <w:r>
              <w:rPr>
                <w:b w:val="0"/>
                <w:i w:val="0"/>
                <w:sz w:val="20"/>
              </w:rPr>
              <w:t>Follow the site's incident process, hold affected releases and coordinate withdrawal, key handling and recovery</w:t>
            </w:r>
          </w:p>
        </w:tc>
      </w:tr>
      <w:tr>
        <w:trPr>
          <w:cantSplit/>
        </w:trPr>
        <w:tc>
          <w:tcPr>
            <w:tcW w:type="dxa" w:w="2333"/>
            <w:vAlign w:val="center"/>
          </w:tcPr>
          <w:p>
            <w:pPr>
              <w:keepNext w:val="0"/>
              <w:widowControl w:val="0"/>
              <w:spacing w:after="0" w:before="0" w:line="250" w:lineRule="auto"/>
            </w:pPr>
            <w:r>
              <w:rPr>
                <w:b w:val="0"/>
                <w:i w:val="0"/>
                <w:sz w:val="20"/>
              </w:rPr>
              <w:t>Unclear applicability or a proposed control change with useful security input</w:t>
            </w:r>
          </w:p>
        </w:tc>
        <w:tc>
          <w:tcPr>
            <w:tcW w:type="dxa" w:w="7819"/>
            <w:vAlign w:val="center"/>
          </w:tcPr>
          <w:p>
            <w:pPr>
              <w:keepNext w:val="0"/>
              <w:widowControl w:val="0"/>
              <w:spacing w:after="0" w:before="0" w:line="250" w:lineRule="auto"/>
            </w:pPr>
            <w:r>
              <w:rPr>
                <w:b w:val="0"/>
                <w:i w:val="0"/>
                <w:sz w:val="20"/>
              </w:rPr>
              <w:t>Request a focused interpretation/recommendation and retain the resulting operating-boundary update</w:t>
            </w:r>
          </w:p>
        </w:tc>
      </w:tr>
    </w:tbl>
    <w:p>
      <w:pPr>
        <w:spacing w:after="0" w:before="0" w:line="80" w:lineRule="exact"/>
      </w:pPr>
      <w:r>
        <w:rPr>
          <w:sz w:val="4"/>
        </w:rPr>
      </w:r>
    </w:p>
    <w:p>
      <w:pPr/>
      <w:r>
        <w:rPr>
          <w:b w:val="0"/>
          <w:i w:val="0"/>
        </w:rPr>
        <w:t>Security review is not a routine per-package approval gate. The local process identifies the responsible reviewer and any required approval authority. A discussion does not itself approve an exception. Record the decision or keep the affected release held.</w:t>
      </w:r>
    </w:p>
    <w:p>
      <w:pPr/>
      <w:r>
        <w:rPr>
          <w:b w:val="0"/>
          <w:i w:val="0"/>
        </w:rPr>
        <w:t>For an operating-system or platform-runtime change, compare the previous and current compiler, MPI, fabric, launcher, GPU, and external-package identities. Revalidate when identities and ABIs remain unchanged. Rebuild when a required provider, prefix, ABI, or supported pairing changes. Hold publication when the compatibility result is unknown.</w:t>
      </w:r>
    </w:p>
    <w:p>
      <w:pPr>
        <w:pStyle w:val="Heading1"/>
      </w:pPr>
      <w:r>
        <w:rPr>
          <w:b w:val="0"/>
          <w:i w:val="0"/>
        </w:rPr>
        <w:t>13. Retention, recovery, and rollback</w:t>
      </w:r>
    </w:p>
    <w:p>
      <w:pPr/>
      <w:r>
        <w:rPr>
          <w:b w:val="0"/>
          <w:i w:val="0"/>
        </w:rPr>
        <w:t>Set and record the application's retention and user-notification periods. Keep at least the current accepted release and one working previous release when storage permits it. Do not remove a cache object while a retained lockfile refers to its hash.</w:t>
      </w:r>
    </w:p>
    <w:p>
      <w:pPr/>
      <w:r>
        <w:rPr>
          <w:b w:val="0"/>
          <w:i w:val="0"/>
        </w:rPr>
        <w:t>Resume an interrupted release only when its inputs and hashes are unchanged and the failure was operational. Create a new release when a build-defining input or hash changes.</w:t>
      </w:r>
    </w:p>
    <w:p>
      <w:pPr/>
      <w:r>
        <w:rPr>
          <w:b w:val="0"/>
          <w:i w:val="0"/>
        </w:rPr>
        <w:t>Rollback changes the supported module default or release pointer to a previous accepted release. It does not modify either release.</w:t>
      </w:r>
    </w:p>
    <w:p>
      <w:pPr>
        <w:pStyle w:val="Heading1"/>
      </w:pPr>
      <w:r>
        <w:rPr>
          <w:b w:val="0"/>
          <w:i w:val="0"/>
        </w:rPr>
        <w:t>14. Required release record</w:t>
      </w:r>
    </w:p>
    <w:p>
      <w:pPr/>
      <w:r>
        <w:rPr>
          <w:b w:val="0"/>
          <w:i w:val="0"/>
        </w:rPr>
        <w:t>Retain:</w:t>
      </w:r>
    </w:p>
    <w:p>
      <w:pPr>
        <w:pStyle w:val="ListParagraph"/>
        <w:numPr>
          <w:ilvl w:val="0"/>
          <w:numId w:val="31"/>
        </w:numPr>
        <w:ind w:left="360"/>
      </w:pPr>
      <w:r>
        <w:rPr>
          <w:b w:val="0"/>
          <w:i w:val="0"/>
        </w:rPr>
        <w:t>system, resolved catalog release path, and catalog approval record;</w:t>
      </w:r>
    </w:p>
    <w:p>
      <w:pPr>
        <w:pStyle w:val="ListParagraph"/>
        <w:numPr>
          <w:ilvl w:val="0"/>
          <w:numId w:val="31"/>
        </w:numPr>
        <w:ind w:left="360"/>
      </w:pPr>
      <w:r>
        <w:rPr>
          <w:b w:val="0"/>
          <w:i w:val="0"/>
        </w:rPr>
        <w:t>environment source, selected scope paths, and effective scope listing;</w:t>
      </w:r>
    </w:p>
    <w:p>
      <w:pPr>
        <w:pStyle w:val="ListParagraph"/>
        <w:numPr>
          <w:ilvl w:val="0"/>
          <w:numId w:val="31"/>
        </w:numPr>
        <w:ind w:left="360"/>
      </w:pPr>
      <w:r>
        <w:rPr>
          <w:b w:val="0"/>
          <w:i w:val="0"/>
        </w:rPr>
        <w:t>exact Spack runtime and every package-repository source, commit, and search order;</w:t>
      </w:r>
    </w:p>
    <w:p>
      <w:pPr>
        <w:pStyle w:val="ListParagraph"/>
        <w:numPr>
          <w:ilvl w:val="0"/>
          <w:numId w:val="31"/>
        </w:numPr>
        <w:ind w:left="360"/>
      </w:pPr>
      <w:r>
        <w:rPr>
          <w:b w:val="0"/>
          <w:i w:val="0"/>
        </w:rPr>
        <w:t>when local corrections are used: complete recipe/patch/helper files, local repository revision or digest, rationale, affected conditions, upstream reference or disposition, and before/after graph and validation evidence;</w:t>
      </w:r>
    </w:p>
    <w:p>
      <w:pPr>
        <w:pStyle w:val="ListParagraph"/>
        <w:numPr>
          <w:ilvl w:val="0"/>
          <w:numId w:val="31"/>
        </w:numPr>
        <w:ind w:left="360"/>
      </w:pPr>
      <w:r>
        <w:rPr>
          <w:b w:val="0"/>
          <w:i w:val="0"/>
        </w:rPr>
        <w:t>deployment record and the install, source-cache, miscellaneous-cache, build-cache, view, module, and build-stage locations;</w:t>
      </w:r>
    </w:p>
    <w:p>
      <w:pPr>
        <w:pStyle w:val="ListParagraph"/>
        <w:numPr>
          <w:ilvl w:val="0"/>
          <w:numId w:val="31"/>
        </w:numPr>
        <w:ind w:left="360"/>
      </w:pPr>
      <w:r>
        <w:rPr>
          <w:b w:val="0"/>
          <w:i w:val="0"/>
        </w:rPr>
        <w:t xml:space="preserve">approved </w:t>
      </w:r>
      <w:r>
        <w:rPr>
          <w:rFonts w:ascii="Courier New" w:hAnsi="Courier New"/>
          <w:b w:val="0"/>
          <w:i w:val="0"/>
          <w:sz w:val="18"/>
        </w:rPr>
        <w:t>spack.lock</w:t>
      </w:r>
      <w:r>
        <w:rPr>
          <w:b w:val="0"/>
          <w:i w:val="0"/>
        </w:rPr>
        <w:t xml:space="preserve"> and concrete hashes;</w:t>
      </w:r>
    </w:p>
    <w:p>
      <w:pPr>
        <w:pStyle w:val="ListParagraph"/>
        <w:numPr>
          <w:ilvl w:val="0"/>
          <w:numId w:val="31"/>
        </w:numPr>
        <w:ind w:left="360"/>
      </w:pPr>
      <w:r>
        <w:rPr>
          <w:b w:val="0"/>
          <w:i w:val="0"/>
        </w:rPr>
        <w:t>source/mirror inventory, baseline and recipe-delta assessment, manual-review selection, build-cache signing identity, and actual scan results/dispositions;</w:t>
      </w:r>
    </w:p>
    <w:p>
      <w:pPr>
        <w:pStyle w:val="ListParagraph"/>
        <w:numPr>
          <w:ilvl w:val="0"/>
          <w:numId w:val="31"/>
        </w:numPr>
        <w:ind w:left="360"/>
      </w:pPr>
      <w:r>
        <w:rPr>
          <w:b w:val="0"/>
          <w:i w:val="0"/>
        </w:rPr>
        <w:t>prerequisite/bootstrap identity, approved source/trust configuration, enforced network-control evidence and configuration digests;</w:t>
      </w:r>
    </w:p>
    <w:p>
      <w:pPr>
        <w:pStyle w:val="ListParagraph"/>
        <w:numPr>
          <w:ilvl w:val="0"/>
          <w:numId w:val="31"/>
        </w:numPr>
        <w:ind w:left="360"/>
      </w:pPr>
      <w:r>
        <w:rPr>
          <w:b w:val="0"/>
          <w:i w:val="0"/>
        </w:rPr>
        <w:t>when transferred: authorized route/reference, complete bundle manifest, authenticated origin digest, received digest and import results, destination configuration delta, compatibility assessment and source-build/binary mode;</w:t>
      </w:r>
    </w:p>
    <w:p>
      <w:pPr>
        <w:pStyle w:val="ListParagraph"/>
        <w:numPr>
          <w:ilvl w:val="0"/>
          <w:numId w:val="31"/>
        </w:numPr>
        <w:ind w:left="360"/>
      </w:pPr>
      <w:r>
        <w:rPr>
          <w:b w:val="0"/>
          <w:i w:val="0"/>
        </w:rPr>
        <w:t>build, runtime, view, module, and permission test results;</w:t>
      </w:r>
    </w:p>
    <w:p>
      <w:pPr>
        <w:pStyle w:val="ListParagraph"/>
        <w:numPr>
          <w:ilvl w:val="0"/>
          <w:numId w:val="31"/>
        </w:numPr>
        <w:ind w:left="360"/>
      </w:pPr>
      <w:r>
        <w:rPr>
          <w:b w:val="0"/>
          <w:i w:val="0"/>
        </w:rPr>
        <w:t>package inventory, SBOM locations, and external inventory;</w:t>
      </w:r>
    </w:p>
    <w:p>
      <w:pPr>
        <w:pStyle w:val="ListParagraph"/>
        <w:numPr>
          <w:ilvl w:val="0"/>
          <w:numId w:val="31"/>
        </w:numPr>
        <w:ind w:left="360"/>
      </w:pPr>
      <w:r>
        <w:rPr>
          <w:b w:val="0"/>
          <w:i w:val="0"/>
        </w:rPr>
        <w:t>change or security assessment when applicable;</w:t>
      </w:r>
    </w:p>
    <w:p>
      <w:pPr>
        <w:pStyle w:val="ListParagraph"/>
        <w:numPr>
          <w:ilvl w:val="0"/>
          <w:numId w:val="31"/>
        </w:numPr>
        <w:ind w:left="360"/>
      </w:pPr>
      <w:r>
        <w:rPr>
          <w:b w:val="0"/>
          <w:i w:val="0"/>
        </w:rPr>
        <w:t>builder, independent reviewer, release authority, review scope, candidate and evidence identities, disposition and dates; and</w:t>
      </w:r>
    </w:p>
    <w:p>
      <w:pPr>
        <w:pStyle w:val="ListParagraph"/>
        <w:numPr>
          <w:ilvl w:val="0"/>
          <w:numId w:val="31"/>
        </w:numPr>
        <w:ind w:left="360"/>
      </w:pPr>
      <w:r>
        <w:rPr>
          <w:b w:val="0"/>
          <w:i w:val="0"/>
        </w:rPr>
        <w:t>user instructions and support contact.</w:t>
      </w:r>
    </w:p>
    <w:p>
      <w:pPr>
        <w:pStyle w:val="Heading1"/>
      </w:pPr>
      <w:r>
        <w:rPr>
          <w:b w:val="0"/>
          <w:i w:val="0"/>
        </w:rPr>
        <w:t>Appendix A. Terms</w:t>
      </w:r>
    </w:p>
    <w:p>
      <w:pPr/>
      <w:r>
        <w:rPr>
          <w:b/>
          <w:i w:val="0"/>
        </w:rPr>
        <w:t>Static platform catalog</w:t>
      </w:r>
      <w:r>
        <w:rPr>
          <w:b w:val="0"/>
          <w:i w:val="0"/>
        </w:rPr>
        <w:t xml:space="preserve"> : Versioned, include-ready native Spack configuration for one system, with a readable inventory, supported selections, platform evidence, and approval record as defined in Section 6.1.</w:t>
      </w:r>
    </w:p>
    <w:p>
      <w:pPr/>
      <w:r>
        <w:rPr>
          <w:b/>
          <w:i w:val="0"/>
        </w:rPr>
        <w:t>Scope</w:t>
      </w:r>
      <w:r>
        <w:rPr>
          <w:b w:val="0"/>
          <w:i w:val="0"/>
        </w:rPr>
        <w:t xml:space="preserve"> : A directory containing valid Spack configuration YAML selected through an environment's </w:t>
      </w:r>
      <w:r>
        <w:rPr>
          <w:rFonts w:ascii="Courier New" w:hAnsi="Courier New"/>
          <w:b w:val="0"/>
          <w:i w:val="0"/>
          <w:sz w:val="18"/>
        </w:rPr>
        <w:t>include::</w:t>
      </w:r>
      <w:r>
        <w:rPr>
          <w:b w:val="0"/>
          <w:i w:val="0"/>
        </w:rPr>
        <w:t xml:space="preserve"> list.</w:t>
      </w:r>
    </w:p>
    <w:p>
      <w:pPr/>
      <w:r>
        <w:rPr>
          <w:b/>
          <w:i w:val="0"/>
        </w:rPr>
        <w:t>Environment</w:t>
      </w:r>
      <w:r>
        <w:rPr>
          <w:b w:val="0"/>
          <w:i w:val="0"/>
        </w:rPr>
        <w:t xml:space="preserve"> : A </w:t>
      </w:r>
      <w:r>
        <w:rPr>
          <w:rFonts w:ascii="Courier New" w:hAnsi="Courier New"/>
          <w:b w:val="0"/>
          <w:i w:val="0"/>
          <w:sz w:val="18"/>
        </w:rPr>
        <w:t>spack.yaml</w:t>
      </w:r>
      <w:r>
        <w:rPr>
          <w:b w:val="0"/>
          <w:i w:val="0"/>
        </w:rPr>
        <w:t xml:space="preserve">, its selected configuration, and the concrete package graph recorded in </w:t>
      </w:r>
      <w:r>
        <w:rPr>
          <w:rFonts w:ascii="Courier New" w:hAnsi="Courier New"/>
          <w:b w:val="0"/>
          <w:i w:val="0"/>
          <w:sz w:val="18"/>
        </w:rPr>
        <w:t>spack.lock</w:t>
      </w:r>
      <w:r>
        <w:rPr>
          <w:b w:val="0"/>
          <w:i w:val="0"/>
        </w:rPr>
        <w:t>.</w:t>
      </w:r>
    </w:p>
    <w:p>
      <w:pPr/>
      <w:r>
        <w:rPr>
          <w:b/>
          <w:i w:val="0"/>
        </w:rPr>
        <w:t>Toolchain</w:t>
      </w:r>
      <w:r>
        <w:rPr>
          <w:b w:val="0"/>
          <w:i w:val="0"/>
        </w:rPr>
        <w:t xml:space="preserve"> : An explicit compiler or a supported compiler and MPI pairing, with a compatible GPU runtime when required.</w:t>
      </w:r>
    </w:p>
    <w:p>
      <w:pPr/>
      <w:r>
        <w:rPr>
          <w:b/>
          <w:i w:val="0"/>
        </w:rPr>
        <w:t>Lockfile</w:t>
      </w:r>
      <w:r>
        <w:rPr>
          <w:b w:val="0"/>
          <w:i w:val="0"/>
        </w:rPr>
        <w:t xml:space="preserve"> : The exact package graph generated by Spack in </w:t>
      </w:r>
      <w:r>
        <w:rPr>
          <w:rFonts w:ascii="Courier New" w:hAnsi="Courier New"/>
          <w:b w:val="0"/>
          <w:i w:val="0"/>
          <w:sz w:val="18"/>
        </w:rPr>
        <w:t>spack.lock</w:t>
      </w:r>
      <w:r>
        <w:rPr>
          <w:b w:val="0"/>
          <w:i w:val="0"/>
        </w:rPr>
        <w:t>.</w:t>
      </w:r>
    </w:p>
    <w:p>
      <w:pPr/>
      <w:r>
        <w:rPr>
          <w:b/>
          <w:i w:val="0"/>
        </w:rPr>
        <w:t>Source mirror</w:t>
      </w:r>
      <w:r>
        <w:rPr>
          <w:b w:val="0"/>
          <w:i w:val="0"/>
        </w:rPr>
        <w:t xml:space="preserve"> : A retained collection of source archives, resources, and patches from which Spack can fetch reviewed build inputs. A source mirror is distinct from both a source cache used during a build and a binary build cache.</w:t>
      </w:r>
    </w:p>
    <w:p>
      <w:pPr/>
      <w:r>
        <w:rPr>
          <w:b/>
          <w:i w:val="0"/>
        </w:rPr>
        <w:t>Build cache</w:t>
      </w:r>
      <w:r>
        <w:rPr>
          <w:b w:val="0"/>
          <w:i w:val="0"/>
        </w:rPr>
        <w:t xml:space="preserve"> : A repository of concrete Spack binaries and metadata.</w:t>
      </w:r>
    </w:p>
    <w:p>
      <w:pPr/>
      <w:r>
        <w:rPr>
          <w:b/>
          <w:i w:val="0"/>
        </w:rPr>
        <w:t>Bootstrap prerequisites</w:t>
      </w:r>
      <w:r>
        <w:rPr>
          <w:b w:val="0"/>
          <w:i w:val="0"/>
        </w:rPr>
        <w:t xml:space="preserve"> : Tools needed to run Spack or solve/install an environment, such as the approved Python and solver. Their source and trust configuration is admitted separately under Section 4.5.</w:t>
      </w:r>
    </w:p>
    <w:p>
      <w:pPr/>
      <w:r>
        <w:rPr>
          <w:b/>
          <w:i w:val="0"/>
        </w:rPr>
        <w:t>External package</w:t>
      </w:r>
      <w:r>
        <w:rPr>
          <w:b w:val="0"/>
          <w:i w:val="0"/>
        </w:rPr>
        <w:t xml:space="preserve"> : A component supplied outside the managed Spack installation, with its version, prefix or modules, provider identity, and compatibility separately recorded and accepted.</w:t>
      </w:r>
    </w:p>
    <w:p>
      <w:pPr/>
      <w:r>
        <w:rPr>
          <w:b/>
          <w:i w:val="0"/>
        </w:rPr>
        <w:t>Release record</w:t>
      </w:r>
      <w:r>
        <w:rPr>
          <w:b w:val="0"/>
          <w:i w:val="0"/>
        </w:rPr>
        <w:t xml:space="preserve"> : The retained inputs, evidence, exact accepted candidate identities, and authenticated review and publication decisions required by Section 14. It may be a set of controlled files or an auditable record system; no particular metadata schema is required.</w:t>
      </w:r>
    </w:p>
    <w:p>
      <w:pPr/>
      <w:r>
        <w:rPr>
          <w:b/>
          <w:i w:val="0"/>
        </w:rPr>
        <w:t>View</w:t>
      </w:r>
      <w:r>
        <w:rPr>
          <w:b w:val="0"/>
          <w:i w:val="0"/>
        </w:rPr>
        <w:t xml:space="preserve"> : A combined filesystem presentation of selected installed packages.</w:t>
      </w:r>
    </w:p>
    <w:p>
      <w:pPr/>
      <w:r>
        <w:rPr>
          <w:b/>
          <w:i w:val="0"/>
        </w:rPr>
        <w:t>Module</w:t>
      </w:r>
      <w:r>
        <w:rPr>
          <w:b w:val="0"/>
          <w:i w:val="0"/>
        </w:rPr>
        <w:t xml:space="preserve"> : A user-facing environment file loaded through the site module command.</w:t>
      </w:r>
    </w:p>
    <w:p>
      <w:pPr/>
      <w:r>
        <w:rPr>
          <w:b/>
          <w:i w:val="0"/>
        </w:rPr>
        <w:t>Published release</w:t>
      </w:r>
      <w:r>
        <w:rPr>
          <w:b w:val="0"/>
          <w:i w:val="0"/>
        </w:rPr>
        <w:t xml:space="preserve"> : An accepted installation, views, modules, and release record exposed to users.</w:t>
      </w:r>
    </w:p>
    <w:sectPr w:rsidR="00FC693F" w:rsidRPr="0006063C" w:rsidSect="00034616">
      <w:footerReference w:type="default" r:id="rId9"/>
      <w:pgSz w:w="12240" w:h="15840"/>
      <w:pgMar w:top="936" w:right="1044" w:bottom="936" w:left="1044" w:header="720"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66666"/>
        <w:sz w:val="18"/>
      </w:rPr>
      <w:t xml:space="preserve">Spack Shared Procedure  |  </w:t>
    </w: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decimal"/>
      <w:lvlText w:val="%1."/>
      <w:lvlJc w:val="left"/>
      <w:pPr>
        <w:tabs>
          <w:tab w:val="num" w:pos="360"/>
        </w:tabs>
        <w:ind w:left="360" w:hanging="300"/>
      </w:pPr>
    </w:lvl>
  </w:abstractNum>
  <w:num w:numId="10">
    <w:abstractNumId w:val="9"/>
  </w:num>
  <w:abstractNum w:abstractNumId="10">
    <w:multiLevelType w:val="singleLevel"/>
    <w:lvl w:ilvl="0">
      <w:start w:val="1"/>
      <w:numFmt w:val="bullet"/>
      <w:lvlText w:val="•"/>
      <w:lvlJc w:val="left"/>
      <w:pPr>
        <w:tabs>
          <w:tab w:val="num" w:pos="360"/>
        </w:tabs>
        <w:ind w:left="360" w:hanging="300"/>
      </w:pPr>
    </w:lvl>
  </w:abstractNum>
  <w:num w:numId="11">
    <w:abstractNumId w:val="10"/>
  </w:num>
  <w:abstractNum w:abstractNumId="11">
    <w:multiLevelType w:val="singleLevel"/>
    <w:lvl w:ilvl="0">
      <w:start w:val="1"/>
      <w:numFmt w:val="bullet"/>
      <w:lvlText w:val="•"/>
      <w:lvlJc w:val="left"/>
      <w:pPr>
        <w:tabs>
          <w:tab w:val="num" w:pos="360"/>
        </w:tabs>
        <w:ind w:left="360" w:hanging="300"/>
      </w:pPr>
    </w:lvl>
  </w:abstractNum>
  <w:num w:numId="12">
    <w:abstractNumId w:val="11"/>
  </w:num>
  <w:abstractNum w:abstractNumId="12">
    <w:multiLevelType w:val="singleLevel"/>
    <w:lvl w:ilvl="0">
      <w:start w:val="1"/>
      <w:numFmt w:val="bullet"/>
      <w:lvlText w:val="•"/>
      <w:lvlJc w:val="left"/>
      <w:pPr>
        <w:tabs>
          <w:tab w:val="num" w:pos="360"/>
        </w:tabs>
        <w:ind w:left="360" w:hanging="300"/>
      </w:pPr>
    </w:lvl>
  </w:abstractNum>
  <w:num w:numId="13">
    <w:abstractNumId w:val="12"/>
  </w:num>
  <w:abstractNum w:abstractNumId="13">
    <w:multiLevelType w:val="singleLevel"/>
    <w:lvl w:ilvl="0">
      <w:start w:val="1"/>
      <w:numFmt w:val="decimal"/>
      <w:lvlText w:val="%1."/>
      <w:lvlJc w:val="left"/>
      <w:pPr>
        <w:tabs>
          <w:tab w:val="num" w:pos="360"/>
        </w:tabs>
        <w:ind w:left="360" w:hanging="300"/>
      </w:pPr>
    </w:lvl>
  </w:abstractNum>
  <w:num w:numId="14">
    <w:abstractNumId w:val="13"/>
  </w:num>
  <w:abstractNum w:abstractNumId="14">
    <w:multiLevelType w:val="singleLevel"/>
    <w:lvl w:ilvl="0">
      <w:start w:val="1"/>
      <w:numFmt w:val="decimal"/>
      <w:lvlText w:val="%1."/>
      <w:lvlJc w:val="left"/>
      <w:pPr>
        <w:tabs>
          <w:tab w:val="num" w:pos="360"/>
        </w:tabs>
        <w:ind w:left="360" w:hanging="300"/>
      </w:pPr>
    </w:lvl>
  </w:abstractNum>
  <w:num w:numId="15">
    <w:abstractNumId w:val="14"/>
  </w:num>
  <w:abstractNum w:abstractNumId="15">
    <w:multiLevelType w:val="singleLevel"/>
    <w:lvl w:ilvl="0">
      <w:start w:val="1"/>
      <w:numFmt w:val="bullet"/>
      <w:lvlText w:val="•"/>
      <w:lvlJc w:val="left"/>
      <w:pPr>
        <w:tabs>
          <w:tab w:val="num" w:pos="360"/>
        </w:tabs>
        <w:ind w:left="360" w:hanging="300"/>
      </w:pPr>
    </w:lvl>
  </w:abstractNum>
  <w:num w:numId="16">
    <w:abstractNumId w:val="15"/>
  </w:num>
  <w:abstractNum w:abstractNumId="16">
    <w:multiLevelType w:val="singleLevel"/>
    <w:lvl w:ilvl="0">
      <w:start w:val="1"/>
      <w:numFmt w:val="bullet"/>
      <w:lvlText w:val="•"/>
      <w:lvlJc w:val="left"/>
      <w:pPr>
        <w:tabs>
          <w:tab w:val="num" w:pos="360"/>
        </w:tabs>
        <w:ind w:left="360" w:hanging="300"/>
      </w:pPr>
    </w:lvl>
  </w:abstractNum>
  <w:num w:numId="17">
    <w:abstractNumId w:val="16"/>
  </w:num>
  <w:abstractNum w:abstractNumId="17">
    <w:multiLevelType w:val="singleLevel"/>
    <w:lvl w:ilvl="0">
      <w:start w:val="1"/>
      <w:numFmt w:val="decimal"/>
      <w:lvlText w:val="%1."/>
      <w:lvlJc w:val="left"/>
      <w:pPr>
        <w:tabs>
          <w:tab w:val="num" w:pos="360"/>
        </w:tabs>
        <w:ind w:left="360" w:hanging="300"/>
      </w:pPr>
    </w:lvl>
  </w:abstractNum>
  <w:num w:numId="18">
    <w:abstractNumId w:val="17"/>
  </w:num>
  <w:abstractNum w:abstractNumId="18">
    <w:multiLevelType w:val="singleLevel"/>
    <w:lvl w:ilvl="0">
      <w:start w:val="1"/>
      <w:numFmt w:val="decimal"/>
      <w:lvlText w:val="%1."/>
      <w:lvlJc w:val="left"/>
      <w:pPr>
        <w:tabs>
          <w:tab w:val="num" w:pos="360"/>
        </w:tabs>
        <w:ind w:left="360" w:hanging="300"/>
      </w:pPr>
    </w:lvl>
  </w:abstractNum>
  <w:num w:numId="19">
    <w:abstractNumId w:val="18"/>
  </w:num>
  <w:abstractNum w:abstractNumId="19">
    <w:multiLevelType w:val="singleLevel"/>
    <w:lvl w:ilvl="0">
      <w:start w:val="5"/>
      <w:numFmt w:val="decimal"/>
      <w:lvlText w:val="%1."/>
      <w:lvlJc w:val="left"/>
      <w:pPr>
        <w:tabs>
          <w:tab w:val="num" w:pos="360"/>
        </w:tabs>
        <w:ind w:left="360" w:hanging="300"/>
      </w:pPr>
    </w:lvl>
  </w:abstractNum>
  <w:num w:numId="20">
    <w:abstractNumId w:val="19"/>
  </w:num>
  <w:abstractNum w:abstractNumId="20">
    <w:multiLevelType w:val="singleLevel"/>
    <w:lvl w:ilvl="0">
      <w:start w:val="1"/>
      <w:numFmt w:val="decimal"/>
      <w:lvlText w:val="%1."/>
      <w:lvlJc w:val="left"/>
      <w:pPr>
        <w:tabs>
          <w:tab w:val="num" w:pos="360"/>
        </w:tabs>
        <w:ind w:left="360" w:hanging="300"/>
      </w:pPr>
    </w:lvl>
  </w:abstractNum>
  <w:num w:numId="21">
    <w:abstractNumId w:val="20"/>
  </w:num>
  <w:abstractNum w:abstractNumId="21">
    <w:multiLevelType w:val="singleLevel"/>
    <w:lvl w:ilvl="0">
      <w:start w:val="2"/>
      <w:numFmt w:val="decimal"/>
      <w:lvlText w:val="%1."/>
      <w:lvlJc w:val="left"/>
      <w:pPr>
        <w:tabs>
          <w:tab w:val="num" w:pos="360"/>
        </w:tabs>
        <w:ind w:left="360" w:hanging="300"/>
      </w:pPr>
    </w:lvl>
  </w:abstractNum>
  <w:num w:numId="22">
    <w:abstractNumId w:val="21"/>
  </w:num>
  <w:abstractNum w:abstractNumId="22">
    <w:multiLevelType w:val="singleLevel"/>
    <w:lvl w:ilvl="0">
      <w:start w:val="4"/>
      <w:numFmt w:val="decimal"/>
      <w:lvlText w:val="%1."/>
      <w:lvlJc w:val="left"/>
      <w:pPr>
        <w:tabs>
          <w:tab w:val="num" w:pos="360"/>
        </w:tabs>
        <w:ind w:left="360" w:hanging="300"/>
      </w:pPr>
    </w:lvl>
  </w:abstractNum>
  <w:num w:numId="23">
    <w:abstractNumId w:val="22"/>
  </w:num>
  <w:abstractNum w:abstractNumId="23">
    <w:multiLevelType w:val="singleLevel"/>
    <w:lvl w:ilvl="0">
      <w:start w:val="6"/>
      <w:numFmt w:val="decimal"/>
      <w:lvlText w:val="%1."/>
      <w:lvlJc w:val="left"/>
      <w:pPr>
        <w:tabs>
          <w:tab w:val="num" w:pos="360"/>
        </w:tabs>
        <w:ind w:left="360" w:hanging="300"/>
      </w:pPr>
    </w:lvl>
  </w:abstractNum>
  <w:num w:numId="24">
    <w:abstractNumId w:val="23"/>
  </w:num>
  <w:abstractNum w:abstractNumId="24">
    <w:multiLevelType w:val="singleLevel"/>
    <w:lvl w:ilvl="0">
      <w:start w:val="1"/>
      <w:numFmt w:val="bullet"/>
      <w:lvlText w:val="•"/>
      <w:lvlJc w:val="left"/>
      <w:pPr>
        <w:tabs>
          <w:tab w:val="num" w:pos="360"/>
        </w:tabs>
        <w:ind w:left="360" w:hanging="300"/>
      </w:pPr>
    </w:lvl>
  </w:abstractNum>
  <w:num w:numId="25">
    <w:abstractNumId w:val="24"/>
  </w:num>
  <w:abstractNum w:abstractNumId="25">
    <w:multiLevelType w:val="singleLevel"/>
    <w:lvl w:ilvl="0">
      <w:start w:val="1"/>
      <w:numFmt w:val="decimal"/>
      <w:lvlText w:val="%1."/>
      <w:lvlJc w:val="left"/>
      <w:pPr>
        <w:tabs>
          <w:tab w:val="num" w:pos="360"/>
        </w:tabs>
        <w:ind w:left="360" w:hanging="300"/>
      </w:pPr>
    </w:lvl>
  </w:abstractNum>
  <w:num w:numId="26">
    <w:abstractNumId w:val="25"/>
  </w:num>
  <w:abstractNum w:abstractNumId="26">
    <w:multiLevelType w:val="singleLevel"/>
    <w:lvl w:ilvl="0">
      <w:start w:val="5"/>
      <w:numFmt w:val="decimal"/>
      <w:lvlText w:val="%1."/>
      <w:lvlJc w:val="left"/>
      <w:pPr>
        <w:tabs>
          <w:tab w:val="num" w:pos="360"/>
        </w:tabs>
        <w:ind w:left="360" w:hanging="300"/>
      </w:pPr>
    </w:lvl>
  </w:abstractNum>
  <w:num w:numId="27">
    <w:abstractNumId w:val="26"/>
  </w:num>
  <w:abstractNum w:abstractNumId="27">
    <w:multiLevelType w:val="singleLevel"/>
    <w:lvl w:ilvl="0">
      <w:start w:val="6"/>
      <w:numFmt w:val="decimal"/>
      <w:lvlText w:val="%1."/>
      <w:lvlJc w:val="left"/>
      <w:pPr>
        <w:tabs>
          <w:tab w:val="num" w:pos="360"/>
        </w:tabs>
        <w:ind w:left="360" w:hanging="300"/>
      </w:pPr>
    </w:lvl>
  </w:abstractNum>
  <w:num w:numId="28">
    <w:abstractNumId w:val="27"/>
  </w:num>
  <w:abstractNum w:abstractNumId="28">
    <w:multiLevelType w:val="singleLevel"/>
    <w:lvl w:ilvl="0">
      <w:start w:val="1"/>
      <w:numFmt w:val="decimal"/>
      <w:lvlText w:val="%1."/>
      <w:lvlJc w:val="left"/>
      <w:pPr>
        <w:tabs>
          <w:tab w:val="num" w:pos="360"/>
        </w:tabs>
        <w:ind w:left="360" w:hanging="300"/>
      </w:pPr>
    </w:lvl>
  </w:abstractNum>
  <w:num w:numId="29">
    <w:abstractNumId w:val="28"/>
  </w:num>
  <w:abstractNum w:abstractNumId="29">
    <w:multiLevelType w:val="singleLevel"/>
    <w:lvl w:ilvl="0">
      <w:start w:val="1"/>
      <w:numFmt w:val="decimal"/>
      <w:lvlText w:val="%1."/>
      <w:lvlJc w:val="left"/>
      <w:pPr>
        <w:tabs>
          <w:tab w:val="num" w:pos="360"/>
        </w:tabs>
        <w:ind w:left="360" w:hanging="300"/>
      </w:pPr>
    </w:lvl>
  </w:abstractNum>
  <w:num w:numId="30">
    <w:abstractNumId w:val="29"/>
  </w:num>
  <w:abstractNum w:abstractNumId="30">
    <w:multiLevelType w:val="singleLevel"/>
    <w:lvl w:ilvl="0">
      <w:start w:val="1"/>
      <w:numFmt w:val="bullet"/>
      <w:lvlText w:val="•"/>
      <w:lvlJc w:val="left"/>
      <w:pPr>
        <w:tabs>
          <w:tab w:val="num" w:pos="360"/>
        </w:tabs>
        <w:ind w:left="360" w:hanging="300"/>
      </w:pPr>
    </w:lvl>
  </w:abstractNum>
  <w:num w:numId="31">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59"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20" w:after="120"/>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180" w:after="10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keepLines/>
      <w:spacing w:after="280" w:line="240" w:lineRule="auto" w:before="0"/>
      <w:contextualSpacing/>
    </w:pPr>
    <w:rPr>
      <w:rFonts w:asciiTheme="majorHAnsi" w:eastAsiaTheme="majorEastAsia" w:hAnsiTheme="majorHAnsi" w:cstheme="majorBidi" w:ascii="Arial" w:hAnsi="Arial"/>
      <w:b w:val="0"/>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spacing w:after="100"/>
      <w:ind w:left="720"/>
      <w:contextualSpacing/>
    </w:pPr>
    <w:rPr>
      <w:rFonts w:ascii="Arial" w:hAnsi="Arial"/>
      <w:sz w:val="22"/>
    </w:r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github.com/spack/spack/blob/v1.2.2/etc/spack/defaults/bootstrap.yaml" TargetMode="External"/><Relationship Id="rId11" Type="http://schemas.openxmlformats.org/officeDocument/2006/relationships/hyperlink" Target="https://github.com/spack/spack/blob/v1.2.2/lib/spack/spack/main.py#L460-L468" TargetMode="External"/><Relationship Id="rId12" Type="http://schemas.openxmlformats.org/officeDocument/2006/relationships/hyperlink" Target="https://github.com/spack/spack/blob/v1.2.2/lib/spack/docs/repositories.rst" TargetMode="External"/><Relationship Id="rId13" Type="http://schemas.openxmlformats.org/officeDocument/2006/relationships/hyperlink" Target="https://github.com/spack/spack/blob/v1.2.2/lib/spack/spack/cmd/common/arguments.py" TargetMode="External"/><Relationship Id="rId14" Type="http://schemas.openxmlformats.org/officeDocument/2006/relationships/hyperlink" Target="https://github.com/spack/spack/blob/v1.2.2/lib/spack/docs/mirrors.rst#L142-L195" TargetMode="External"/><Relationship Id="rId15" Type="http://schemas.openxmlformats.org/officeDocument/2006/relationships/hyperlink" Target="https://github.com/spack/spack/blob/v1.2.2/lib/spack/spack/stage.py#L669-L685" TargetMode="External"/><Relationship Id="rId16" Type="http://schemas.openxmlformats.org/officeDocument/2006/relationships/hyperlink" Target="https://github.com/spack/spack/blob/v1.2.2/lib/spack/docs/bootstrapping.rst#L148-L173" TargetMode="External"/><Relationship Id="rId17" Type="http://schemas.openxmlformats.org/officeDocument/2006/relationships/hyperlink" Target="https://github.com/spack/spack/blob/v1.2.2/lib/spack/docs/binary_caches.rst#L598-L704" TargetMode="External"/><Relationship Id="rId18" Type="http://schemas.openxmlformats.org/officeDocument/2006/relationships/hyperlink" Target="https://github.com/spack/spack/blob/v1.2.2/lib/spack/spack/hooks/sbom_generate.py" TargetMode="External"/><Relationship Id="rId19" Type="http://schemas.openxmlformats.org/officeDocument/2006/relationships/hyperlink" Target="https://github.com/spack/spack/blob/v1.2.2/lib/spack/spack/binary_distribution.py#L2163-L217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Spack Build and Publication Procedural SOP</dc:title>
  <dc:subject>Working draft for review, revision 2026-09-09</dc:subject>
  <dc:creator>Ravon Venters</dc:creator>
  <cp:keywords/>
  <dc:description/>
  <cp:lastModifiedBy>Ravon Venters</cp:lastModifiedBy>
  <cp:revision>1</cp:revision>
  <dcterms:created xsi:type="dcterms:W3CDTF">2013-12-23T23:15:00Z</dcterms:created>
  <dcterms:modified xsi:type="dcterms:W3CDTF">2013-12-23T23:15:00Z</dcterms:modified>
  <cp:category/>
</cp:coreProperties>
</file>