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CSE Spack Build and Publication SOP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Document control</w:t>
            </w:r>
          </w:p>
        </w:tc>
        <w:tc>
          <w:tcPr>
            <w:tcW w:type="dxa" w:w="7819"/>
            <w:vAlign w:val="center"/>
            <w:shd w:fill="DCE6F1"/>
          </w:tcPr>
          <w:p>
            <w:pPr>
              <w:keepNext w:val="0"/>
              <w:widowControl w:val="0"/>
              <w:spacing w:after="0" w:before="0" w:line="250" w:lineRule="auto"/>
            </w:pPr>
            <w:r>
              <w:rPr>
                <w:b/>
                <w:i w:val="0"/>
                <w:sz w:val="20"/>
              </w:rPr>
              <w:t>Value</w:t>
            </w:r>
          </w:p>
        </w:tc>
      </w:tr>
      <w:tr>
        <w:trPr>
          <w:cantSplit/>
        </w:trPr>
        <w:tc>
          <w:tcPr>
            <w:tcW w:type="dxa" w:w="2333"/>
            <w:vAlign w:val="center"/>
          </w:tcPr>
          <w:p>
            <w:pPr>
              <w:keepNext w:val="0"/>
              <w:widowControl w:val="0"/>
              <w:spacing w:after="0" w:before="0" w:line="250" w:lineRule="auto"/>
            </w:pPr>
            <w:r>
              <w:rPr>
                <w:b w:val="0"/>
                <w:i w:val="0"/>
                <w:sz w:val="20"/>
              </w:rPr>
              <w:t>Status</w:t>
            </w:r>
          </w:p>
        </w:tc>
        <w:tc>
          <w:tcPr>
            <w:tcW w:type="dxa" w:w="7819"/>
            <w:vAlign w:val="center"/>
          </w:tcPr>
          <w:p>
            <w:pPr>
              <w:keepNext w:val="0"/>
              <w:widowControl w:val="0"/>
              <w:spacing w:after="0" w:before="0" w:line="250" w:lineRule="auto"/>
            </w:pPr>
            <w:r>
              <w:rPr>
                <w:b w:val="0"/>
                <w:i w:val="0"/>
                <w:sz w:val="20"/>
              </w:rPr>
              <w:t>Working draft</w:t>
            </w:r>
          </w:p>
        </w:tc>
      </w:tr>
      <w:tr>
        <w:trPr>
          <w:cantSplit/>
        </w:trPr>
        <w:tc>
          <w:tcPr>
            <w:tcW w:type="dxa" w:w="2333"/>
            <w:vAlign w:val="center"/>
          </w:tcPr>
          <w:p>
            <w:pPr>
              <w:keepNext w:val="0"/>
              <w:widowControl w:val="0"/>
              <w:spacing w:after="0" w:before="0" w:line="250" w:lineRule="auto"/>
            </w:pPr>
            <w:r>
              <w:rPr>
                <w:b w:val="0"/>
                <w:i w:val="0"/>
                <w:sz w:val="20"/>
              </w:rPr>
              <w:t>Review revision</w:t>
            </w:r>
          </w:p>
        </w:tc>
        <w:tc>
          <w:tcPr>
            <w:tcW w:type="dxa" w:w="7819"/>
            <w:vAlign w:val="center"/>
          </w:tcPr>
          <w:p>
            <w:pPr>
              <w:keepNext w:val="0"/>
              <w:widowControl w:val="0"/>
              <w:spacing w:after="0" w:before="0" w:line="250" w:lineRule="auto"/>
            </w:pPr>
            <w:r>
              <w:rPr>
                <w:b w:val="0"/>
                <w:i w:val="0"/>
                <w:sz w:val="20"/>
              </w:rPr>
              <w:t>2026-09-09</w:t>
            </w:r>
          </w:p>
        </w:tc>
      </w:tr>
      <w:tr>
        <w:trPr>
          <w:cantSplit/>
        </w:trPr>
        <w:tc>
          <w:tcPr>
            <w:tcW w:type="dxa" w:w="2333"/>
            <w:vAlign w:val="center"/>
          </w:tcPr>
          <w:p>
            <w:pPr>
              <w:keepNext w:val="0"/>
              <w:widowControl w:val="0"/>
              <w:spacing w:after="0" w:before="0" w:line="250" w:lineRule="auto"/>
            </w:pPr>
            <w:r>
              <w:rPr>
                <w:b w:val="0"/>
                <w:i w:val="0"/>
                <w:sz w:val="20"/>
              </w:rPr>
              <w:t>Audience</w:t>
            </w:r>
          </w:p>
        </w:tc>
        <w:tc>
          <w:tcPr>
            <w:tcW w:type="dxa" w:w="7819"/>
            <w:vAlign w:val="center"/>
          </w:tcPr>
          <w:p>
            <w:pPr>
              <w:keepNext w:val="0"/>
              <w:widowControl w:val="0"/>
              <w:spacing w:after="0" w:before="0" w:line="250" w:lineRule="auto"/>
            </w:pPr>
            <w:r>
              <w:rPr>
                <w:b w:val="0"/>
                <w:i w:val="0"/>
                <w:sz w:val="20"/>
              </w:rPr>
              <w:t>CSE builders, reviewers, release authority, and supporting system and security personnel</w:t>
            </w:r>
          </w:p>
        </w:tc>
      </w:tr>
      <w:tr>
        <w:trPr>
          <w:cantSplit/>
        </w:trPr>
        <w:tc>
          <w:tcPr>
            <w:tcW w:type="dxa" w:w="2333"/>
            <w:vAlign w:val="center"/>
          </w:tcPr>
          <w:p>
            <w:pPr>
              <w:keepNext w:val="0"/>
              <w:widowControl w:val="0"/>
              <w:spacing w:after="0" w:before="0" w:line="250" w:lineRule="auto"/>
            </w:pPr>
            <w:r>
              <w:rPr>
                <w:b w:val="0"/>
                <w:i w:val="0"/>
                <w:sz w:val="20"/>
              </w:rPr>
              <w:t>Scope</w:t>
            </w:r>
          </w:p>
        </w:tc>
        <w:tc>
          <w:tcPr>
            <w:tcW w:type="dxa" w:w="7819"/>
            <w:vAlign w:val="center"/>
          </w:tcPr>
          <w:p>
            <w:pPr>
              <w:keepNext w:val="0"/>
              <w:widowControl w:val="0"/>
              <w:spacing w:after="0" w:before="0" w:line="250" w:lineRule="auto"/>
            </w:pPr>
            <w:r>
              <w:rPr>
                <w:b w:val="0"/>
                <w:i w:val="0"/>
                <w:sz w:val="20"/>
              </w:rPr>
              <w:t>CSE operating policy, supported software surfaces, security responsibilities, and release acceptance</w:t>
            </w:r>
          </w:p>
        </w:tc>
      </w:tr>
      <w:tr>
        <w:trPr>
          <w:cantSplit/>
        </w:trPr>
        <w:tc>
          <w:tcPr>
            <w:tcW w:type="dxa" w:w="2333"/>
            <w:vAlign w:val="center"/>
          </w:tcPr>
          <w:p>
            <w:pPr>
              <w:keepNext w:val="0"/>
              <w:widowControl w:val="0"/>
              <w:spacing w:after="0" w:before="0" w:line="250" w:lineRule="auto"/>
            </w:pPr>
            <w:r>
              <w:rPr>
                <w:b w:val="0"/>
                <w:i w:val="0"/>
                <w:sz w:val="20"/>
              </w:rPr>
              <w:t>Shared procedure</w:t>
            </w:r>
          </w:p>
        </w:tc>
        <w:tc>
          <w:tcPr>
            <w:tcW w:type="dxa" w:w="7819"/>
            <w:vAlign w:val="center"/>
          </w:tcPr>
          <w:p>
            <w:pPr>
              <w:keepNext w:val="0"/>
              <w:widowControl w:val="0"/>
              <w:spacing w:after="0" w:before="0" w:line="250" w:lineRule="auto"/>
            </w:pPr>
            <w:hyperlink r:id="rId10" w:history="1">
              <w:r>
                <w:rPr>
                  <w:b w:val="0"/>
                  <w:i w:val="0"/>
                  <w:sz w:val="20"/>
                  <w:color w:val="245A81"/>
                  <w:u w:val="single"/>
                </w:rPr>
                <w:t>Spack build and publication procedure</w:t>
              </w:r>
            </w:hyperlink>
          </w:p>
        </w:tc>
      </w:tr>
    </w:tbl>
    <w:p>
      <w:pPr>
        <w:spacing w:after="0" w:before="0" w:line="80" w:lineRule="exact"/>
      </w:pPr>
      <w:r>
        <w:rPr>
          <w:sz w:val="4"/>
        </w:rPr>
      </w:r>
    </w:p>
    <w:p>
      <w:pPr>
        <w:pStyle w:val="Heading1"/>
      </w:pPr>
      <w:r>
        <w:rPr>
          <w:b w:val="0"/>
          <w:i w:val="0"/>
        </w:rPr>
        <w:t>1. Purpose</w:t>
      </w:r>
    </w:p>
    <w:p>
      <w:pPr/>
      <w:r>
        <w:rPr>
          <w:b w:val="0"/>
          <w:i w:val="0"/>
        </w:rPr>
        <w:t xml:space="preserve">This SOP defines how CSE manages its software stacks and applies the shared Spack procedure. It records CSE's package and platform choices, team responsibilities, access policy, review decisions, user interface, and release conditions. The </w:t>
      </w:r>
      <w:hyperlink r:id="rId10" w:history="1">
        <w:r>
          <w:rPr>
            <w:b w:val="0"/>
            <w:i w:val="0"/>
            <w:color w:val="245A81"/>
            <w:u w:val="single"/>
          </w:rPr>
          <w:t>shared procedure</w:t>
        </w:r>
      </w:hyperlink>
      <w:r>
        <w:rPr>
          <w:b w:val="0"/>
          <w:i w:val="0"/>
        </w:rPr>
        <w:t xml:space="preserve"> owns the common steps and commands for preparing inputs, creating mirrors, transferring artifacts, building, validating, signing, publishing, and maintaining a release.</w:t>
      </w:r>
    </w:p>
    <w:p>
      <w:pPr/>
      <w:r>
        <w:rPr>
          <w:b w:val="0"/>
          <w:i w:val="0"/>
        </w:rPr>
        <w:t>Designated CSE package managers operate Spack in user space to prepare and maintain the CSE-managed stack, using the approved nonprivileged identities. Signing and publication use the separately authorized roles and contexts in Section 10. Normal users consume accepted software through published modules; they do not build, modify, or publish CSE-managed releases.</w:t>
      </w:r>
    </w:p>
    <w:p>
      <w:pPr/>
      <w:r>
        <w:rPr>
          <w:b w:val="0"/>
          <w:i w:val="0"/>
        </w:rPr>
        <w:t>Use both documents for a CSE release. Complete the shared procedure with the CSE selections and acceptance conditions in this SOP. Record the revision of each document in the release record. A conflict with an assigned system or security requirement is resolved with its responsible authority before the affected step; an operator does not choose whichever document is less strict.</w:t>
      </w:r>
    </w:p>
    <w:p>
      <w:pPr/>
      <w:r>
        <w:rPr>
          <w:b w:val="0"/>
          <w:i w:val="0"/>
        </w:rPr>
        <w:t>This SOP and the shared procedure define the complete operating requirements. Record system-specific paths, provider selections, scheduler commands, network controls, and responsible people in the operating record specified in Section 3. The same release gates apply regardless of the approved tools used to carry out the procedure. A completed release record demonstrates which controls were performed on each system.</w:t>
      </w:r>
    </w:p>
    <w:p>
      <w:pPr>
        <w:pStyle w:val="Heading2"/>
      </w:pPr>
      <w:r>
        <w:rPr>
          <w:b w:val="0"/>
          <w:i w:val="0"/>
        </w:rPr>
        <w:t>1.1 Procedure map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3672"/>
        <w:gridCol w:w="4032"/>
        <w:gridCol w:w="2448"/>
      </w:tblGrid>
      <w:tr>
        <w:trPr>
          <w:cantSplit/>
          <w:tblHeader/>
        </w:trPr>
        <w:tc>
          <w:tcPr>
            <w:tcW w:type="dxa" w:w="3672"/>
            <w:vAlign w:val="center"/>
            <w:shd w:fill="DCE6F1"/>
          </w:tcPr>
          <w:p>
            <w:pPr>
              <w:keepNext w:val="0"/>
              <w:widowControl w:val="0"/>
              <w:spacing w:after="0" w:before="0" w:line="250" w:lineRule="auto"/>
            </w:pPr>
            <w:r>
              <w:rPr>
                <w:b/>
                <w:i w:val="0"/>
                <w:sz w:val="20"/>
              </w:rPr>
              <w:t>Activity</w:t>
            </w:r>
          </w:p>
        </w:tc>
        <w:tc>
          <w:tcPr>
            <w:tcW w:type="dxa" w:w="4032"/>
            <w:vAlign w:val="center"/>
            <w:shd w:fill="DCE6F1"/>
          </w:tcPr>
          <w:p>
            <w:pPr>
              <w:keepNext w:val="0"/>
              <w:widowControl w:val="0"/>
              <w:spacing w:after="0" w:before="0" w:line="250" w:lineRule="auto"/>
            </w:pPr>
            <w:r>
              <w:rPr>
                <w:b/>
                <w:i w:val="0"/>
                <w:sz w:val="20"/>
              </w:rPr>
              <w:t>Follow the shared procedure</w:t>
            </w:r>
          </w:p>
        </w:tc>
        <w:tc>
          <w:tcPr>
            <w:tcW w:type="dxa" w:w="2448"/>
            <w:vAlign w:val="center"/>
            <w:shd w:fill="DCE6F1"/>
          </w:tcPr>
          <w:p>
            <w:pPr>
              <w:keepNext w:val="0"/>
              <w:widowControl w:val="0"/>
              <w:spacing w:after="0" w:before="0" w:line="250" w:lineRule="auto"/>
            </w:pPr>
            <w:r>
              <w:rPr>
                <w:b/>
                <w:i w:val="0"/>
                <w:sz w:val="20"/>
              </w:rPr>
              <w:t>CSE decisions in this SOP</w:t>
            </w:r>
          </w:p>
        </w:tc>
      </w:tr>
      <w:tr>
        <w:trPr>
          <w:cantSplit/>
        </w:trPr>
        <w:tc>
          <w:tcPr>
            <w:tcW w:type="dxa" w:w="3672"/>
            <w:vAlign w:val="center"/>
          </w:tcPr>
          <w:p>
            <w:pPr>
              <w:keepNext w:val="0"/>
              <w:widowControl w:val="0"/>
              <w:spacing w:after="0" w:before="0" w:line="250" w:lineRule="auto"/>
            </w:pPr>
            <w:r>
              <w:rPr>
                <w:b w:val="0"/>
                <w:i w:val="0"/>
                <w:sz w:val="20"/>
              </w:rPr>
              <w:t>Assign roles and record the release</w:t>
            </w:r>
          </w:p>
        </w:tc>
        <w:tc>
          <w:tcPr>
            <w:tcW w:type="dxa" w:w="4032"/>
            <w:vAlign w:val="center"/>
          </w:tcPr>
          <w:p>
            <w:pPr>
              <w:keepNext w:val="0"/>
              <w:widowControl w:val="0"/>
              <w:spacing w:after="0" w:before="0" w:line="250" w:lineRule="auto"/>
            </w:pPr>
            <w:r>
              <w:rPr>
                <w:b w:val="0"/>
                <w:i w:val="0"/>
                <w:sz w:val="20"/>
              </w:rPr>
              <w:t>Sections 2 and 3</w:t>
            </w:r>
          </w:p>
        </w:tc>
        <w:tc>
          <w:tcPr>
            <w:tcW w:type="dxa" w:w="2448"/>
            <w:vAlign w:val="center"/>
          </w:tcPr>
          <w:p>
            <w:pPr>
              <w:keepNext w:val="0"/>
              <w:widowControl w:val="0"/>
              <w:spacing w:after="0" w:before="0" w:line="250" w:lineRule="auto"/>
            </w:pPr>
            <w:r>
              <w:rPr>
                <w:b w:val="0"/>
                <w:i w:val="0"/>
                <w:sz w:val="20"/>
              </w:rPr>
              <w:t>Sections 2 and 3</w:t>
            </w:r>
          </w:p>
        </w:tc>
      </w:tr>
      <w:tr>
        <w:trPr>
          <w:cantSplit/>
        </w:trPr>
        <w:tc>
          <w:tcPr>
            <w:tcW w:type="dxa" w:w="3672"/>
            <w:vAlign w:val="center"/>
          </w:tcPr>
          <w:p>
            <w:pPr>
              <w:keepNext w:val="0"/>
              <w:widowControl w:val="0"/>
              <w:spacing w:after="0" w:before="0" w:line="250" w:lineRule="auto"/>
            </w:pPr>
            <w:r>
              <w:rPr>
                <w:b w:val="0"/>
                <w:i w:val="0"/>
                <w:sz w:val="20"/>
              </w:rPr>
              <w:t>Prepare runtime, storage, and configuration</w:t>
            </w:r>
          </w:p>
        </w:tc>
        <w:tc>
          <w:tcPr>
            <w:tcW w:type="dxa" w:w="4032"/>
            <w:vAlign w:val="center"/>
          </w:tcPr>
          <w:p>
            <w:pPr>
              <w:keepNext w:val="0"/>
              <w:widowControl w:val="0"/>
              <w:spacing w:after="0" w:before="0" w:line="250" w:lineRule="auto"/>
            </w:pPr>
            <w:r>
              <w:rPr>
                <w:b w:val="0"/>
                <w:i w:val="0"/>
                <w:sz w:val="20"/>
              </w:rPr>
              <w:t>Sections 4 and 5</w:t>
            </w:r>
          </w:p>
        </w:tc>
        <w:tc>
          <w:tcPr>
            <w:tcW w:type="dxa" w:w="2448"/>
            <w:vAlign w:val="center"/>
          </w:tcPr>
          <w:p>
            <w:pPr>
              <w:keepNext w:val="0"/>
              <w:widowControl w:val="0"/>
              <w:spacing w:after="0" w:before="0" w:line="250" w:lineRule="auto"/>
            </w:pPr>
            <w:r>
              <w:rPr>
                <w:b w:val="0"/>
                <w:i w:val="0"/>
                <w:sz w:val="20"/>
              </w:rPr>
              <w:t>Sections 4 and 5</w:t>
            </w:r>
          </w:p>
        </w:tc>
      </w:tr>
      <w:tr>
        <w:trPr>
          <w:cantSplit/>
        </w:trPr>
        <w:tc>
          <w:tcPr>
            <w:tcW w:type="dxa" w:w="3672"/>
            <w:vAlign w:val="center"/>
          </w:tcPr>
          <w:p>
            <w:pPr>
              <w:keepNext w:val="0"/>
              <w:widowControl w:val="0"/>
              <w:spacing w:after="0" w:before="0" w:line="250" w:lineRule="auto"/>
            </w:pPr>
            <w:r>
              <w:rPr>
                <w:b w:val="0"/>
                <w:i w:val="0"/>
                <w:sz w:val="20"/>
              </w:rPr>
              <w:t>Select the catalog and prepare environments</w:t>
            </w:r>
          </w:p>
        </w:tc>
        <w:tc>
          <w:tcPr>
            <w:tcW w:type="dxa" w:w="4032"/>
            <w:vAlign w:val="center"/>
          </w:tcPr>
          <w:p>
            <w:pPr>
              <w:keepNext w:val="0"/>
              <w:widowControl w:val="0"/>
              <w:spacing w:after="0" w:before="0" w:line="250" w:lineRule="auto"/>
            </w:pPr>
            <w:r>
              <w:rPr>
                <w:b w:val="0"/>
                <w:i w:val="0"/>
                <w:sz w:val="20"/>
              </w:rPr>
              <w:t>Sections 6 and 7</w:t>
            </w:r>
          </w:p>
        </w:tc>
        <w:tc>
          <w:tcPr>
            <w:tcW w:type="dxa" w:w="2448"/>
            <w:vAlign w:val="center"/>
          </w:tcPr>
          <w:p>
            <w:pPr>
              <w:keepNext w:val="0"/>
              <w:widowControl w:val="0"/>
              <w:spacing w:after="0" w:before="0" w:line="250" w:lineRule="auto"/>
            </w:pPr>
            <w:r>
              <w:rPr>
                <w:b w:val="0"/>
                <w:i w:val="0"/>
                <w:sz w:val="20"/>
              </w:rPr>
              <w:t>Sections 6 and 7</w:t>
            </w:r>
          </w:p>
        </w:tc>
      </w:tr>
      <w:tr>
        <w:trPr>
          <w:cantSplit/>
        </w:trPr>
        <w:tc>
          <w:tcPr>
            <w:tcW w:type="dxa" w:w="3672"/>
            <w:vAlign w:val="center"/>
          </w:tcPr>
          <w:p>
            <w:pPr>
              <w:keepNext w:val="0"/>
              <w:widowControl w:val="0"/>
              <w:spacing w:after="0" w:before="0" w:line="250" w:lineRule="auto"/>
            </w:pPr>
            <w:r>
              <w:rPr>
                <w:b w:val="0"/>
                <w:i w:val="0"/>
                <w:sz w:val="20"/>
              </w:rPr>
              <w:t>Resolve and review the candidate</w:t>
            </w:r>
          </w:p>
        </w:tc>
        <w:tc>
          <w:tcPr>
            <w:tcW w:type="dxa" w:w="4032"/>
            <w:vAlign w:val="center"/>
          </w:tcPr>
          <w:p>
            <w:pPr>
              <w:keepNext w:val="0"/>
              <w:widowControl w:val="0"/>
              <w:spacing w:after="0" w:before="0" w:line="250" w:lineRule="auto"/>
            </w:pPr>
            <w:hyperlink r:id="rId10" w:history="1" w:anchor="procedure_review">
              <w:r>
                <w:rPr>
                  <w:b w:val="0"/>
                  <w:i w:val="0"/>
                  <w:sz w:val="20"/>
                  <w:color w:val="245A81"/>
                  <w:u w:val="single"/>
                </w:rPr>
                <w:t>Review procedure</w:t>
              </w:r>
            </w:hyperlink>
          </w:p>
        </w:tc>
        <w:tc>
          <w:tcPr>
            <w:tcW w:type="dxa" w:w="2448"/>
            <w:vAlign w:val="center"/>
          </w:tcPr>
          <w:p>
            <w:pPr>
              <w:keepNext w:val="0"/>
              <w:widowControl w:val="0"/>
              <w:spacing w:after="0" w:before="0" w:line="250" w:lineRule="auto"/>
            </w:pPr>
            <w:r>
              <w:rPr>
                <w:b w:val="0"/>
                <w:i w:val="0"/>
                <w:sz w:val="20"/>
              </w:rPr>
              <w:t>Section 8</w:t>
            </w:r>
          </w:p>
        </w:tc>
      </w:tr>
      <w:tr>
        <w:trPr>
          <w:cantSplit/>
        </w:trPr>
        <w:tc>
          <w:tcPr>
            <w:tcW w:type="dxa" w:w="3672"/>
            <w:vAlign w:val="center"/>
          </w:tcPr>
          <w:p>
            <w:pPr>
              <w:keepNext w:val="0"/>
              <w:widowControl w:val="0"/>
              <w:spacing w:after="0" w:before="0" w:line="250" w:lineRule="auto"/>
            </w:pPr>
            <w:r>
              <w:rPr>
                <w:b w:val="0"/>
                <w:i w:val="0"/>
                <w:sz w:val="20"/>
              </w:rPr>
              <w:t>Prepare sources and mirrors</w:t>
            </w:r>
          </w:p>
        </w:tc>
        <w:tc>
          <w:tcPr>
            <w:tcW w:type="dxa" w:w="4032"/>
            <w:vAlign w:val="center"/>
          </w:tcPr>
          <w:p>
            <w:pPr>
              <w:keepNext w:val="0"/>
              <w:widowControl w:val="0"/>
              <w:spacing w:after="0" w:before="0" w:line="250" w:lineRule="auto"/>
            </w:pPr>
            <w:hyperlink r:id="rId10" w:history="1" w:anchor="procedure_source_mirrors">
              <w:r>
                <w:rPr>
                  <w:b w:val="0"/>
                  <w:i w:val="0"/>
                  <w:sz w:val="20"/>
                  <w:color w:val="245A81"/>
                  <w:u w:val="single"/>
                </w:rPr>
                <w:t>Source mirror procedure</w:t>
              </w:r>
            </w:hyperlink>
          </w:p>
        </w:tc>
        <w:tc>
          <w:tcPr>
            <w:tcW w:type="dxa" w:w="2448"/>
            <w:vAlign w:val="center"/>
          </w:tcPr>
          <w:p>
            <w:pPr>
              <w:keepNext w:val="0"/>
              <w:widowControl w:val="0"/>
              <w:spacing w:after="0" w:before="0" w:line="250" w:lineRule="auto"/>
            </w:pPr>
            <w:r>
              <w:rPr>
                <w:b w:val="0"/>
                <w:i w:val="0"/>
                <w:sz w:val="20"/>
              </w:rPr>
              <w:t>Section 9.1</w:t>
            </w:r>
          </w:p>
        </w:tc>
      </w:tr>
      <w:tr>
        <w:trPr>
          <w:cantSplit/>
        </w:trPr>
        <w:tc>
          <w:tcPr>
            <w:tcW w:type="dxa" w:w="3672"/>
            <w:vAlign w:val="center"/>
          </w:tcPr>
          <w:p>
            <w:pPr>
              <w:keepNext w:val="0"/>
              <w:widowControl w:val="0"/>
              <w:spacing w:after="0" w:before="0" w:line="250" w:lineRule="auto"/>
            </w:pPr>
            <w:r>
              <w:rPr>
                <w:b w:val="0"/>
                <w:i w:val="0"/>
                <w:sz w:val="20"/>
              </w:rPr>
              <w:t>Deliver inputs to a system with limited or no external network access</w:t>
            </w:r>
          </w:p>
        </w:tc>
        <w:tc>
          <w:tcPr>
            <w:tcW w:type="dxa" w:w="4032"/>
            <w:vAlign w:val="center"/>
          </w:tcPr>
          <w:p>
            <w:pPr>
              <w:keepNext w:val="0"/>
              <w:widowControl w:val="0"/>
              <w:spacing w:after="0" w:before="0" w:line="250" w:lineRule="auto"/>
            </w:pPr>
            <w:hyperlink r:id="rId10" w:history="1" w:anchor="procedure_disconnected_transfer">
              <w:r>
                <w:rPr>
                  <w:b w:val="0"/>
                  <w:i w:val="0"/>
                  <w:sz w:val="20"/>
                  <w:color w:val="245A81"/>
                  <w:u w:val="single"/>
                </w:rPr>
                <w:t>Transfer procedure</w:t>
              </w:r>
            </w:hyperlink>
          </w:p>
        </w:tc>
        <w:tc>
          <w:tcPr>
            <w:tcW w:type="dxa" w:w="2448"/>
            <w:vAlign w:val="center"/>
          </w:tcPr>
          <w:p>
            <w:pPr>
              <w:keepNext w:val="0"/>
              <w:widowControl w:val="0"/>
              <w:spacing w:after="0" w:before="0" w:line="250" w:lineRule="auto"/>
            </w:pPr>
            <w:r>
              <w:rPr>
                <w:b w:val="0"/>
                <w:i w:val="0"/>
                <w:sz w:val="20"/>
              </w:rPr>
              <w:t>Section 9.2</w:t>
            </w:r>
          </w:p>
        </w:tc>
      </w:tr>
      <w:tr>
        <w:trPr>
          <w:cantSplit/>
        </w:trPr>
        <w:tc>
          <w:tcPr>
            <w:tcW w:type="dxa" w:w="3672"/>
            <w:vAlign w:val="center"/>
          </w:tcPr>
          <w:p>
            <w:pPr>
              <w:keepNext w:val="0"/>
              <w:widowControl w:val="0"/>
              <w:spacing w:after="0" w:before="0" w:line="250" w:lineRule="auto"/>
            </w:pPr>
            <w:r>
              <w:rPr>
                <w:b w:val="0"/>
                <w:i w:val="0"/>
                <w:sz w:val="20"/>
              </w:rPr>
              <w:t>Build and validate</w:t>
            </w:r>
          </w:p>
        </w:tc>
        <w:tc>
          <w:tcPr>
            <w:tcW w:type="dxa" w:w="4032"/>
            <w:vAlign w:val="center"/>
          </w:tcPr>
          <w:p>
            <w:pPr>
              <w:keepNext w:val="0"/>
              <w:widowControl w:val="0"/>
              <w:spacing w:after="0" w:before="0" w:line="250" w:lineRule="auto"/>
            </w:pPr>
            <w:hyperlink r:id="rId10" w:history="1" w:anchor="procedure_build_validation">
              <w:r>
                <w:rPr>
                  <w:b w:val="0"/>
                  <w:i w:val="0"/>
                  <w:sz w:val="20"/>
                  <w:color w:val="245A81"/>
                  <w:u w:val="single"/>
                </w:rPr>
                <w:t>Build and validation procedure</w:t>
              </w:r>
            </w:hyperlink>
          </w:p>
        </w:tc>
        <w:tc>
          <w:tcPr>
            <w:tcW w:type="dxa" w:w="2448"/>
            <w:vAlign w:val="center"/>
          </w:tcPr>
          <w:p>
            <w:pPr>
              <w:keepNext w:val="0"/>
              <w:widowControl w:val="0"/>
              <w:spacing w:after="0" w:before="0" w:line="250" w:lineRule="auto"/>
            </w:pPr>
            <w:r>
              <w:rPr>
                <w:b w:val="0"/>
                <w:i w:val="0"/>
                <w:sz w:val="20"/>
              </w:rPr>
              <w:t>Section 9.3</w:t>
            </w:r>
          </w:p>
        </w:tc>
      </w:tr>
      <w:tr>
        <w:trPr>
          <w:cantSplit/>
        </w:trPr>
        <w:tc>
          <w:tcPr>
            <w:tcW w:type="dxa" w:w="3672"/>
            <w:vAlign w:val="center"/>
          </w:tcPr>
          <w:p>
            <w:pPr>
              <w:keepNext w:val="0"/>
              <w:widowControl w:val="0"/>
              <w:spacing w:after="0" w:before="0" w:line="250" w:lineRule="auto"/>
            </w:pPr>
            <w:r>
              <w:rPr>
                <w:b w:val="0"/>
                <w:i w:val="0"/>
                <w:sz w:val="20"/>
              </w:rPr>
              <w:t>Sign, publish the catalog, and install the public stack</w:t>
            </w:r>
          </w:p>
        </w:tc>
        <w:tc>
          <w:tcPr>
            <w:tcW w:type="dxa" w:w="4032"/>
            <w:vAlign w:val="center"/>
          </w:tcPr>
          <w:p>
            <w:pPr>
              <w:keepNext w:val="0"/>
              <w:widowControl w:val="0"/>
              <w:spacing w:after="0" w:before="0" w:line="250" w:lineRule="auto"/>
            </w:pPr>
            <w:hyperlink r:id="rId10" w:history="1" w:anchor="procedure_signing">
              <w:r>
                <w:rPr>
                  <w:b w:val="0"/>
                  <w:i w:val="0"/>
                  <w:sz w:val="20"/>
                  <w:color w:val="245A81"/>
                  <w:u w:val="single"/>
                </w:rPr>
                <w:t>Signing</w:t>
              </w:r>
            </w:hyperlink>
            <w:r>
              <w:rPr>
                <w:b w:val="0"/>
                <w:i w:val="0"/>
                <w:sz w:val="20"/>
              </w:rPr>
              <w:t xml:space="preserve">, </w:t>
            </w:r>
            <w:hyperlink r:id="rId10" w:history="1" w:anchor="procedure_catalog_publication">
              <w:r>
                <w:rPr>
                  <w:b w:val="0"/>
                  <w:i w:val="0"/>
                  <w:sz w:val="20"/>
                  <w:color w:val="245A81"/>
                  <w:u w:val="single"/>
                </w:rPr>
                <w:t>catalog publication</w:t>
              </w:r>
            </w:hyperlink>
            <w:r>
              <w:rPr>
                <w:b w:val="0"/>
                <w:i w:val="0"/>
                <w:sz w:val="20"/>
              </w:rPr>
              <w:t xml:space="preserve">, and </w:t>
            </w:r>
            <w:hyperlink r:id="rId10" w:history="1" w:anchor="procedure_cache_publication">
              <w:r>
                <w:rPr>
                  <w:b w:val="0"/>
                  <w:i w:val="0"/>
                  <w:sz w:val="20"/>
                  <w:color w:val="245A81"/>
                  <w:u w:val="single"/>
                </w:rPr>
                <w:t>cache publication</w:t>
              </w:r>
            </w:hyperlink>
          </w:p>
        </w:tc>
        <w:tc>
          <w:tcPr>
            <w:tcW w:type="dxa" w:w="2448"/>
            <w:vAlign w:val="center"/>
          </w:tcPr>
          <w:p>
            <w:pPr>
              <w:keepNext w:val="0"/>
              <w:widowControl w:val="0"/>
              <w:spacing w:after="0" w:before="0" w:line="250" w:lineRule="auto"/>
            </w:pPr>
            <w:r>
              <w:rPr>
                <w:b w:val="0"/>
                <w:i w:val="0"/>
                <w:sz w:val="20"/>
              </w:rPr>
              <w:t>Section 10</w:t>
            </w:r>
          </w:p>
        </w:tc>
      </w:tr>
      <w:tr>
        <w:trPr>
          <w:cantSplit/>
        </w:trPr>
        <w:tc>
          <w:tcPr>
            <w:tcW w:type="dxa" w:w="3672"/>
            <w:vAlign w:val="center"/>
          </w:tcPr>
          <w:p>
            <w:pPr>
              <w:keepNext w:val="0"/>
              <w:widowControl w:val="0"/>
              <w:spacing w:after="0" w:before="0" w:line="250" w:lineRule="auto"/>
            </w:pPr>
            <w:r>
              <w:rPr>
                <w:b w:val="0"/>
                <w:i w:val="0"/>
                <w:sz w:val="20"/>
              </w:rPr>
              <w:t>Accept user access and maintain releases</w:t>
            </w:r>
          </w:p>
        </w:tc>
        <w:tc>
          <w:tcPr>
            <w:tcW w:type="dxa" w:w="4032"/>
            <w:vAlign w:val="center"/>
          </w:tcPr>
          <w:p>
            <w:pPr>
              <w:keepNext w:val="0"/>
              <w:widowControl w:val="0"/>
              <w:spacing w:after="0" w:before="0" w:line="250" w:lineRule="auto"/>
            </w:pPr>
            <w:r>
              <w:rPr>
                <w:b w:val="0"/>
                <w:i w:val="0"/>
                <w:sz w:val="20"/>
              </w:rPr>
              <w:t>Sections 11 through 14</w:t>
            </w:r>
          </w:p>
        </w:tc>
        <w:tc>
          <w:tcPr>
            <w:tcW w:type="dxa" w:w="2448"/>
            <w:vAlign w:val="center"/>
          </w:tcPr>
          <w:p>
            <w:pPr>
              <w:keepNext w:val="0"/>
              <w:widowControl w:val="0"/>
              <w:spacing w:after="0" w:before="0" w:line="250" w:lineRule="auto"/>
            </w:pPr>
            <w:r>
              <w:rPr>
                <w:b w:val="0"/>
                <w:i w:val="0"/>
                <w:sz w:val="20"/>
              </w:rPr>
              <w:t>Sections 11 through 14</w:t>
            </w:r>
          </w:p>
        </w:tc>
      </w:tr>
    </w:tbl>
    <w:p>
      <w:pPr>
        <w:spacing w:after="0" w:before="0" w:line="80" w:lineRule="exact"/>
      </w:pPr>
      <w:r>
        <w:rPr>
          <w:sz w:val="4"/>
        </w:rPr>
      </w:r>
    </w:p>
    <w:p>
      <w:pPr/>
      <w:r>
        <w:rPr>
          <w:b w:val="0"/>
          <w:i w:val="0"/>
        </w:rPr>
        <w:t>The normal CSE sequence is reviewed inputs and lockfiles, controlled source intake, restricted build and validation, second-person review, approved signing, catalog publication, cache-only stack installation, destination acceptance, and user exposure. A failed gate holds the candidate at the affected step.</w:t>
      </w:r>
    </w:p>
    <w:p>
      <w:pPr>
        <w:pStyle w:val="Heading1"/>
      </w:pPr>
      <w:r>
        <w:rPr>
          <w:b w:val="0"/>
          <w:i w:val="0"/>
        </w:rPr>
        <w:t>2. Responsibilities</w:t>
      </w:r>
    </w:p>
    <w:p>
      <w:pPr/>
      <w:r>
        <w:rPr>
          <w:b w:val="0"/>
          <w:i w:val="0"/>
        </w:rPr>
        <w:t>Assign a build owner and a separate qualified technical reviewer for each candidate release. The process can be performed by two CSE team members, who may exchange roles between releases. Their recorded decisions must remain attributable to separate people.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Role</w:t>
            </w:r>
          </w:p>
        </w:tc>
        <w:tc>
          <w:tcPr>
            <w:tcW w:type="dxa" w:w="7819"/>
            <w:vAlign w:val="center"/>
            <w:shd w:fill="DCE6F1"/>
          </w:tcPr>
          <w:p>
            <w:pPr>
              <w:keepNext w:val="0"/>
              <w:widowControl w:val="0"/>
              <w:spacing w:after="0" w:before="0" w:line="250" w:lineRule="auto"/>
            </w:pPr>
            <w:r>
              <w:rPr>
                <w:b/>
                <w:i w:val="0"/>
                <w:sz w:val="20"/>
              </w:rPr>
              <w:t>CSE responsibility</w:t>
            </w:r>
          </w:p>
        </w:tc>
      </w:tr>
      <w:tr>
        <w:trPr>
          <w:cantSplit/>
        </w:trPr>
        <w:tc>
          <w:tcPr>
            <w:tcW w:type="dxa" w:w="2333"/>
            <w:vAlign w:val="center"/>
          </w:tcPr>
          <w:p>
            <w:pPr>
              <w:keepNext w:val="0"/>
              <w:widowControl w:val="0"/>
              <w:spacing w:after="0" w:before="0" w:line="250" w:lineRule="auto"/>
            </w:pPr>
            <w:r>
              <w:rPr>
                <w:b w:val="0"/>
                <w:i w:val="0"/>
                <w:sz w:val="20"/>
              </w:rPr>
              <w:t>Build owner</w:t>
            </w:r>
          </w:p>
        </w:tc>
        <w:tc>
          <w:tcPr>
            <w:tcW w:type="dxa" w:w="7819"/>
            <w:vAlign w:val="center"/>
          </w:tcPr>
          <w:p>
            <w:pPr>
              <w:keepNext w:val="0"/>
              <w:widowControl w:val="0"/>
              <w:spacing w:after="0" w:before="0" w:line="250" w:lineRule="auto"/>
            </w:pPr>
            <w:r>
              <w:rPr>
                <w:b w:val="0"/>
                <w:i w:val="0"/>
                <w:sz w:val="20"/>
              </w:rPr>
              <w:t>Prepare the candidate, identify inputs and changes, perform intake/build/tests, record results and exceptions, and submit the exact candidate for review.</w:t>
            </w:r>
          </w:p>
        </w:tc>
      </w:tr>
      <w:tr>
        <w:trPr>
          <w:cantSplit/>
        </w:trPr>
        <w:tc>
          <w:tcPr>
            <w:tcW w:type="dxa" w:w="2333"/>
            <w:vAlign w:val="center"/>
          </w:tcPr>
          <w:p>
            <w:pPr>
              <w:keepNext w:val="0"/>
              <w:widowControl w:val="0"/>
              <w:spacing w:after="0" w:before="0" w:line="250" w:lineRule="auto"/>
            </w:pPr>
            <w:r>
              <w:rPr>
                <w:b w:val="0"/>
                <w:i w:val="0"/>
                <w:sz w:val="20"/>
              </w:rPr>
              <w:t>Technical reviewer</w:t>
            </w:r>
          </w:p>
        </w:tc>
        <w:tc>
          <w:tcPr>
            <w:tcW w:type="dxa" w:w="7819"/>
            <w:vAlign w:val="center"/>
          </w:tcPr>
          <w:p>
            <w:pPr>
              <w:keepNext w:val="0"/>
              <w:widowControl w:val="0"/>
              <w:spacing w:after="0" w:before="0" w:line="250" w:lineRule="auto"/>
            </w:pPr>
            <w:r>
              <w:rPr>
                <w:b w:val="0"/>
                <w:i w:val="0"/>
                <w:sz w:val="20"/>
              </w:rPr>
              <w:t>Independently examine the input/change record, targeted package reviews, test and scan evidence, publication plan, and destination acceptance. Record approval, required correction, or hold with a reason.</w:t>
            </w:r>
          </w:p>
        </w:tc>
      </w:tr>
      <w:tr>
        <w:trPr>
          <w:cantSplit/>
        </w:trPr>
        <w:tc>
          <w:tcPr>
            <w:tcW w:type="dxa" w:w="2333"/>
            <w:vAlign w:val="center"/>
          </w:tcPr>
          <w:p>
            <w:pPr>
              <w:keepNext w:val="0"/>
              <w:widowControl w:val="0"/>
              <w:spacing w:after="0" w:before="0" w:line="250" w:lineRule="auto"/>
            </w:pPr>
            <w:r>
              <w:rPr>
                <w:b w:val="0"/>
                <w:i w:val="0"/>
                <w:sz w:val="20"/>
              </w:rPr>
              <w:t>Release authority</w:t>
            </w:r>
          </w:p>
        </w:tc>
        <w:tc>
          <w:tcPr>
            <w:tcW w:type="dxa" w:w="7819"/>
            <w:vAlign w:val="center"/>
          </w:tcPr>
          <w:p>
            <w:pPr>
              <w:keepNext w:val="0"/>
              <w:widowControl w:val="0"/>
              <w:spacing w:after="0" w:before="0" w:line="250" w:lineRule="auto"/>
            </w:pPr>
            <w:r>
              <w:rPr>
                <w:b w:val="0"/>
                <w:i w:val="0"/>
                <w:sz w:val="20"/>
              </w:rPr>
              <w:t>Authorize signing and user exposure. This is the CSE software lead or a documented delegate. The technical reviewer may fill this role when delegated; a third routine CSE position is not required.</w:t>
            </w:r>
          </w:p>
        </w:tc>
      </w:tr>
      <w:tr>
        <w:trPr>
          <w:cantSplit/>
        </w:trPr>
        <w:tc>
          <w:tcPr>
            <w:tcW w:type="dxa" w:w="2333"/>
            <w:vAlign w:val="center"/>
          </w:tcPr>
          <w:p>
            <w:pPr>
              <w:keepNext w:val="0"/>
              <w:widowControl w:val="0"/>
              <w:spacing w:after="0" w:before="0" w:line="250" w:lineRule="auto"/>
            </w:pPr>
            <w:r>
              <w:rPr>
                <w:b w:val="0"/>
                <w:i w:val="0"/>
                <w:sz w:val="20"/>
              </w:rPr>
              <w:t>System or platform owner</w:t>
            </w:r>
          </w:p>
        </w:tc>
        <w:tc>
          <w:tcPr>
            <w:tcW w:type="dxa" w:w="7819"/>
            <w:vAlign w:val="center"/>
          </w:tcPr>
          <w:p>
            <w:pPr>
              <w:keepNext w:val="0"/>
              <w:widowControl w:val="0"/>
              <w:spacing w:after="0" w:before="0" w:line="250" w:lineRule="auto"/>
            </w:pPr>
            <w:r>
              <w:rPr>
                <w:b w:val="0"/>
                <w:i w:val="0"/>
                <w:sz w:val="20"/>
              </w:rPr>
              <w:t>Provide and confirm filesystem, account, network, scheduler, compiler, MPI, GPU, external-library, and destination controls that CSE relies on.</w:t>
            </w:r>
          </w:p>
        </w:tc>
      </w:tr>
      <w:tr>
        <w:trPr>
          <w:cantSplit/>
        </w:trPr>
        <w:tc>
          <w:tcPr>
            <w:tcW w:type="dxa" w:w="2333"/>
            <w:vAlign w:val="center"/>
          </w:tcPr>
          <w:p>
            <w:pPr>
              <w:keepNext w:val="0"/>
              <w:widowControl w:val="0"/>
              <w:spacing w:after="0" w:before="0" w:line="250" w:lineRule="auto"/>
            </w:pPr>
            <w:r>
              <w:rPr>
                <w:b w:val="0"/>
                <w:i w:val="0"/>
                <w:sz w:val="20"/>
              </w:rPr>
              <w:t>Security reviewer or responsible security authority</w:t>
            </w:r>
          </w:p>
        </w:tc>
        <w:tc>
          <w:tcPr>
            <w:tcW w:type="dxa" w:w="7819"/>
            <w:vAlign w:val="center"/>
          </w:tcPr>
          <w:p>
            <w:pPr>
              <w:keepNext w:val="0"/>
              <w:widowControl w:val="0"/>
              <w:spacing w:after="0" w:before="0" w:line="250" w:lineRule="auto"/>
            </w:pPr>
            <w:r>
              <w:rPr>
                <w:b w:val="0"/>
                <w:i w:val="0"/>
                <w:sz w:val="20"/>
              </w:rPr>
              <w:t>Advise on the operating security baseline and assess security exceptions, boundary changes, or incidents within the authority assigned by the local process. Route decisions requiring another authorizing role to that role.</w:t>
            </w:r>
          </w:p>
        </w:tc>
      </w:tr>
    </w:tbl>
    <w:p>
      <w:pPr>
        <w:spacing w:after="0" w:before="0" w:line="80" w:lineRule="exact"/>
      </w:pPr>
      <w:r>
        <w:rPr>
          <w:sz w:val="4"/>
        </w:rPr>
      </w:r>
    </w:p>
    <w:p>
      <w:pPr/>
      <w:r>
        <w:rPr>
          <w:b w:val="0"/>
          <w:i w:val="0"/>
        </w:rPr>
        <w:t>The project manager receives schedule, risk, and release-status updates. The release record names the people filling the CSE roles and identifies the system/security contacts; role names alone do not prove that review occurred.</w:t>
      </w:r>
    </w:p>
    <w:p>
      <w:pPr>
        <w:pStyle w:val="Heading2"/>
      </w:pPr>
      <w:r>
        <w:rPr>
          <w:b w:val="0"/>
          <w:i w:val="0"/>
        </w:rPr>
        <w:t>2.1 Two-person review and audit trail</w:t>
      </w:r>
    </w:p>
    <w:p>
      <w:pPr/>
      <w:r>
        <w:rPr>
          <w:b w:val="0"/>
          <w:i w:val="0"/>
        </w:rPr>
        <w:t>The builder submits the candidate identity, input and change inventory, review scope and rationale, test and scan results, unresolved items, and proposed disposition. The reviewer records their identity, date, reviewed evidence revision or digest, decision, and any conditions. Record corrections and the reviewer's recheck against the new candidate state. Approval of earlier bytes does not approve later changes.</w:t>
      </w:r>
    </w:p>
    <w:p>
      <w:pPr/>
      <w:r>
        <w:rPr>
          <w:b w:val="0"/>
          <w:i w:val="0"/>
        </w:rPr>
        <w:t>The two people need not repeat the full build independently or manually read every package. The reviewer verifies that the defined procedure ran, evaluates the risk-based review and its findings, and checks selected evidence directly. One designated reviewer remains accountable for the complete candidate and independent of its material preparation or input changes. The reviewer may witness repeatable operations and run verification against unchanged approved inputs; requested corrections go back to the builder. If both people author material candidate changes, hold release or obtain a qualified independent reviewer through the existing management process. Reciprocal review of separate changes does not replace independent review of the complete release.</w:t>
      </w:r>
    </w:p>
    <w:p>
      <w:pPr/>
      <w:r>
        <w:rPr>
          <w:b w:val="0"/>
          <w:i w:val="0"/>
        </w:rPr>
        <w:t>Use one controlled ticket, review record, or release database entry to connect these decisions to the candidate. Preserve history and the reviewed snapshots; do not replace a previous decision with an edited description of the outcome.</w:t>
      </w:r>
    </w:p>
    <w:p>
      <w:pPr>
        <w:pStyle w:val="Heading2"/>
      </w:pPr>
      <w:r>
        <w:rPr>
          <w:b w:val="0"/>
          <w:i w:val="0"/>
        </w:rPr>
        <w:t>2.2 Security review and decisions</w:t>
      </w:r>
    </w:p>
    <w:p>
      <w:pPr/>
      <w:r>
        <w:rPr>
          <w:b w:val="0"/>
          <w:i w:val="0"/>
        </w:rPr>
        <w:t>Routine releases within the agreed baseline stay with the CSE builder, reviewer, and delegated release authority. Obtain security review or a decision at the following points. The local process identifies the responsible reviewer and any required approval authority: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3456"/>
        <w:gridCol w:w="3744"/>
        <w:gridCol w:w="2952"/>
      </w:tblGrid>
      <w:tr>
        <w:trPr>
          <w:cantSplit/>
          <w:tblHeader/>
        </w:trPr>
        <w:tc>
          <w:tcPr>
            <w:tcW w:type="dxa" w:w="3456"/>
            <w:vAlign w:val="center"/>
            <w:shd w:fill="DCE6F1"/>
          </w:tcPr>
          <w:p>
            <w:pPr>
              <w:keepNext w:val="0"/>
              <w:widowControl w:val="0"/>
              <w:spacing w:after="0" w:before="0" w:line="250" w:lineRule="auto"/>
            </w:pPr>
            <w:r>
              <w:rPr>
                <w:b/>
                <w:i w:val="0"/>
                <w:sz w:val="20"/>
              </w:rPr>
              <w:t>Trigger</w:t>
            </w:r>
          </w:p>
        </w:tc>
        <w:tc>
          <w:tcPr>
            <w:tcW w:type="dxa" w:w="3744"/>
            <w:vAlign w:val="center"/>
            <w:shd w:fill="DCE6F1"/>
          </w:tcPr>
          <w:p>
            <w:pPr>
              <w:keepNext w:val="0"/>
              <w:widowControl w:val="0"/>
              <w:spacing w:after="0" w:before="0" w:line="250" w:lineRule="auto"/>
            </w:pPr>
            <w:r>
              <w:rPr>
                <w:b/>
                <w:i w:val="0"/>
                <w:sz w:val="20"/>
              </w:rPr>
              <w:t>Requested involvement</w:t>
            </w:r>
          </w:p>
        </w:tc>
        <w:tc>
          <w:tcPr>
            <w:tcW w:type="dxa" w:w="2952"/>
            <w:vAlign w:val="center"/>
            <w:shd w:fill="DCE6F1"/>
          </w:tcPr>
          <w:p>
            <w:pPr>
              <w:keepNext w:val="0"/>
              <w:widowControl w:val="0"/>
              <w:spacing w:after="0" w:before="0" w:line="250" w:lineRule="auto"/>
            </w:pPr>
            <w:r>
              <w:rPr>
                <w:b/>
                <w:i w:val="0"/>
                <w:sz w:val="20"/>
              </w:rPr>
              <w:t>CSE action while unresolved</w:t>
            </w:r>
          </w:p>
        </w:tc>
      </w:tr>
      <w:tr>
        <w:trPr>
          <w:cantSplit/>
        </w:trPr>
        <w:tc>
          <w:tcPr>
            <w:tcW w:type="dxa" w:w="3456"/>
            <w:vAlign w:val="center"/>
          </w:tcPr>
          <w:p>
            <w:pPr>
              <w:keepNext w:val="0"/>
              <w:widowControl w:val="0"/>
              <w:spacing w:after="0" w:before="0" w:line="250" w:lineRule="auto"/>
            </w:pPr>
            <w:r>
              <w:rPr>
                <w:b w:val="0"/>
                <w:i w:val="0"/>
                <w:sz w:val="20"/>
              </w:rPr>
              <w:t>Initial operating baseline or a material change to source trust, build isolation, signing, review, or publication boundaries</w:t>
            </w:r>
          </w:p>
        </w:tc>
        <w:tc>
          <w:tcPr>
            <w:tcW w:type="dxa" w:w="3744"/>
            <w:vAlign w:val="center"/>
          </w:tcPr>
          <w:p>
            <w:pPr>
              <w:keepNext w:val="0"/>
              <w:widowControl w:val="0"/>
              <w:spacing w:after="0" w:before="0" w:line="250" w:lineRule="auto"/>
            </w:pPr>
            <w:r>
              <w:rPr>
                <w:b w:val="0"/>
                <w:i w:val="0"/>
                <w:sz w:val="20"/>
              </w:rPr>
              <w:t>Confirm the applicable security outcomes, acceptable evidence, and who may accept exceptions.</w:t>
            </w:r>
          </w:p>
        </w:tc>
        <w:tc>
          <w:tcPr>
            <w:tcW w:type="dxa" w:w="2952"/>
            <w:vAlign w:val="center"/>
          </w:tcPr>
          <w:p>
            <w:pPr>
              <w:keepNext w:val="0"/>
              <w:widowControl w:val="0"/>
              <w:spacing w:after="0" w:before="0" w:line="250" w:lineRule="auto"/>
            </w:pPr>
            <w:r>
              <w:rPr>
                <w:b w:val="0"/>
                <w:i w:val="0"/>
                <w:sz w:val="20"/>
              </w:rPr>
              <w:t>Prepare and test the candidate; hold affected production use pending the required decision.</w:t>
            </w:r>
          </w:p>
        </w:tc>
      </w:tr>
      <w:tr>
        <w:trPr>
          <w:cantSplit/>
        </w:trPr>
        <w:tc>
          <w:tcPr>
            <w:tcW w:type="dxa" w:w="3456"/>
            <w:vAlign w:val="center"/>
          </w:tcPr>
          <w:p>
            <w:pPr>
              <w:keepNext w:val="0"/>
              <w:widowControl w:val="0"/>
              <w:spacing w:after="0" w:before="0" w:line="250" w:lineRule="auto"/>
            </w:pPr>
            <w:r>
              <w:rPr>
                <w:b w:val="0"/>
                <w:i w:val="0"/>
                <w:sz w:val="20"/>
              </w:rPr>
              <w:t>An unresolved security finding or an exception to an agreed security requirement</w:t>
            </w:r>
          </w:p>
        </w:tc>
        <w:tc>
          <w:tcPr>
            <w:tcW w:type="dxa" w:w="3744"/>
            <w:vAlign w:val="center"/>
          </w:tcPr>
          <w:p>
            <w:pPr>
              <w:keepNext w:val="0"/>
              <w:widowControl w:val="0"/>
              <w:spacing w:after="0" w:before="0" w:line="250" w:lineRule="auto"/>
            </w:pPr>
            <w:r>
              <w:rPr>
                <w:b w:val="0"/>
                <w:i w:val="0"/>
                <w:sz w:val="20"/>
              </w:rPr>
              <w:t>Assess the exposure and proposed mitigation; obtain a scoped, time-bounded decision from the authorized role.</w:t>
            </w:r>
          </w:p>
        </w:tc>
        <w:tc>
          <w:tcPr>
            <w:tcW w:type="dxa" w:w="2952"/>
            <w:vAlign w:val="center"/>
          </w:tcPr>
          <w:p>
            <w:pPr>
              <w:keepNext w:val="0"/>
              <w:widowControl w:val="0"/>
              <w:spacing w:after="0" w:before="0" w:line="250" w:lineRule="auto"/>
            </w:pPr>
            <w:r>
              <w:rPr>
                <w:b w:val="0"/>
                <w:i w:val="0"/>
                <w:sz w:val="20"/>
              </w:rPr>
              <w:t>Hold affected promotion; document owner, scope, expiration, and retest conditions.</w:t>
            </w:r>
          </w:p>
        </w:tc>
      </w:tr>
      <w:tr>
        <w:trPr>
          <w:cantSplit/>
        </w:trPr>
        <w:tc>
          <w:tcPr>
            <w:tcW w:type="dxa" w:w="3456"/>
            <w:vAlign w:val="center"/>
          </w:tcPr>
          <w:p>
            <w:pPr>
              <w:keepNext w:val="0"/>
              <w:widowControl w:val="0"/>
              <w:spacing w:after="0" w:before="0" w:line="250" w:lineRule="auto"/>
            </w:pPr>
            <w:r>
              <w:rPr>
                <w:b w:val="0"/>
                <w:i w:val="0"/>
                <w:sz w:val="20"/>
              </w:rPr>
              <w:t>Suspected malicious content, key compromise, or a failed integrity check suggesting compromise</w:t>
            </w:r>
          </w:p>
        </w:tc>
        <w:tc>
          <w:tcPr>
            <w:tcW w:type="dxa" w:w="3744"/>
            <w:vAlign w:val="center"/>
          </w:tcPr>
          <w:p>
            <w:pPr>
              <w:keepNext w:val="0"/>
              <w:widowControl w:val="0"/>
              <w:spacing w:after="0" w:before="0" w:line="250" w:lineRule="auto"/>
            </w:pPr>
            <w:r>
              <w:rPr>
                <w:b w:val="0"/>
                <w:i w:val="0"/>
                <w:sz w:val="20"/>
              </w:rPr>
              <w:t>Engage the established incident-response/security process and obtain containment guidance.</w:t>
            </w:r>
          </w:p>
        </w:tc>
        <w:tc>
          <w:tcPr>
            <w:tcW w:type="dxa" w:w="2952"/>
            <w:vAlign w:val="center"/>
          </w:tcPr>
          <w:p>
            <w:pPr>
              <w:keepNext w:val="0"/>
              <w:widowControl w:val="0"/>
              <w:spacing w:after="0" w:before="0" w:line="250" w:lineRule="auto"/>
            </w:pPr>
            <w:r>
              <w:rPr>
                <w:b w:val="0"/>
                <w:i w:val="0"/>
                <w:sz w:val="20"/>
              </w:rPr>
              <w:t>Quarantine affected inputs or outputs and preserve evidence; do not promote them.</w:t>
            </w:r>
          </w:p>
        </w:tc>
      </w:tr>
      <w:tr>
        <w:trPr>
          <w:cantSplit/>
        </w:trPr>
        <w:tc>
          <w:tcPr>
            <w:tcW w:type="dxa" w:w="3456"/>
            <w:vAlign w:val="center"/>
          </w:tcPr>
          <w:p>
            <w:pPr>
              <w:keepNext w:val="0"/>
              <w:widowControl w:val="0"/>
              <w:spacing w:after="0" w:before="0" w:line="250" w:lineRule="auto"/>
            </w:pPr>
            <w:r>
              <w:rPr>
                <w:b w:val="0"/>
                <w:i w:val="0"/>
                <w:sz w:val="20"/>
              </w:rPr>
              <w:t>First use of a new transfer route or destination security boundary, or a change to an existing approved route</w:t>
            </w:r>
          </w:p>
        </w:tc>
        <w:tc>
          <w:tcPr>
            <w:tcW w:type="dxa" w:w="3744"/>
            <w:vAlign w:val="center"/>
          </w:tcPr>
          <w:p>
            <w:pPr>
              <w:keepNext w:val="0"/>
              <w:widowControl w:val="0"/>
              <w:spacing w:after="0" w:before="0" w:line="250" w:lineRule="auto"/>
            </w:pPr>
            <w:r>
              <w:rPr>
                <w:b w:val="0"/>
                <w:i w:val="0"/>
                <w:sz w:val="20"/>
              </w:rPr>
              <w:t>Confirm transfer handling, destination acceptance, and any required security approval with the transfer and system authorities.</w:t>
            </w:r>
          </w:p>
        </w:tc>
        <w:tc>
          <w:tcPr>
            <w:tcW w:type="dxa" w:w="2952"/>
            <w:vAlign w:val="center"/>
          </w:tcPr>
          <w:p>
            <w:pPr>
              <w:keepNext w:val="0"/>
              <w:widowControl w:val="0"/>
              <w:spacing w:after="0" w:before="0" w:line="250" w:lineRule="auto"/>
            </w:pPr>
            <w:r>
              <w:rPr>
                <w:b w:val="0"/>
                <w:i w:val="0"/>
                <w:sz w:val="20"/>
              </w:rPr>
              <w:t>Prepare the delivery inventory; do not use an unapproved route or assume source-system approval covers the destination.</w:t>
            </w:r>
          </w:p>
        </w:tc>
      </w:tr>
    </w:tbl>
    <w:p>
      <w:pPr>
        <w:spacing w:after="0" w:before="0" w:line="80" w:lineRule="exact"/>
      </w:pPr>
      <w:r>
        <w:rPr>
          <w:sz w:val="4"/>
        </w:rPr>
      </w:r>
    </w:p>
    <w:p>
      <w:pPr/>
      <w:r>
        <w:rPr>
          <w:b w:val="0"/>
          <w:i w:val="0"/>
        </w:rPr>
        <w:t>This SOP does not add separate security approval for each unchanged dependency or routine source-mirror refresh within an already accepted scope. Ask for input where it can resolve a security question. CSE technical sign-off does not grant authority to waive a system security requirement.</w:t>
      </w:r>
    </w:p>
    <w:p>
      <w:pPr>
        <w:pStyle w:val="Heading1"/>
      </w:pPr>
      <w:r>
        <w:rPr>
          <w:b w:val="0"/>
          <w:i w:val="0"/>
        </w:rPr>
        <w:t>3. Required inputs</w:t>
      </w:r>
    </w:p>
    <w:p>
      <w:pPr/>
      <w:r>
        <w:rPr>
          <w:b w:val="0"/>
          <w:i w:val="0"/>
        </w:rPr>
        <w:t>Complete the common operating record in shared procedure Section 3 for each system and release. CSE additionally binds the following selections: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CSE record</w:t>
            </w:r>
          </w:p>
        </w:tc>
        <w:tc>
          <w:tcPr>
            <w:tcW w:type="dxa" w:w="7819"/>
            <w:vAlign w:val="center"/>
            <w:shd w:fill="DCE6F1"/>
          </w:tcPr>
          <w:p>
            <w:pPr>
              <w:keepNext w:val="0"/>
              <w:widowControl w:val="0"/>
              <w:spacing w:after="0" w:before="0" w:line="250" w:lineRule="auto"/>
            </w:pPr>
            <w:r>
              <w:rPr>
                <w:b/>
                <w:i w:val="0"/>
                <w:sz w:val="20"/>
              </w:rPr>
              <w:t>Required selection</w:t>
            </w:r>
          </w:p>
        </w:tc>
      </w:tr>
      <w:tr>
        <w:trPr>
          <w:cantSplit/>
        </w:trPr>
        <w:tc>
          <w:tcPr>
            <w:tcW w:type="dxa" w:w="2333"/>
            <w:vAlign w:val="center"/>
          </w:tcPr>
          <w:p>
            <w:pPr>
              <w:keepNext w:val="0"/>
              <w:widowControl w:val="0"/>
              <w:spacing w:after="0" w:before="0" w:line="250" w:lineRule="auto"/>
            </w:pPr>
            <w:r>
              <w:rPr>
                <w:b w:val="0"/>
                <w:i w:val="0"/>
                <w:sz w:val="20"/>
              </w:rPr>
              <w:t>Release identity</w:t>
            </w:r>
          </w:p>
        </w:tc>
        <w:tc>
          <w:tcPr>
            <w:tcW w:type="dxa" w:w="7819"/>
            <w:vAlign w:val="center"/>
          </w:tcPr>
          <w:p>
            <w:pPr>
              <w:keepNext w:val="0"/>
              <w:widowControl w:val="0"/>
              <w:spacing w:after="0" w:before="0" w:line="250" w:lineRule="auto"/>
            </w:pPr>
            <w:r>
              <w:rPr>
                <w:b w:val="0"/>
                <w:i w:val="0"/>
                <w:sz w:val="20"/>
              </w:rPr>
              <w:t>System, stack, candidate/release identifier, predecessor, builder, reviewer, release authority, and the SOP/procedure revisions used.</w:t>
            </w:r>
          </w:p>
        </w:tc>
      </w:tr>
      <w:tr>
        <w:trPr>
          <w:cantSplit/>
        </w:trPr>
        <w:tc>
          <w:tcPr>
            <w:tcW w:type="dxa" w:w="2333"/>
            <w:vAlign w:val="center"/>
          </w:tcPr>
          <w:p>
            <w:pPr>
              <w:keepNext w:val="0"/>
              <w:widowControl w:val="0"/>
              <w:spacing w:after="0" w:before="0" w:line="250" w:lineRule="auto"/>
            </w:pPr>
            <w:r>
              <w:rPr>
                <w:b w:val="0"/>
                <w:i w:val="0"/>
                <w:sz w:val="20"/>
              </w:rPr>
              <w:t>Package intent</w:t>
            </w:r>
          </w:p>
        </w:tc>
        <w:tc>
          <w:tcPr>
            <w:tcW w:type="dxa" w:w="7819"/>
            <w:vAlign w:val="center"/>
          </w:tcPr>
          <w:p>
            <w:pPr>
              <w:keepNext w:val="0"/>
              <w:widowControl w:val="0"/>
              <w:spacing w:after="0" w:before="0" w:line="250" w:lineRule="auto"/>
            </w:pPr>
            <w:r>
              <w:rPr>
                <w:b w:val="0"/>
                <w:i w:val="0"/>
                <w:sz w:val="20"/>
              </w:rPr>
              <w:t>Controlled CSE roster and environment definitions, including root versions, variants, supported dependency combinations, and explicit exceptions.</w:t>
            </w:r>
          </w:p>
        </w:tc>
      </w:tr>
      <w:tr>
        <w:trPr>
          <w:cantSplit/>
        </w:trPr>
        <w:tc>
          <w:tcPr>
            <w:tcW w:type="dxa" w:w="2333"/>
            <w:vAlign w:val="center"/>
          </w:tcPr>
          <w:p>
            <w:pPr>
              <w:keepNext w:val="0"/>
              <w:widowControl w:val="0"/>
              <w:spacing w:after="0" w:before="0" w:line="250" w:lineRule="auto"/>
            </w:pPr>
            <w:r>
              <w:rPr>
                <w:b w:val="0"/>
                <w:i w:val="0"/>
                <w:sz w:val="20"/>
              </w:rPr>
              <w:t>Platform catalog</w:t>
            </w:r>
          </w:p>
        </w:tc>
        <w:tc>
          <w:tcPr>
            <w:tcW w:type="dxa" w:w="7819"/>
            <w:vAlign w:val="center"/>
          </w:tcPr>
          <w:p>
            <w:pPr>
              <w:keepNext w:val="0"/>
              <w:widowControl w:val="0"/>
              <w:spacing w:after="0" w:before="0" w:line="250" w:lineRule="auto"/>
            </w:pPr>
            <w:r>
              <w:rPr>
                <w:b w:val="0"/>
                <w:i w:val="0"/>
                <w:sz w:val="20"/>
              </w:rPr>
              <w:t>Exact restricted catalog release, source identities, selected-scope digests, and the reviewed platform/provider records.</w:t>
            </w:r>
          </w:p>
        </w:tc>
      </w:tr>
      <w:tr>
        <w:trPr>
          <w:cantSplit/>
        </w:trPr>
        <w:tc>
          <w:tcPr>
            <w:tcW w:type="dxa" w:w="2333"/>
            <w:vAlign w:val="center"/>
          </w:tcPr>
          <w:p>
            <w:pPr>
              <w:keepNext w:val="0"/>
              <w:widowControl w:val="0"/>
              <w:spacing w:after="0" w:before="0" w:line="250" w:lineRule="auto"/>
            </w:pPr>
            <w:r>
              <w:rPr>
                <w:b w:val="0"/>
                <w:i w:val="0"/>
                <w:sz w:val="20"/>
              </w:rPr>
              <w:t>Tool and recipe baseline</w:t>
            </w:r>
          </w:p>
        </w:tc>
        <w:tc>
          <w:tcPr>
            <w:tcW w:type="dxa" w:w="7819"/>
            <w:vAlign w:val="center"/>
          </w:tcPr>
          <w:p>
            <w:pPr>
              <w:keepNext w:val="0"/>
              <w:widowControl w:val="0"/>
              <w:spacing w:after="0" w:before="0" w:line="250" w:lineRule="auto"/>
            </w:pPr>
            <w:r>
              <w:rPr>
                <w:b w:val="0"/>
                <w:i w:val="0"/>
                <w:sz w:val="20"/>
              </w:rPr>
              <w:t>Exact approved Spack version/tag/commit, package-repository commits and order, and CSE overlays. Verify the selected version against the command baseline in the shared procedure before use.</w:t>
            </w:r>
          </w:p>
        </w:tc>
      </w:tr>
      <w:tr>
        <w:trPr>
          <w:cantSplit/>
        </w:trPr>
        <w:tc>
          <w:tcPr>
            <w:tcW w:type="dxa" w:w="2333"/>
            <w:vAlign w:val="center"/>
          </w:tcPr>
          <w:p>
            <w:pPr>
              <w:keepNext w:val="0"/>
              <w:widowControl w:val="0"/>
              <w:spacing w:after="0" w:before="0" w:line="250" w:lineRule="auto"/>
            </w:pPr>
            <w:r>
              <w:rPr>
                <w:b w:val="0"/>
                <w:i w:val="0"/>
                <w:sz w:val="20"/>
              </w:rPr>
              <w:t>Deployment</w:t>
            </w:r>
          </w:p>
        </w:tc>
        <w:tc>
          <w:tcPr>
            <w:tcW w:type="dxa" w:w="7819"/>
            <w:vAlign w:val="center"/>
          </w:tcPr>
          <w:p>
            <w:pPr>
              <w:keepNext w:val="0"/>
              <w:widowControl w:val="0"/>
              <w:spacing w:after="0" w:before="0" w:line="250" w:lineRule="auto"/>
            </w:pPr>
            <w:r>
              <w:rPr>
                <w:b w:val="0"/>
                <w:i w:val="0"/>
                <w:sz w:val="20"/>
              </w:rPr>
              <w:t>Installer-chosen restricted and published roots, stages, caches/mirrors, evidence location, gateway location, collaboration group, and access audiences.</w:t>
            </w:r>
          </w:p>
        </w:tc>
      </w:tr>
      <w:tr>
        <w:trPr>
          <w:cantSplit/>
        </w:trPr>
        <w:tc>
          <w:tcPr>
            <w:tcW w:type="dxa" w:w="2333"/>
            <w:vAlign w:val="center"/>
          </w:tcPr>
          <w:p>
            <w:pPr>
              <w:keepNext w:val="0"/>
              <w:widowControl w:val="0"/>
              <w:spacing w:after="0" w:before="0" w:line="250" w:lineRule="auto"/>
            </w:pPr>
            <w:r>
              <w:rPr>
                <w:b w:val="0"/>
                <w:i w:val="0"/>
                <w:sz w:val="20"/>
              </w:rPr>
              <w:t>Security baseline</w:t>
            </w:r>
          </w:p>
        </w:tc>
        <w:tc>
          <w:tcPr>
            <w:tcW w:type="dxa" w:w="7819"/>
            <w:vAlign w:val="center"/>
          </w:tcPr>
          <w:p>
            <w:pPr>
              <w:keepNext w:val="0"/>
              <w:widowControl w:val="0"/>
              <w:spacing w:after="0" w:before="0" w:line="250" w:lineRule="auto"/>
            </w:pPr>
            <w:r>
              <w:rPr>
                <w:b w:val="0"/>
                <w:i w:val="0"/>
                <w:sz w:val="20"/>
              </w:rPr>
              <w:t>Input origins, preparation/build network controls, approved scanners and test requirements, signing backend and full key fingerprint, review scope, and applicable exception decisions.</w:t>
            </w:r>
          </w:p>
        </w:tc>
      </w:tr>
      <w:tr>
        <w:trPr>
          <w:cantSplit/>
        </w:trPr>
        <w:tc>
          <w:tcPr>
            <w:tcW w:type="dxa" w:w="2333"/>
            <w:vAlign w:val="center"/>
          </w:tcPr>
          <w:p>
            <w:pPr>
              <w:keepNext w:val="0"/>
              <w:widowControl w:val="0"/>
              <w:spacing w:after="0" w:before="0" w:line="250" w:lineRule="auto"/>
            </w:pPr>
            <w:r>
              <w:rPr>
                <w:b w:val="0"/>
                <w:i w:val="0"/>
                <w:sz w:val="20"/>
              </w:rPr>
              <w:t>Transfer when used</w:t>
            </w:r>
          </w:p>
        </w:tc>
        <w:tc>
          <w:tcPr>
            <w:tcW w:type="dxa" w:w="7819"/>
            <w:vAlign w:val="center"/>
          </w:tcPr>
          <w:p>
            <w:pPr>
              <w:keepNext w:val="0"/>
              <w:widowControl w:val="0"/>
              <w:spacing w:after="0" w:before="0" w:line="250" w:lineRule="auto"/>
            </w:pPr>
            <w:r>
              <w:rPr>
                <w:b w:val="0"/>
                <w:i w:val="0"/>
                <w:sz w:val="20"/>
              </w:rPr>
              <w:t>Source and destination identifiers, transfer authorization/route, bundle identity and inventory, destination build or binary-install mode, compatibility evidence, and receipt/acceptance decisions.</w:t>
            </w:r>
          </w:p>
        </w:tc>
      </w:tr>
      <w:tr>
        <w:trPr>
          <w:cantSplit/>
        </w:trPr>
        <w:tc>
          <w:tcPr>
            <w:tcW w:type="dxa" w:w="2333"/>
            <w:vAlign w:val="center"/>
          </w:tcPr>
          <w:p>
            <w:pPr>
              <w:keepNext w:val="0"/>
              <w:widowControl w:val="0"/>
              <w:spacing w:after="0" w:before="0" w:line="250" w:lineRule="auto"/>
            </w:pPr>
            <w:r>
              <w:rPr>
                <w:b w:val="0"/>
                <w:i w:val="0"/>
                <w:sz w:val="20"/>
              </w:rPr>
              <w:t>Operations</w:t>
            </w:r>
          </w:p>
        </w:tc>
        <w:tc>
          <w:tcPr>
            <w:tcW w:type="dxa" w:w="7819"/>
            <w:vAlign w:val="center"/>
          </w:tcPr>
          <w:p>
            <w:pPr>
              <w:keepNext w:val="0"/>
              <w:widowControl w:val="0"/>
              <w:spacing w:after="0" w:before="0" w:line="250" w:lineRule="auto"/>
            </w:pPr>
            <w:r>
              <w:rPr>
                <w:b w:val="0"/>
                <w:i w:val="0"/>
                <w:sz w:val="20"/>
              </w:rPr>
              <w:t>Support queue, announcement channel, system/security contacts, retention choices, and any stricter site response targets.</w:t>
            </w:r>
          </w:p>
        </w:tc>
      </w:tr>
    </w:tbl>
    <w:p>
      <w:pPr>
        <w:spacing w:after="0" w:before="0" w:line="80" w:lineRule="exact"/>
      </w:pPr>
      <w:r>
        <w:rPr>
          <w:sz w:val="4"/>
        </w:rPr>
      </w:r>
    </w:p>
    <w:p>
      <w:pPr/>
      <w:r>
        <w:rPr>
          <w:b w:val="0"/>
          <w:i w:val="0"/>
        </w:rPr>
        <w:t>The roster controls root versions and variants. An email, mirror's contents, or an available binary does not override that selection. The platform catalog controls supported configuration, and the installer records deployment paths; CSE does not infer those paths from system discovery.</w:t>
      </w:r>
    </w:p>
    <w:p>
      <w:pPr>
        <w:pStyle w:val="Heading1"/>
      </w:pPr>
      <w:r>
        <w:rPr>
          <w:b w:val="0"/>
          <w:i w:val="0"/>
        </w:rPr>
        <w:t>4. Storage, access, and Spack runtime</w:t>
      </w:r>
    </w:p>
    <w:p>
      <w:pPr/>
      <w:r>
        <w:rPr>
          <w:b w:val="0"/>
          <w:i w:val="0"/>
        </w:rPr>
        <w:t>Follow shared procedure Section 4 to configure and verify the selected paths, runtime, permissions, and effective configuration. CSE uses separate restricted working and published namespaces:</w:t>
      </w:r>
    </w:p>
    <w:p>
      <w:pPr>
        <w:keepLines w:val="0"/>
        <w:widowControl/>
        <w:spacing w:before="40" w:after="160" w:line="245" w:lineRule="auto"/>
        <w:ind w:left="115" w:right="43"/>
      </w:pPr>
      <w:r>
        <w:rPr>
          <w:rFonts w:ascii="Courier New" w:hAnsi="Courier New"/>
          <w:b w:val="0"/>
          <w:i w:val="0"/>
          <w:sz w:val="18"/>
        </w:rPr>
        <w:t>&lt;approved-cse-shared-root&gt;/</w:t>
        <w:br/>
        <w:t xml:space="preserve">  restricted/</w:t>
        <w:br/>
        <w:t xml:space="preserve">    catalogs/&lt;system&gt;/static/&lt;catalog-release&gt;/</w:t>
        <w:br/>
        <w:t xml:space="preserve">    workspaces/&lt;system&gt;/&lt;stack&gt;/&lt;release&gt;/</w:t>
        <w:br/>
        <w:t xml:space="preserve">    cache/source/</w:t>
        <w:br/>
        <w:t xml:space="preserve">    cache/misc/&lt;builder&gt;/</w:t>
        <w:br/>
        <w:t xml:space="preserve">    releases/&lt;system&gt;/&lt;release&gt;/</w:t>
        <w:br/>
        <w:t xml:space="preserve">    buildcache/&lt;system&gt;/&lt;release&gt;/</w:t>
        <w:br/>
        <w:t xml:space="preserve">    evidence/&lt;system&gt;/&lt;release&gt;/</w:t>
        <w:br/>
        <w:t xml:space="preserve">  published/</w:t>
        <w:br/>
        <w:t xml:space="preserve">    catalogs/&lt;system&gt;/static/&lt;catalog-release&gt;/</w:t>
        <w:br/>
        <w:t xml:space="preserve">    catalogs/&lt;system&gt;/static/current</w:t>
        <w:br/>
        <w:t xml:space="preserve">    workspaces/&lt;system&gt;/&lt;stack&gt;/&lt;release&gt;/</w:t>
        <w:br/>
        <w:t xml:space="preserve">    releases/&lt;system&gt;/&lt;release&gt;/</w:t>
        <w:br/>
        <w:br/>
        <w:t>&lt;approved-per-user-stage-root&gt;/&lt;builder&gt;/&lt;release&gt;/</w:t>
        <w:br/>
        <w:t xml:space="preserve">  build-stage/</w:t>
        <w:br/>
        <w:t xml:space="preserve">  publish-stage/</w:t>
      </w:r>
    </w:p>
    <w:p>
      <w:pPr/>
      <w:r>
        <w:rPr>
          <w:b w:val="0"/>
          <w:i w:val="0"/>
        </w:rPr>
        <w:t>This is a deployment pattern. Record actual roots rather than copying the placeholders. Source-mirror snapshots, transfer staging, and accepted evidence snapshots have separately recorded paths and write authorities.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State</w:t>
            </w:r>
          </w:p>
        </w:tc>
        <w:tc>
          <w:tcPr>
            <w:tcW w:type="dxa" w:w="7819"/>
            <w:vAlign w:val="center"/>
            <w:shd w:fill="DCE6F1"/>
          </w:tcPr>
          <w:p>
            <w:pPr>
              <w:keepNext w:val="0"/>
              <w:widowControl w:val="0"/>
              <w:spacing w:after="0" w:before="0" w:line="250" w:lineRule="auto"/>
            </w:pPr>
            <w:r>
              <w:rPr>
                <w:b/>
                <w:i w:val="0"/>
                <w:sz w:val="20"/>
              </w:rPr>
              <w:t>CSE access policy</w:t>
            </w:r>
          </w:p>
        </w:tc>
      </w:tr>
      <w:tr>
        <w:trPr>
          <w:cantSplit/>
        </w:trPr>
        <w:tc>
          <w:tcPr>
            <w:tcW w:type="dxa" w:w="2333"/>
            <w:vAlign w:val="center"/>
          </w:tcPr>
          <w:p>
            <w:pPr>
              <w:keepNext w:val="0"/>
              <w:widowControl w:val="0"/>
              <w:spacing w:after="0" w:before="0" w:line="250" w:lineRule="auto"/>
            </w:pPr>
            <w:r>
              <w:rPr>
                <w:b w:val="0"/>
                <w:i w:val="0"/>
                <w:sz w:val="20"/>
              </w:rPr>
              <w:t>Restricted working workspace, source cache, views, modules, file-backed candidate cache, and working evidence</w:t>
            </w:r>
          </w:p>
        </w:tc>
        <w:tc>
          <w:tcPr>
            <w:tcW w:type="dxa" w:w="7819"/>
            <w:vAlign w:val="center"/>
          </w:tcPr>
          <w:p>
            <w:pPr>
              <w:keepNext w:val="0"/>
              <w:widowControl w:val="0"/>
              <w:spacing w:after="0" w:before="0" w:line="250" w:lineRule="auto"/>
            </w:pPr>
            <w:r>
              <w:rPr>
                <w:b w:val="0"/>
                <w:i w:val="0"/>
                <w:sz w:val="20"/>
              </w:rPr>
              <w:t xml:space="preserve">Recorded CSE group; directories </w:t>
            </w:r>
            <w:r>
              <w:rPr>
                <w:rFonts w:ascii="Courier New" w:hAnsi="Courier New"/>
                <w:b w:val="0"/>
                <w:i w:val="0"/>
                <w:sz w:val="18"/>
              </w:rPr>
              <w:t>2770</w:t>
            </w:r>
            <w:r>
              <w:rPr>
                <w:b w:val="0"/>
                <w:i w:val="0"/>
                <w:sz w:val="20"/>
              </w:rPr>
              <w:t xml:space="preserve">, ordinary files </w:t>
            </w:r>
            <w:r>
              <w:rPr>
                <w:rFonts w:ascii="Courier New" w:hAnsi="Courier New"/>
                <w:b w:val="0"/>
                <w:i w:val="0"/>
                <w:sz w:val="18"/>
              </w:rPr>
              <w:t>0660</w:t>
            </w:r>
            <w:r>
              <w:rPr>
                <w:b w:val="0"/>
                <w:i w:val="0"/>
                <w:sz w:val="20"/>
              </w:rPr>
              <w:t xml:space="preserve">, executables </w:t>
            </w:r>
            <w:r>
              <w:rPr>
                <w:rFonts w:ascii="Courier New" w:hAnsi="Courier New"/>
                <w:b w:val="0"/>
                <w:i w:val="0"/>
                <w:sz w:val="18"/>
              </w:rPr>
              <w:t>0770</w:t>
            </w:r>
            <w:r>
              <w:rPr>
                <w:b w:val="0"/>
                <w:i w:val="0"/>
                <w:sz w:val="20"/>
              </w:rPr>
              <w:t>, with no access for others while assembling the candidate.</w:t>
            </w:r>
          </w:p>
        </w:tc>
      </w:tr>
      <w:tr>
        <w:trPr>
          <w:cantSplit/>
        </w:trPr>
        <w:tc>
          <w:tcPr>
            <w:tcW w:type="dxa" w:w="2333"/>
            <w:vAlign w:val="center"/>
          </w:tcPr>
          <w:p>
            <w:pPr>
              <w:keepNext w:val="0"/>
              <w:widowControl w:val="0"/>
              <w:spacing w:after="0" w:before="0" w:line="250" w:lineRule="auto"/>
            </w:pPr>
            <w:r>
              <w:rPr>
                <w:b w:val="0"/>
                <w:i w:val="0"/>
                <w:sz w:val="20"/>
              </w:rPr>
              <w:t>Restricted install tree, database, and locks</w:t>
            </w:r>
          </w:p>
        </w:tc>
        <w:tc>
          <w:tcPr>
            <w:tcW w:type="dxa" w:w="7819"/>
            <w:vAlign w:val="center"/>
          </w:tcPr>
          <w:p>
            <w:pPr>
              <w:keepNext w:val="0"/>
              <w:widowControl w:val="0"/>
              <w:spacing w:after="0" w:before="0" w:line="250" w:lineRule="auto"/>
            </w:pPr>
            <w:r>
              <w:rPr>
                <w:b w:val="0"/>
                <w:i w:val="0"/>
                <w:sz w:val="20"/>
              </w:rPr>
              <w:t>Spack package permissions use the recorded group, group read/write, and enabled locking; shared-filesystem lock behavior must be verified.</w:t>
            </w:r>
          </w:p>
        </w:tc>
      </w:tr>
      <w:tr>
        <w:trPr>
          <w:cantSplit/>
        </w:trPr>
        <w:tc>
          <w:tcPr>
            <w:tcW w:type="dxa" w:w="2333"/>
            <w:vAlign w:val="center"/>
          </w:tcPr>
          <w:p>
            <w:pPr>
              <w:keepNext w:val="0"/>
              <w:widowControl w:val="0"/>
              <w:spacing w:after="0" w:before="0" w:line="250" w:lineRule="auto"/>
            </w:pPr>
            <w:r>
              <w:rPr>
                <w:b w:val="0"/>
                <w:i w:val="0"/>
                <w:sz w:val="20"/>
              </w:rPr>
              <w:t>Persistent miscellaneous cache</w:t>
            </w:r>
          </w:p>
        </w:tc>
        <w:tc>
          <w:tcPr>
            <w:tcW w:type="dxa" w:w="7819"/>
            <w:vAlign w:val="center"/>
          </w:tcPr>
          <w:p>
            <w:pPr>
              <w:keepNext w:val="0"/>
              <w:widowControl w:val="0"/>
              <w:spacing w:after="0" w:before="0" w:line="250" w:lineRule="auto"/>
            </w:pPr>
            <w:r>
              <w:rPr>
                <w:b w:val="0"/>
                <w:i w:val="0"/>
                <w:sz w:val="20"/>
              </w:rPr>
              <w:t>A builder-named partition, group-accessible for recovery; different builders use different mutable index partitions.</w:t>
            </w:r>
          </w:p>
        </w:tc>
      </w:tr>
      <w:tr>
        <w:trPr>
          <w:cantSplit/>
        </w:trPr>
        <w:tc>
          <w:tcPr>
            <w:tcW w:type="dxa" w:w="2333"/>
            <w:vAlign w:val="center"/>
          </w:tcPr>
          <w:p>
            <w:pPr>
              <w:keepNext w:val="0"/>
              <w:widowControl w:val="0"/>
              <w:spacing w:after="0" w:before="0" w:line="250" w:lineRule="auto"/>
            </w:pPr>
            <w:r>
              <w:rPr>
                <w:b w:val="0"/>
                <w:i w:val="0"/>
                <w:sz w:val="20"/>
              </w:rPr>
              <w:t>Build stage, per-process/user cache, and bootstrap work state</w:t>
            </w:r>
          </w:p>
        </w:tc>
        <w:tc>
          <w:tcPr>
            <w:tcW w:type="dxa" w:w="7819"/>
            <w:vAlign w:val="center"/>
          </w:tcPr>
          <w:p>
            <w:pPr>
              <w:keepNext w:val="0"/>
              <w:widowControl w:val="0"/>
              <w:spacing w:after="0" w:before="0" w:line="250" w:lineRule="auto"/>
            </w:pPr>
            <w:r>
              <w:rPr>
                <w:b w:val="0"/>
                <w:i w:val="0"/>
                <w:sz w:val="20"/>
              </w:rPr>
              <w:t>Private to the builder or process, recreated for a handoff, outside the Spack tool root.</w:t>
            </w:r>
          </w:p>
        </w:tc>
      </w:tr>
      <w:tr>
        <w:trPr>
          <w:cantSplit/>
        </w:trPr>
        <w:tc>
          <w:tcPr>
            <w:tcW w:type="dxa" w:w="2333"/>
            <w:vAlign w:val="center"/>
          </w:tcPr>
          <w:p>
            <w:pPr>
              <w:keepNext w:val="0"/>
              <w:widowControl w:val="0"/>
              <w:spacing w:after="0" w:before="0" w:line="250" w:lineRule="auto"/>
            </w:pPr>
            <w:r>
              <w:rPr>
                <w:b w:val="0"/>
                <w:i w:val="0"/>
                <w:sz w:val="20"/>
              </w:rPr>
              <w:t>Admitted inputs, reviewed snapshots, and accepted evidence</w:t>
            </w:r>
          </w:p>
        </w:tc>
        <w:tc>
          <w:tcPr>
            <w:tcW w:type="dxa" w:w="7819"/>
            <w:vAlign w:val="center"/>
          </w:tcPr>
          <w:p>
            <w:pPr>
              <w:keepNext w:val="0"/>
              <w:widowControl w:val="0"/>
              <w:spacing w:after="0" w:before="0" w:line="250" w:lineRule="auto"/>
            </w:pPr>
            <w:r>
              <w:rPr>
                <w:b w:val="0"/>
                <w:i w:val="0"/>
                <w:sz w:val="20"/>
              </w:rPr>
              <w:t>Retained as identifiable versions with controlled write authority; read-only to build execution where required by the baseline. Shared working-directory modes alone do not provide this protection.</w:t>
            </w:r>
          </w:p>
        </w:tc>
      </w:tr>
      <w:tr>
        <w:trPr>
          <w:cantSplit/>
        </w:trPr>
        <w:tc>
          <w:tcPr>
            <w:tcW w:type="dxa" w:w="2333"/>
            <w:vAlign w:val="center"/>
          </w:tcPr>
          <w:p>
            <w:pPr>
              <w:keepNext w:val="0"/>
              <w:widowControl w:val="0"/>
              <w:spacing w:after="0" w:before="0" w:line="250" w:lineRule="auto"/>
            </w:pPr>
            <w:r>
              <w:rPr>
                <w:b w:val="0"/>
                <w:i w:val="0"/>
                <w:sz w:val="20"/>
              </w:rPr>
              <w:t>Release private key</w:t>
            </w:r>
          </w:p>
        </w:tc>
        <w:tc>
          <w:tcPr>
            <w:tcW w:type="dxa" w:w="7819"/>
            <w:vAlign w:val="center"/>
          </w:tcPr>
          <w:p>
            <w:pPr>
              <w:keepNext w:val="0"/>
              <w:widowControl w:val="0"/>
              <w:spacing w:after="0" w:before="0" w:line="250" w:lineRule="auto"/>
            </w:pPr>
            <w:r>
              <w:rPr>
                <w:b w:val="0"/>
                <w:i w:val="0"/>
                <w:sz w:val="20"/>
              </w:rPr>
              <w:t>Controlled signing context outside build execution and transfer bundles. Builder work does not receive the release-signing credential.</w:t>
            </w:r>
          </w:p>
        </w:tc>
      </w:tr>
      <w:tr>
        <w:trPr>
          <w:cantSplit/>
        </w:trPr>
        <w:tc>
          <w:tcPr>
            <w:tcW w:type="dxa" w:w="2333"/>
            <w:vAlign w:val="center"/>
          </w:tcPr>
          <w:p>
            <w:pPr>
              <w:keepNext w:val="0"/>
              <w:widowControl w:val="0"/>
              <w:spacing w:after="0" w:before="0" w:line="250" w:lineRule="auto"/>
            </w:pPr>
            <w:r>
              <w:rPr>
                <w:b w:val="0"/>
                <w:i w:val="0"/>
                <w:sz w:val="20"/>
              </w:rPr>
              <w:t>Published content</w:t>
            </w:r>
          </w:p>
        </w:tc>
        <w:tc>
          <w:tcPr>
            <w:tcW w:type="dxa" w:w="7819"/>
            <w:vAlign w:val="center"/>
          </w:tcPr>
          <w:p>
            <w:pPr>
              <w:keepNext w:val="0"/>
              <w:widowControl w:val="0"/>
              <w:spacing w:after="0" w:before="0" w:line="250" w:lineRule="auto"/>
            </w:pPr>
            <w:r>
              <w:rPr>
                <w:b w:val="0"/>
                <w:i w:val="0"/>
                <w:sz w:val="20"/>
              </w:rPr>
              <w:t xml:space="preserve">Same recorded CSE management group; directories </w:t>
            </w:r>
            <w:r>
              <w:rPr>
                <w:rFonts w:ascii="Courier New" w:hAnsi="Courier New"/>
                <w:b w:val="0"/>
                <w:i w:val="0"/>
                <w:sz w:val="18"/>
              </w:rPr>
              <w:t>2775</w:t>
            </w:r>
            <w:r>
              <w:rPr>
                <w:b w:val="0"/>
                <w:i w:val="0"/>
                <w:sz w:val="20"/>
              </w:rPr>
              <w:t xml:space="preserve">, executables </w:t>
            </w:r>
            <w:r>
              <w:rPr>
                <w:rFonts w:ascii="Courier New" w:hAnsi="Courier New"/>
                <w:b w:val="0"/>
                <w:i w:val="0"/>
                <w:sz w:val="18"/>
              </w:rPr>
              <w:t>0775</w:t>
            </w:r>
            <w:r>
              <w:rPr>
                <w:b w:val="0"/>
                <w:i w:val="0"/>
                <w:sz w:val="20"/>
              </w:rPr>
              <w:t xml:space="preserve">, ordinary files </w:t>
            </w:r>
            <w:r>
              <w:rPr>
                <w:rFonts w:ascii="Courier New" w:hAnsi="Courier New"/>
                <w:b w:val="0"/>
                <w:i w:val="0"/>
                <w:sz w:val="18"/>
              </w:rPr>
              <w:t>0664</w:t>
            </w:r>
            <w:r>
              <w:rPr>
                <w:b w:val="0"/>
                <w:i w:val="0"/>
                <w:sz w:val="20"/>
              </w:rPr>
              <w:t>, and no write for users outside CSE.</w:t>
            </w:r>
          </w:p>
        </w:tc>
      </w:tr>
    </w:tbl>
    <w:p>
      <w:pPr>
        <w:spacing w:after="0" w:before="0" w:line="80" w:lineRule="exact"/>
      </w:pPr>
      <w:r>
        <w:rPr>
          <w:sz w:val="4"/>
        </w:rPr>
      </w:r>
    </w:p>
    <w:p>
      <w:pPr/>
      <w:r>
        <w:rPr>
          <w:b w:val="0"/>
          <w:i w:val="0"/>
        </w:rPr>
        <w:t xml:space="preserve">Record and confirm the designated CSE Unix collaboration group on each system. Setgid and the selected default ACL or </w:t>
      </w:r>
      <w:r>
        <w:rPr>
          <w:rFonts w:ascii="Courier New" w:hAnsi="Courier New"/>
          <w:b w:val="0"/>
          <w:i w:val="0"/>
          <w:sz w:val="18"/>
        </w:rPr>
        <w:t>umask 0007</w:t>
      </w:r>
      <w:r>
        <w:rPr>
          <w:b w:val="0"/>
          <w:i w:val="0"/>
        </w:rPr>
        <w:t xml:space="preserve"> provide working defaults; programs can create stricter modes, so the common handoff permission checks still apply. Each builder normalizes only their own working outputs after parallel work stops. Do not recursively change a shared tree without its filesystem owner's confirmation of scope.</w:t>
      </w:r>
    </w:p>
    <w:p>
      <w:pPr/>
      <w:r>
        <w:rPr>
          <w:b w:val="0"/>
          <w:i w:val="0"/>
        </w:rPr>
        <w:t>CSE retains group management access to published content for controlled retirement and replacement. A frozen release is not edited in place. Protect and retain the approved snapshot/digests and record management actions; group-writable permissions are not a claim of storage-enforced immutability.</w:t>
      </w:r>
    </w:p>
    <w:p>
      <w:pPr/>
      <w:r>
        <w:rPr>
          <w:b w:val="0"/>
          <w:i w:val="0"/>
        </w:rPr>
        <w:t>CSE accepts either a read-only shared Spack checkout or an identity-equivalent builder-local checkout. Both must match the approved clean version/tag/commit and remain unchanged during the release. The tool root contains no workspace, package install tree, stage, cache, view, module tree, or signing key. Provision a changed Spack version in a new sibling directory. Follow the shared runtime and scope checks rather than changing checkout-local configuration in place.</w:t>
      </w:r>
    </w:p>
    <w:p>
      <w:pPr>
        <w:pStyle w:val="Heading1"/>
      </w:pPr>
      <w:r>
        <w:rPr>
          <w:b w:val="0"/>
          <w:i w:val="0"/>
        </w:rPr>
        <w:t>5. Preflight</w:t>
      </w:r>
    </w:p>
    <w:p>
      <w:pPr/>
      <w:r>
        <w:rPr>
          <w:b w:val="0"/>
          <w:i w:val="0"/>
        </w:rPr>
        <w:t>Follow shared procedure Section 5 with the CSE operating record. Before work proceeds, the two team members confirm that the prepared system/catalog, deployment, roster, runtime, repositories, and configuration identify the same candidate; the required node types and providers are available; shared paths and locking work; and both accounts have the intended working access.</w:t>
      </w:r>
    </w:p>
    <w:p>
      <w:pPr/>
      <w:r>
        <w:rPr>
          <w:b w:val="0"/>
          <w:i w:val="0"/>
        </w:rPr>
        <w:t>Record the actual intake/build network enforcement, signing context, and mirror paths. An intended control written in this SOP is not evidence of enforcement. When inputs arrive by transfer, complete the receiving-system preflight and approved transfer checks before executing transferred tools or recipes. A failed prerequisite holds the affected step.</w:t>
      </w:r>
    </w:p>
    <w:p>
      <w:pPr>
        <w:pStyle w:val="Heading1"/>
      </w:pPr>
      <w:r>
        <w:rPr>
          <w:b w:val="0"/>
          <w:i w:val="0"/>
        </w:rPr>
        <w:t>6. Select platform configuration</w:t>
      </w:r>
    </w:p>
    <w:p>
      <w:pPr/>
      <w:r>
        <w:rPr>
          <w:b w:val="0"/>
          <w:i w:val="0"/>
        </w:rPr>
        <w:t>Use shared procedure Section 6 for catalog preparation, inspection, and scope selection. CSE retains an exact restricted catalog as the configuration record for both its build workspace and its later publication workspace. Record the catalog identity, source revisions, scope selections, and resulting effective configuration in the release evidence.</w:t>
      </w:r>
    </w:p>
    <w:p>
      <w:pPr/>
      <w:r>
        <w:rPr>
          <w:b w:val="0"/>
          <w:i w:val="0"/>
        </w:rPr>
        <w:t xml:space="preserve">The public static catalog is a separate configuration product for package managers outside CSE. It contains reviewed Spack configuration, a contents and identity inventory, supported platform/provider combinations, usage instructions, and its approval record. It does not expose restricted workspaces, package prefixes, private caches, or signing material. Its versioned public path is pinned by its consumers; </w:t>
      </w:r>
      <w:r>
        <w:rPr>
          <w:rFonts w:ascii="Courier New" w:hAnsi="Courier New"/>
          <w:b w:val="0"/>
          <w:i w:val="0"/>
          <w:sz w:val="18"/>
        </w:rPr>
        <w:t>current</w:t>
      </w:r>
      <w:r>
        <w:rPr>
          <w:b w:val="0"/>
          <w:i w:val="0"/>
        </w:rPr>
        <w:t xml:space="preserve"> is for discovery. Public catalog publication does not replace the restricted catalog of record.</w:t>
      </w:r>
    </w:p>
    <w:p>
      <w:pPr/>
      <w:r>
        <w:rPr>
          <w:b w:val="0"/>
          <w:i w:val="0"/>
        </w:rPr>
        <w:t>CSE selects compiler/MPI/GPU combinations from reviewed provider evidence. Cray MPICH is the normal Cray-native provider, with explicit alternative MPI providers allowed when CSE policy and the catalog support them. Do not infer MPI solely from system family. A GNU version in a Cray MPI flavor name is a supported compiler baseline, not by itself an exact CSE GCC version pin.</w:t>
      </w:r>
    </w:p>
    <w:p>
      <w:pPr/>
      <w:r>
        <w:rPr>
          <w:b w:val="0"/>
          <w:i w:val="0"/>
        </w:rPr>
        <w:t>System OpenSSL, curl, MPI, fabric, launcher, math, and runtime components remain external when selected catalog policy assigns them to the platform. Inventory their exact identities and test their integration. The acquisition host's platform facts do not replace those of the destination system.</w:t>
      </w:r>
    </w:p>
    <w:p>
      <w:pPr>
        <w:pStyle w:val="Heading1"/>
      </w:pPr>
      <w:r>
        <w:rPr>
          <w:b w:val="0"/>
          <w:i w:val="0"/>
        </w:rPr>
        <w:t>7. Define the environment</w:t>
      </w:r>
    </w:p>
    <w:p>
      <w:pPr/>
      <w:r>
        <w:rPr>
          <w:b w:val="0"/>
          <w:i w:val="0"/>
        </w:rPr>
        <w:t>Use shared procedure Section 7 to prepare and inspect the complete Spack environment and its approved inputs. Retain the release record, environment sources and lockfiles, configuration scopes, overlays, module definitions, and instructions needed by another authorized operator. Preserve relative includes as a complete tree during delivery. Accept the resulting configuration through the same Spack checks whether it was assembled manually or with approved automation.</w:t>
      </w:r>
    </w:p>
    <w:p>
      <w:pPr>
        <w:pStyle w:val="Heading2"/>
      </w:pPr>
      <w:r>
        <w:rPr>
          <w:b w:val="0"/>
          <w:i w:val="0"/>
        </w:rPr>
        <w:t>7.1 CSE environment layout</w:t>
      </w:r>
    </w:p>
    <w:p>
      <w:pPr/>
      <w:r>
        <w:rPr>
          <w:b w:val="0"/>
          <w:i w:val="0"/>
        </w:rPr>
        <w:t>CSE separates the following independently concretized environments for each supported compiler surface: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Environment</w:t>
            </w:r>
          </w:p>
        </w:tc>
        <w:tc>
          <w:tcPr>
            <w:tcW w:type="dxa" w:w="7819"/>
            <w:vAlign w:val="center"/>
            <w:shd w:fill="DCE6F1"/>
          </w:tcPr>
          <w:p>
            <w:pPr>
              <w:keepNext w:val="0"/>
              <w:widowControl w:val="0"/>
              <w:spacing w:after="0" w:before="0" w:line="250" w:lineRule="auto"/>
            </w:pPr>
            <w:r>
              <w:rPr>
                <w:b/>
                <w:i w:val="0"/>
                <w:sz w:val="20"/>
              </w:rPr>
              <w:t>CSE content and binding</w:t>
            </w:r>
          </w:p>
        </w:tc>
      </w:tr>
      <w:tr>
        <w:trPr>
          <w:cantSplit/>
        </w:trPr>
        <w:tc>
          <w:tcPr>
            <w:tcW w:type="dxa" w:w="2333"/>
            <w:vAlign w:val="center"/>
          </w:tcPr>
          <w:p>
            <w:pPr>
              <w:keepNext w:val="0"/>
              <w:widowControl w:val="0"/>
              <w:spacing w:after="0" w:before="0" w:line="250" w:lineRule="auto"/>
            </w:pPr>
            <w:r>
              <w:rPr>
                <w:b w:val="0"/>
                <w:i w:val="0"/>
                <w:sz w:val="20"/>
              </w:rPr>
              <w:t>Core</w:t>
            </w:r>
          </w:p>
        </w:tc>
        <w:tc>
          <w:tcPr>
            <w:tcW w:type="dxa" w:w="7819"/>
            <w:vAlign w:val="center"/>
          </w:tcPr>
          <w:p>
            <w:pPr>
              <w:keepNext w:val="0"/>
              <w:widowControl w:val="0"/>
              <w:spacing w:after="0" w:before="0" w:line="250" w:lineRule="auto"/>
            </w:pPr>
            <w:r>
              <w:rPr>
                <w:b w:val="0"/>
                <w:i w:val="0"/>
                <w:sz w:val="20"/>
              </w:rPr>
              <w:t>Foundation libraries and CSE-selected tools/Python; bound to the compiler surface.</w:t>
            </w:r>
          </w:p>
        </w:tc>
      </w:tr>
      <w:tr>
        <w:trPr>
          <w:cantSplit/>
        </w:trPr>
        <w:tc>
          <w:tcPr>
            <w:tcW w:type="dxa" w:w="2333"/>
            <w:vAlign w:val="center"/>
          </w:tcPr>
          <w:p>
            <w:pPr>
              <w:keepNext w:val="0"/>
              <w:widowControl w:val="0"/>
              <w:spacing w:after="0" w:before="0" w:line="250" w:lineRule="auto"/>
            </w:pPr>
            <w:r>
              <w:rPr>
                <w:b w:val="0"/>
                <w:i w:val="0"/>
                <w:sz w:val="20"/>
              </w:rPr>
              <w:t>Common</w:t>
            </w:r>
          </w:p>
        </w:tc>
        <w:tc>
          <w:tcPr>
            <w:tcW w:type="dxa" w:w="7819"/>
            <w:vAlign w:val="center"/>
          </w:tcPr>
          <w:p>
            <w:pPr>
              <w:keepNext w:val="0"/>
              <w:widowControl w:val="0"/>
              <w:spacing w:after="0" w:before="0" w:line="250" w:lineRule="auto"/>
            </w:pPr>
            <w:r>
              <w:rPr>
                <w:b w:val="0"/>
                <w:i w:val="0"/>
                <w:sz w:val="20"/>
              </w:rPr>
              <w:t>Compiler-dependent packages shared by payload lanes; bound to the compiler.</w:t>
            </w:r>
          </w:p>
        </w:tc>
      </w:tr>
      <w:tr>
        <w:trPr>
          <w:cantSplit/>
        </w:trPr>
        <w:tc>
          <w:tcPr>
            <w:tcW w:type="dxa" w:w="2333"/>
            <w:vAlign w:val="center"/>
          </w:tcPr>
          <w:p>
            <w:pPr>
              <w:keepNext w:val="0"/>
              <w:widowControl w:val="0"/>
              <w:spacing w:after="0" w:before="0" w:line="250" w:lineRule="auto"/>
            </w:pPr>
            <w:r>
              <w:rPr>
                <w:b w:val="0"/>
                <w:i w:val="0"/>
                <w:sz w:val="20"/>
              </w:rPr>
              <w:t>Serial</w:t>
            </w:r>
          </w:p>
        </w:tc>
        <w:tc>
          <w:tcPr>
            <w:tcW w:type="dxa" w:w="7819"/>
            <w:vAlign w:val="center"/>
          </w:tcPr>
          <w:p>
            <w:pPr>
              <w:keepNext w:val="0"/>
              <w:widowControl w:val="0"/>
              <w:spacing w:after="0" w:before="0" w:line="250" w:lineRule="auto"/>
            </w:pPr>
            <w:r>
              <w:rPr>
                <w:b w:val="0"/>
                <w:i w:val="0"/>
                <w:sz w:val="20"/>
              </w:rPr>
              <w:t>Non-MPI payloads; bound to the compiler with MPI disabled.</w:t>
            </w:r>
          </w:p>
        </w:tc>
      </w:tr>
      <w:tr>
        <w:trPr>
          <w:cantSplit/>
        </w:trPr>
        <w:tc>
          <w:tcPr>
            <w:tcW w:type="dxa" w:w="2333"/>
            <w:vAlign w:val="center"/>
          </w:tcPr>
          <w:p>
            <w:pPr>
              <w:keepNext w:val="0"/>
              <w:widowControl w:val="0"/>
              <w:spacing w:after="0" w:before="0" w:line="250" w:lineRule="auto"/>
            </w:pPr>
            <w:r>
              <w:rPr>
                <w:b w:val="0"/>
                <w:i w:val="0"/>
                <w:sz w:val="20"/>
              </w:rPr>
              <w:t>MPI</w:t>
            </w:r>
          </w:p>
        </w:tc>
        <w:tc>
          <w:tcPr>
            <w:tcW w:type="dxa" w:w="7819"/>
            <w:vAlign w:val="center"/>
          </w:tcPr>
          <w:p>
            <w:pPr>
              <w:keepNext w:val="0"/>
              <w:widowControl w:val="0"/>
              <w:spacing w:after="0" w:before="0" w:line="250" w:lineRule="auto"/>
            </w:pPr>
            <w:r>
              <w:rPr>
                <w:b w:val="0"/>
                <w:i w:val="0"/>
                <w:sz w:val="20"/>
              </w:rPr>
              <w:t>MPI-enabled payloads; bound to the compiler and its selected MPI provider.</w:t>
            </w:r>
          </w:p>
        </w:tc>
      </w:tr>
    </w:tbl>
    <w:p>
      <w:pPr>
        <w:spacing w:after="0" w:before="0" w:line="80" w:lineRule="exact"/>
      </w:pPr>
      <w:r>
        <w:rPr>
          <w:sz w:val="4"/>
        </w:rPr>
      </w:r>
    </w:p>
    <w:p>
      <w:pPr/>
      <w:r>
        <w:rPr>
          <w:b w:val="0"/>
          <w:i w:val="0"/>
        </w:rPr>
        <w:t>When the approved package selection includes GPU software, compose a GPU environment from the applicable MPI set plus GPU-specific packages and compatible compiler/MPI/GPU selections. Record the supported combinations and required GPU acceptance checks for the destination.</w:t>
      </w:r>
    </w:p>
    <w:p>
      <w:pPr/>
      <w:r>
        <w:rPr>
          <w:b w:val="0"/>
          <w:i w:val="0"/>
        </w:rPr>
        <w:t>Producer order is compiler, Foundation, build tools/Core, then payload. Use the shared procedure's Spack-native grouping and toolchain constraints to express producer order and selection. Repeated compiler, Foundation, and build-tool specs reuse installed packages only when their complete concrete hashes match. Foundation is owned per compiler surface; a public view alone does not establish cross-surface compatibility.</w:t>
      </w:r>
    </w:p>
    <w:p>
      <w:pPr>
        <w:pStyle w:val="Heading2"/>
      </w:pPr>
      <w:r>
        <w:rPr>
          <w:b w:val="0"/>
          <w:i w:val="0"/>
        </w:rPr>
        <w:t>7.2 CSE package and dependency policy</w:t>
      </w:r>
    </w:p>
    <w:p>
      <w:pPr>
        <w:pStyle w:val="ListParagraph"/>
        <w:numPr>
          <w:ilvl w:val="0"/>
          <w:numId w:val="10"/>
        </w:numPr>
        <w:ind w:left="360"/>
      </w:pPr>
      <w:r>
        <w:rPr>
          <w:b w:val="0"/>
          <w:i w:val="0"/>
        </w:rPr>
        <w:t>Foundation libraries use one pinned version per release and remain ambient through the selected view, without per-package modules.</w:t>
      </w:r>
    </w:p>
    <w:p>
      <w:pPr>
        <w:pStyle w:val="ListParagraph"/>
        <w:numPr>
          <w:ilvl w:val="0"/>
          <w:numId w:val="10"/>
        </w:numPr>
        <w:ind w:left="360"/>
      </w:pPr>
      <w:r>
        <w:rPr>
          <w:b w:val="0"/>
          <w:i w:val="0"/>
        </w:rPr>
        <w:t>Public packages normally include the current approved CSE version and the newest active version in the pinned recipe set. If the current CSE version is absent, use the two newest approved recipe-backed versions.</w:t>
      </w:r>
    </w:p>
    <w:p>
      <w:pPr>
        <w:pStyle w:val="ListParagraph"/>
        <w:numPr>
          <w:ilvl w:val="0"/>
          <w:numId w:val="10"/>
        </w:numPr>
        <w:ind w:left="360"/>
      </w:pPr>
      <w:r>
        <w:rPr>
          <w:b w:val="0"/>
          <w:i w:val="0"/>
        </w:rPr>
        <w:t>Record additional versions as controlled-roster exceptions.</w:t>
      </w:r>
    </w:p>
    <w:p>
      <w:pPr>
        <w:pStyle w:val="ListParagraph"/>
        <w:numPr>
          <w:ilvl w:val="0"/>
          <w:numId w:val="10"/>
        </w:numPr>
        <w:ind w:left="360"/>
      </w:pPr>
      <w:r>
        <w:rPr>
          <w:b w:val="0"/>
          <w:i w:val="0"/>
        </w:rPr>
        <w:t>Publish HDF5 and NetCDF as tested dependency combinations. Pin build-tool dependencies independently from any additional public tool version.</w:t>
      </w:r>
    </w:p>
    <w:p>
      <w:pPr>
        <w:pStyle w:val="ListParagraph"/>
        <w:numPr>
          <w:ilvl w:val="0"/>
          <w:numId w:val="10"/>
        </w:numPr>
        <w:ind w:left="360"/>
      </w:pPr>
      <w:r>
        <w:rPr>
          <w:b w:val="0"/>
          <w:i w:val="0"/>
        </w:rPr>
        <w:t>Version-sensitive modules express the tested dependency loads and conflicts.</w:t>
      </w:r>
    </w:p>
    <w:p>
      <w:pPr>
        <w:pStyle w:val="ListParagraph"/>
        <w:numPr>
          <w:ilvl w:val="0"/>
          <w:numId w:val="10"/>
        </w:numPr>
        <w:ind w:left="360"/>
      </w:pPr>
      <w:r>
        <w:rPr>
          <w:b w:val="0"/>
          <w:i w:val="0"/>
        </w:rPr>
        <w:t>Serial specs disable MPI; MPI specs enable it and bind the selected provider.</w:t>
      </w:r>
    </w:p>
    <w:p>
      <w:pPr>
        <w:pStyle w:val="ListParagraph"/>
        <w:numPr>
          <w:ilvl w:val="0"/>
          <w:numId w:val="10"/>
        </w:numPr>
        <w:ind w:left="360"/>
      </w:pPr>
      <w:r>
        <w:rPr>
          <w:b w:val="0"/>
          <w:i w:val="0"/>
        </w:rPr>
        <w:t>Apply the approved portable CPU target to source-built roots and dependencies. Approved architecture-specific binary distributions may use their recipe's required generic target.</w:t>
      </w:r>
    </w:p>
    <w:p>
      <w:pPr>
        <w:pStyle w:val="Heading1"/>
      </w:pPr>
      <w:r>
        <w:rPr>
          <w:b w:val="0"/>
          <w:i w:val="0"/>
        </w:rPr>
        <w:t>8. Concretize and review</w:t>
      </w:r>
    </w:p>
    <w:p>
      <w:pPr/>
      <w:r>
        <w:rPr>
          <w:b w:val="0"/>
          <w:i w:val="0"/>
        </w:rPr>
        <w:t xml:space="preserve">Follow the shared </w:t>
      </w:r>
      <w:hyperlink r:id="rId10" w:history="1" w:anchor="procedure_review">
        <w:r>
          <w:rPr>
            <w:b w:val="0"/>
            <w:i w:val="0"/>
            <w:color w:val="245A81"/>
            <w:u w:val="single"/>
          </w:rPr>
          <w:t>review procedure</w:t>
        </w:r>
      </w:hyperlink>
      <w:r>
        <w:rPr>
          <w:b w:val="0"/>
          <w:i w:val="0"/>
        </w:rPr>
        <w:t xml:space="preserve"> for resolution, inventory, changes, and review evidence. CSE checks the complete set of environments for controlled-roster versions, compiler/MPI binding, portable targets, externals, HDF5/NetCDF combinations, build-tool pins, absence of MPI from Serial, and matching producer hashes where reuse is intended. All required lockfiles and cross-environment checks must pass before production builds start.</w:t>
      </w:r>
    </w:p>
    <w:p>
      <w:pPr>
        <w:pStyle w:val="Heading2"/>
      </w:pPr>
      <w:r>
        <w:rPr>
          <w:b w:val="0"/>
          <w:i w:val="0"/>
        </w:rPr>
        <w:t>8.1 Scalable package review</w:t>
      </w:r>
    </w:p>
    <w:p>
      <w:pPr/>
      <w:r>
        <w:rPr>
          <w:b w:val="0"/>
          <w:i w:val="0"/>
        </w:rPr>
        <w:t>CSE inventories the full concrete dependency closure and applies the required automated checks across the available source/artifact inventory. It does not require manual inspection of every package recipe or every line of every dependency for each buildout. Recipe and source code remain executable inputs even when no individual manual review is selected.</w:t>
      </w:r>
    </w:p>
    <w:p>
      <w:pPr/>
      <w:r>
        <w:rPr>
          <w:b w:val="0"/>
          <w:i w:val="0"/>
        </w:rPr>
        <w:t>For an initial baseline, the builder records the pinned repositories and source origins, selected dependency inventory, automated findings, and a risk-based human review plan. The reviewer assesses that plan and its results. Human attention focuses on CSE-authored or modified recipes/patches, new trust sources, changed fetch or execution logic, unusual hooks or embedded downloads, security-sensitive components, and material findings. A package's presence in an upstream repository alone is not a local review decision.</w:t>
      </w:r>
    </w:p>
    <w:p>
      <w:pPr/>
      <w:r>
        <w:rPr>
          <w:b w:val="0"/>
          <w:i w:val="0"/>
        </w:rPr>
        <w:t>For later candidates, compare the complete input inventory with the retained baseline. Use the resulting delta and findings to select further review; do not require a person to inspect every upstream repository change unrelated to the selected release. Reuse an earlier review only when its input identity, context, and risk assumptions remain applicable. Record the selection criteria, what was examined, tools/results, decisions, and what was covered by baseline inheritance. Increase review when a finding or changed trust boundary warrants it. An unresolved material finding follows Section 2.2.</w:t>
      </w:r>
    </w:p>
    <w:p>
      <w:pPr/>
      <w:r>
        <w:rPr>
          <w:b w:val="0"/>
          <w:i w:val="0"/>
        </w:rPr>
        <w:t>The independent reviewer signs off on the candidate's review record and required corrections. Any required stricter organizational review is recorded in the operating baseline and followed within its actual scope.</w:t>
      </w:r>
    </w:p>
    <w:p>
      <w:pPr>
        <w:pStyle w:val="Heading1"/>
      </w:pPr>
      <w:r>
        <w:rPr>
          <w:b w:val="0"/>
          <w:i w:val="0"/>
        </w:rPr>
        <w:t>9. Build and validate</w:t>
      </w:r>
    </w:p>
    <w:p>
      <w:pPr>
        <w:pStyle w:val="Heading2"/>
      </w:pPr>
      <w:r>
        <w:rPr>
          <w:b w:val="0"/>
          <w:i w:val="0"/>
        </w:rPr>
        <w:t>9.1 CSE source and mirror preparation</w:t>
      </w:r>
    </w:p>
    <w:p>
      <w:pPr/>
      <w:r>
        <w:rPr>
          <w:b w:val="0"/>
          <w:i w:val="0"/>
        </w:rPr>
        <w:t xml:space="preserve">Follow the shared </w:t>
      </w:r>
      <w:hyperlink r:id="rId10" w:history="1" w:anchor="procedure_source_mirrors">
        <w:r>
          <w:rPr>
            <w:b w:val="0"/>
            <w:i w:val="0"/>
            <w:color w:val="245A81"/>
            <w:u w:val="single"/>
          </w:rPr>
          <w:t>source mirror procedure</w:t>
        </w:r>
      </w:hyperlink>
      <w:r>
        <w:rPr>
          <w:b w:val="0"/>
          <w:i w:val="0"/>
        </w:rPr>
        <w:t>. CSE prepares an identifiable source-mirror snapshot for the approved concrete environments on a system with the required approved network access. Include dependency sources, patches/resources, VCS-derived source archives and their identity bindings, and separately admitted bootstrap/tool prerequisites. Retain origin, digest, scan, completeness, and review evidence with the snapshot. An ordinary fetch cache alone is not the documented transfer bundle.</w:t>
      </w:r>
    </w:p>
    <w:p>
      <w:pPr/>
      <w:r>
        <w:rPr>
          <w:b w:val="0"/>
          <w:i w:val="0"/>
        </w:rPr>
        <w:t>When a system cannot directly retrieve all required source tarballs or other build inputs, use an approved acquisition system with the necessary access to prepare the content, then use Section 9.2 for delivery. This applies to partial external-access restrictions as well as fully air-gapped systems. The receiving build uses destination-approved configuration and local mirrors. Missing content returns to controlled acquisition as a recorded supplemental delivery.</w:t>
      </w:r>
    </w:p>
    <w:p>
      <w:pPr>
        <w:pStyle w:val="Heading2"/>
      </w:pPr>
      <w:r>
        <w:rPr>
          <w:b w:val="0"/>
          <w:i w:val="0"/>
        </w:rPr>
        <w:t>9.2 Systems with limited or no external network access</w:t>
      </w:r>
    </w:p>
    <w:p>
      <w:pPr/>
      <w:r>
        <w:rPr>
          <w:b w:val="0"/>
          <w:i w:val="0"/>
        </w:rPr>
        <w:t xml:space="preserve">Apply the shared </w:t>
      </w:r>
      <w:hyperlink r:id="rId10" w:history="1" w:anchor="procedure_disconnected_transfer">
        <w:r>
          <w:rPr>
            <w:b w:val="0"/>
            <w:i w:val="0"/>
            <w:color w:val="245A81"/>
            <w:u w:val="single"/>
          </w:rPr>
          <w:t>transfer procedure</w:t>
        </w:r>
      </w:hyperlink>
      <w:r>
        <w:rPr>
          <w:b w:val="0"/>
          <w:i w:val="0"/>
        </w:rPr>
        <w:t xml:space="preserve"> when a destination cannot directly obtain all required inputs, even if it can reach some Internet or internal-network resources. Air-gapped systems follow the same preparation and verification sequence. Transfer only through the authorized route for the source/destination pair. This procedure also supplies the technical preparation pattern for future classified destinations; their transfer and destination-security rules remain additional acceptance conditions.</w:t>
      </w:r>
    </w:p>
    <w:p>
      <w:pPr/>
      <w:r>
        <w:rPr>
          <w:b w:val="0"/>
          <w:i w:val="0"/>
        </w:rPr>
        <w:t>The CSE builder prepares the delivery inventory and the second person reviews it before submission to the authorized transfer process. On receipt, retain the destination verification and acceptance record. The bundle contains the approved source mirrors and/or signed build-cache objects, required pinned tools and recipe repositories, complete configuration inputs, lockfiles, inventories, and transferable evidence. It contains no release private keys or acquisition credentials. The receiving system separately establishes trust in the approved public keys.</w:t>
      </w:r>
    </w:p>
    <w:p>
      <w:pPr/>
      <w:r>
        <w:rPr>
          <w:b w:val="0"/>
          <w:i w:val="0"/>
        </w:rPr>
        <w:t>Record one of these modes for each destination environment: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Mode</w:t>
            </w:r>
          </w:p>
        </w:tc>
        <w:tc>
          <w:tcPr>
            <w:tcW w:type="dxa" w:w="7819"/>
            <w:vAlign w:val="center"/>
            <w:shd w:fill="DCE6F1"/>
          </w:tcPr>
          <w:p>
            <w:pPr>
              <w:keepNext w:val="0"/>
              <w:widowControl w:val="0"/>
              <w:spacing w:after="0" w:before="0" w:line="250" w:lineRule="auto"/>
            </w:pPr>
            <w:r>
              <w:rPr>
                <w:b/>
                <w:i w:val="0"/>
                <w:sz w:val="20"/>
              </w:rPr>
              <w:t>CSE use and acceptance</w:t>
            </w:r>
          </w:p>
        </w:tc>
      </w:tr>
      <w:tr>
        <w:trPr>
          <w:cantSplit/>
        </w:trPr>
        <w:tc>
          <w:tcPr>
            <w:tcW w:type="dxa" w:w="2333"/>
            <w:vAlign w:val="center"/>
          </w:tcPr>
          <w:p>
            <w:pPr>
              <w:keepNext w:val="0"/>
              <w:widowControl w:val="0"/>
              <w:spacing w:after="0" w:before="0" w:line="250" w:lineRule="auto"/>
            </w:pPr>
            <w:r>
              <w:rPr>
                <w:b w:val="0"/>
                <w:i w:val="0"/>
                <w:sz w:val="20"/>
              </w:rPr>
              <w:t>Build from transferred sources</w:t>
            </w:r>
          </w:p>
        </w:tc>
        <w:tc>
          <w:tcPr>
            <w:tcW w:type="dxa" w:w="7819"/>
            <w:vAlign w:val="center"/>
          </w:tcPr>
          <w:p>
            <w:pPr>
              <w:keepNext w:val="0"/>
              <w:widowControl w:val="0"/>
              <w:spacing w:after="0" w:before="0" w:line="250" w:lineRule="auto"/>
            </w:pPr>
            <w:r>
              <w:rPr>
                <w:b w:val="0"/>
                <w:i w:val="0"/>
                <w:sz w:val="20"/>
              </w:rPr>
              <w:t>Prepare or verify a destination-specific concrete graph and ensure its complete source/tool inputs are available locally. Build in the destination's restricted area, test there, and submit the new candidate to the two-person review and signing/publication process.</w:t>
            </w:r>
          </w:p>
        </w:tc>
      </w:tr>
      <w:tr>
        <w:trPr>
          <w:cantSplit/>
        </w:trPr>
        <w:tc>
          <w:tcPr>
            <w:tcW w:type="dxa" w:w="2333"/>
            <w:vAlign w:val="center"/>
          </w:tcPr>
          <w:p>
            <w:pPr>
              <w:keepNext w:val="0"/>
              <w:widowControl w:val="0"/>
              <w:spacing w:after="0" w:before="0" w:line="250" w:lineRule="auto"/>
            </w:pPr>
            <w:r>
              <w:rPr>
                <w:b w:val="0"/>
                <w:i w:val="0"/>
                <w:sz w:val="20"/>
              </w:rPr>
              <w:t>Install compatible approved binaries</w:t>
            </w:r>
          </w:p>
        </w:tc>
        <w:tc>
          <w:tcPr>
            <w:tcW w:type="dxa" w:w="7819"/>
            <w:vAlign w:val="center"/>
          </w:tcPr>
          <w:p>
            <w:pPr>
              <w:keepNext w:val="0"/>
              <w:widowControl w:val="0"/>
              <w:spacing w:after="0" w:before="0" w:line="250" w:lineRule="auto"/>
            </w:pPr>
            <w:r>
              <w:rPr>
                <w:b w:val="0"/>
                <w:i w:val="0"/>
                <w:sz w:val="20"/>
              </w:rPr>
              <w:t>Verify the approved release and package signatures, exact selected hashes, and destination compatibility. Install from the transferred local build cache without a source-build fallback, then complete destination runtime/module/permission acceptance before user exposure.</w:t>
            </w:r>
          </w:p>
        </w:tc>
      </w:tr>
    </w:tbl>
    <w:p>
      <w:pPr>
        <w:spacing w:after="0" w:before="0" w:line="80" w:lineRule="exact"/>
      </w:pPr>
      <w:r>
        <w:rPr>
          <w:sz w:val="4"/>
        </w:rPr>
      </w:r>
    </w:p>
    <w:p>
      <w:pPr/>
      <w:r>
        <w:rPr>
          <w:b w:val="0"/>
          <w:i w:val="0"/>
        </w:rPr>
        <w:t>Sister systems are good candidates for reuse, but their relationship is not a compatibility test. Compare OS/ABI, architecture and CPU target, compiler and runtime, MPI/fabric/launcher, GPU stack when applicable, external identities, and required paths/relocation. Record supporting evidence from the destination. If binary reuse cannot be accepted, choose a source-build candidate explicitly and apply its gates; do not silently rebuild during publication.</w:t>
      </w:r>
    </w:p>
    <w:p>
      <w:pPr/>
      <w:r>
        <w:rPr>
          <w:b w:val="0"/>
          <w:i w:val="0"/>
        </w:rPr>
        <w:t>Use the same approved lockfile on the acquisition host only to collect the destination's inputs, without substituting acquisition-host compiler or external choices. If destination resolution changes the graph, review the new candidate and prepare any missing sources before building. Do not assume a source tar set from a sister system is complete for a different graph.</w:t>
      </w:r>
    </w:p>
    <w:p>
      <w:pPr/>
      <w:r>
        <w:rPr>
          <w:b w:val="0"/>
          <w:i w:val="0"/>
        </w:rPr>
        <w:t>The destination owns its acceptance decision and release evidence. Source-site review can be referenced for unchanged inputs; destination configuration, platform integration, transfer integrity, and execution results still require local evidence. A destination rebuild produces new artifacts with their own build, test, review, and signing records.</w:t>
      </w:r>
    </w:p>
    <w:p>
      <w:pPr>
        <w:pStyle w:val="Heading2"/>
      </w:pPr>
      <w:r>
        <w:rPr>
          <w:b w:val="0"/>
          <w:i w:val="0"/>
        </w:rPr>
        <w:t>9.3 Restricted build and acceptance</w:t>
      </w:r>
    </w:p>
    <w:p>
      <w:pPr/>
      <w:r>
        <w:rPr>
          <w:b w:val="0"/>
          <w:i w:val="0"/>
        </w:rPr>
        <w:t xml:space="preserve">Use the shared </w:t>
      </w:r>
      <w:hyperlink r:id="rId10" w:history="1" w:anchor="procedure_build_validation">
        <w:r>
          <w:rPr>
            <w:b w:val="0"/>
            <w:i w:val="0"/>
            <w:color w:val="245A81"/>
            <w:u w:val="single"/>
          </w:rPr>
          <w:t>build and validation procedure</w:t>
        </w:r>
      </w:hyperlink>
      <w:r>
        <w:rPr>
          <w:b w:val="0"/>
          <w:i w:val="0"/>
        </w:rPr>
        <w:t>. Separate approved acquisition from build execution. CSE's intended production baseline uses a nonprivileged restricted build, approved local inputs, enforced outbound-network denial, and no access to release-signing credentials. Record platform enforcement and its verification. Any proposed deviation is handled through Section 2.2 before affected production promotion.</w:t>
      </w:r>
    </w:p>
    <w:p>
      <w:pPr/>
      <w:r>
        <w:rPr>
          <w:b w:val="0"/>
          <w:i w:val="0"/>
        </w:rPr>
        <w:t>Parallel CSE builds use distinct environments, enabled and verified shared locks, separate private process state, builder-specific miscellaneous caches, and one owner for each environment's views/modules. Coordinate total CPU and memory budgets. The two-person review remains required after parallel work; concurrency does not supply independent approval.</w:t>
      </w:r>
    </w:p>
    <w:p>
      <w:pPr/>
      <w:r>
        <w:rPr>
          <w:b w:val="0"/>
          <w:i w:val="0"/>
        </w:rPr>
        <w:t>CSE acceptance covers applicable C/C++/Fortran compile/link/run checks, package runtime behavior, headers/libraries/linkage, numerical correctness and representative performance, clean Serial execution, native multi-node MPI and fabric/launcher behavior, and GPU tests when approved. Select checks and any reused baseline evidence under shared procedure Section 9.3. Apply the recorded security scans and qualified compiler-hardening settings; record failures and exceptions together with functional and performance evidence where relevant. Scans, SBOMs, and successful tests answer different questions.</w:t>
      </w:r>
    </w:p>
    <w:p>
      <w:pPr/>
      <w:r>
        <w:rPr>
          <w:b w:val="0"/>
          <w:i w:val="0"/>
        </w:rPr>
        <w:t xml:space="preserve">Stage the compiler front doors and lane selectors in the restricted module root and review the presentation as a team. This does not expose the stack to non-CSE users. Record each required environment as </w:t>
      </w:r>
      <w:r>
        <w:rPr>
          <w:rFonts w:ascii="Courier New" w:hAnsi="Courier New"/>
          <w:b w:val="0"/>
          <w:i w:val="0"/>
          <w:sz w:val="18"/>
        </w:rPr>
        <w:t>built</w:t>
      </w:r>
      <w:r>
        <w:rPr>
          <w:b w:val="0"/>
          <w:i w:val="0"/>
        </w:rPr>
        <w:t xml:space="preserve">, </w:t>
      </w:r>
      <w:r>
        <w:rPr>
          <w:rFonts w:ascii="Courier New" w:hAnsi="Courier New"/>
          <w:b w:val="0"/>
          <w:i w:val="0"/>
          <w:sz w:val="18"/>
        </w:rPr>
        <w:t>runtime-passed</w:t>
      </w:r>
      <w:r>
        <w:rPr>
          <w:b w:val="0"/>
          <w:i w:val="0"/>
        </w:rPr>
        <w:t xml:space="preserve">, or </w:t>
      </w:r>
      <w:r>
        <w:rPr>
          <w:rFonts w:ascii="Courier New" w:hAnsi="Courier New"/>
          <w:b w:val="0"/>
          <w:i w:val="0"/>
          <w:sz w:val="18"/>
        </w:rPr>
        <w:t>held</w:t>
      </w:r>
      <w:r>
        <w:rPr>
          <w:b w:val="0"/>
          <w:i w:val="0"/>
        </w:rPr>
        <w:t xml:space="preserve">, and retain the applicable security disposition. Signing requires all release-required environments to pass and all required findings to have an accepted disposition; </w:t>
      </w:r>
      <w:r>
        <w:rPr>
          <w:rFonts w:ascii="Courier New" w:hAnsi="Courier New"/>
          <w:b w:val="0"/>
          <w:i w:val="0"/>
          <w:sz w:val="18"/>
        </w:rPr>
        <w:t>runtime-passed</w:t>
      </w:r>
      <w:r>
        <w:rPr>
          <w:b w:val="0"/>
          <w:i w:val="0"/>
        </w:rPr>
        <w:t xml:space="preserve"> alone is not security approval.</w:t>
      </w:r>
    </w:p>
    <w:p>
      <w:pPr/>
      <w:r>
        <w:rPr>
          <w:b w:val="0"/>
          <w:i w:val="0"/>
        </w:rPr>
        <w:t>A presentation-only correction can repeat module/view validation without a new solve or package build if the graph is unchanged. A compiler, provider, external, dependency, recipe, or hash change returns to candidate review. Using an alternate compiler for a dependency requires an explicit mixed-toolchain decision with ABI/linkage tests and retained compatibility evidence.</w:t>
      </w:r>
    </w:p>
    <w:p>
      <w:pPr>
        <w:pStyle w:val="Heading1"/>
      </w:pPr>
      <w:r>
        <w:rPr>
          <w:b w:val="0"/>
          <w:i w:val="0"/>
        </w:rPr>
        <w:t>10. Publish</w:t>
      </w:r>
    </w:p>
    <w:p>
      <w:pPr>
        <w:pStyle w:val="Heading2"/>
      </w:pPr>
      <w:r>
        <w:rPr>
          <w:b w:val="0"/>
          <w:i w:val="0"/>
        </w:rPr>
        <w:t>10.1 CSE signing and release decision</w:t>
      </w:r>
    </w:p>
    <w:p>
      <w:pPr/>
      <w:r>
        <w:rPr>
          <w:b w:val="0"/>
          <w:i w:val="0"/>
        </w:rPr>
        <w:t xml:space="preserve">Follow the shared </w:t>
      </w:r>
      <w:hyperlink r:id="rId10" w:history="1" w:anchor="procedure_signing">
        <w:r>
          <w:rPr>
            <w:b w:val="0"/>
            <w:i w:val="0"/>
            <w:color w:val="245A81"/>
            <w:u w:val="single"/>
          </w:rPr>
          <w:t>signing procedure</w:t>
        </w:r>
      </w:hyperlink>
      <w:r>
        <w:rPr>
          <w:b w:val="0"/>
          <w:i w:val="0"/>
        </w:rPr>
        <w:t>. Use the dedicated approved CSE signing identity and distribute its complete public-key fingerprint through a controlled channel. The reviewer/release authority may perform the signing action using separate controlled credentials; this separation does not require a third team member. A build job receives no private key.</w:t>
      </w:r>
    </w:p>
    <w:p>
      <w:pPr/>
      <w:r>
        <w:rPr>
          <w:b w:val="0"/>
          <w:i w:val="0"/>
        </w:rPr>
        <w:t>Sign only the exact reviewed artifact set and bind the evidence and decision to it in the release record. Record the selected cache backend and its verified signing behavior; do not assume an OCI registry meets Spack 1.2.2 native signing requirements. Native package signatures do not authenticate the complete cache index or establish membership in an approved CSE release. Under shared procedure Section 10.1, bind the permitted concrete-hash set to the authenticated release record and require the installer to compare the selected hashes with that set before installation.</w:t>
      </w:r>
    </w:p>
    <w:p>
      <w:pPr/>
      <w:r>
        <w:rPr>
          <w:b w:val="0"/>
          <w:i w:val="0"/>
        </w:rPr>
        <w:t>Review the release key at least annually. Retain old public keys while retained releases need verification. Rotation, expiration, revocation, or suspected exposure receives a recorded security/release disposition under Section 12.</w:t>
      </w:r>
    </w:p>
    <w:p>
      <w:pPr>
        <w:pStyle w:val="Heading2"/>
      </w:pPr>
      <w:r>
        <w:rPr>
          <w:b w:val="0"/>
          <w:i w:val="0"/>
        </w:rPr>
        <w:t>10.2 CSE static catalog publication</w:t>
      </w:r>
    </w:p>
    <w:p>
      <w:pPr/>
      <w:r>
        <w:rPr>
          <w:b w:val="0"/>
          <w:i w:val="0"/>
        </w:rPr>
        <w:t xml:space="preserve">Follow the shared </w:t>
      </w:r>
      <w:hyperlink r:id="rId10" w:history="1" w:anchor="procedure_catalog_publication">
        <w:r>
          <w:rPr>
            <w:b w:val="0"/>
            <w:i w:val="0"/>
            <w:color w:val="245A81"/>
            <w:u w:val="single"/>
          </w:rPr>
          <w:t>catalog publication procedure</w:t>
        </w:r>
      </w:hyperlink>
      <w:r>
        <w:rPr>
          <w:b w:val="0"/>
          <w:i w:val="0"/>
        </w:rPr>
        <w:t>. Publish the accepted restricted catalog after restricted validation and the build-cache gate. The catalog remains an independent configuration product; this sequence defines CSE's release order.</w:t>
      </w:r>
    </w:p>
    <w:p>
      <w:pPr/>
      <w:r>
        <w:rPr>
          <w:b w:val="0"/>
          <w:i w:val="0"/>
        </w:rPr>
        <w:t>Require the versioned public tree, publication approval record, checksum inventory, original catalog identity, and approved consumer-facing paths, using the records defined in the shared procedure. Use CSE's published permissions from Section 4 and test access from outside the CSE group. Retain the restricted original. CSE's own workspaces continue to use the restricted catalog identity; external package managers pin the public versioned catalog.</w:t>
      </w:r>
    </w:p>
    <w:p>
      <w:pPr>
        <w:pStyle w:val="Heading2"/>
      </w:pPr>
      <w:r>
        <w:rPr>
          <w:b w:val="0"/>
          <w:i w:val="0"/>
        </w:rPr>
        <w:t>10.3 CSE stack publication</w:t>
      </w:r>
    </w:p>
    <w:p>
      <w:pPr/>
      <w:r>
        <w:rPr>
          <w:b w:val="0"/>
          <w:i w:val="0"/>
        </w:rPr>
        <w:t xml:space="preserve">Follow the shared </w:t>
      </w:r>
      <w:hyperlink r:id="rId10" w:history="1" w:anchor="procedure_cache_publication">
        <w:r>
          <w:rPr>
            <w:b w:val="0"/>
            <w:i w:val="0"/>
            <w:color w:val="245A81"/>
            <w:u w:val="single"/>
          </w:rPr>
          <w:t>cache publication procedure</w:t>
        </w:r>
      </w:hyperlink>
      <w:r>
        <w:rPr>
          <w:b w:val="0"/>
          <w:i w:val="0"/>
        </w:rPr>
        <w:t>. CSE prepares a separate publication workspace from the same approved package and platform inputs, applies its publication deployment record, and carries over the approved lockfiles. Do not copy the mutable restricted workspace, reconcretize, or substitute the public catalog as a new configuration authority.</w:t>
      </w:r>
    </w:p>
    <w:p>
      <w:pPr/>
      <w:r>
        <w:rPr>
          <w:b w:val="0"/>
          <w:i w:val="0"/>
        </w:rPr>
        <w:t xml:space="preserve">The publication deployment and effective Spack package permissions retain the recorded CSE group with </w:t>
      </w:r>
      <w:r>
        <w:rPr>
          <w:rFonts w:ascii="Courier New" w:hAnsi="Courier New"/>
          <w:b w:val="0"/>
          <w:i w:val="0"/>
          <w:sz w:val="18"/>
        </w:rPr>
        <w:t>read: world</w:t>
      </w:r>
      <w:r>
        <w:rPr>
          <w:b w:val="0"/>
          <w:i w:val="0"/>
        </w:rPr>
        <w:t xml:space="preserve"> and </w:t>
      </w:r>
      <w:r>
        <w:rPr>
          <w:rFonts w:ascii="Courier New" w:hAnsi="Courier New"/>
          <w:b w:val="0"/>
          <w:i w:val="0"/>
          <w:sz w:val="18"/>
        </w:rPr>
        <w:t>write: group</w:t>
      </w:r>
      <w:r>
        <w:rPr>
          <w:b w:val="0"/>
          <w:i w:val="0"/>
        </w:rPr>
        <w:t>. This access policy is a deployment choice, not a platform-catalog fact. A missing or unverified cache object stops publication and returns to restricted preparation; a changed input or required hash creates a new candidate.</w:t>
      </w:r>
    </w:p>
    <w:p>
      <w:pPr/>
      <w:r>
        <w:rPr>
          <w:b w:val="0"/>
          <w:i w:val="0"/>
        </w:rPr>
        <w:t>After cache installation, verify package signatures and each hash's membership in the permitted set bound to the authenticated release record. Accept the destination's runtime behavior, module/view presentation, and permissions. Verify management access with the second CSE account and read/execute plus denied write with a non-CSE account on the relevant node types. Perform write probes in designated test locations without changing approved artifact bytes.</w:t>
      </w:r>
    </w:p>
    <w:p>
      <w:pPr/>
      <w:r>
        <w:rPr>
          <w:b w:val="0"/>
          <w:i w:val="0"/>
        </w:rPr>
        <w:t>The reviewer records the result and the delegated release authority approves user exposure. Publish a new version and update the discovery/default pointer only after acceptance; do not repair an accepted release in place.</w:t>
      </w:r>
    </w:p>
    <w:p>
      <w:pPr>
        <w:pStyle w:val="Heading2"/>
      </w:pPr>
      <w:r>
        <w:rPr>
          <w:b w:val="0"/>
          <w:i w:val="0"/>
        </w:rPr>
        <w:t>10.4 CSE inventory</w:t>
      </w:r>
    </w:p>
    <w:p>
      <w:pPr/>
      <w:r>
        <w:rPr>
          <w:b w:val="0"/>
          <w:i w:val="0"/>
        </w:rPr>
        <w:t>Use shared procedure Section 10.4 for SBOM and external-inventory handling. Bind the retained producer SBOMs and their digests to the accepted release. Record any destination-generated SBOM separately; installation hooks can regenerate metadata, so equal Spack hashes do not require equal SBOM bytes. Compare expected package/component identities and retain the platform-owned external inventory. Use the approved vulnerability analysis process rather than interpreting an SBOM as a scan result.</w:t>
      </w:r>
    </w:p>
    <w:p>
      <w:pPr>
        <w:pStyle w:val="Heading1"/>
      </w:pPr>
      <w:r>
        <w:rPr>
          <w:b w:val="0"/>
          <w:i w:val="0"/>
        </w:rPr>
        <w:t>11. User access</w:t>
      </w:r>
    </w:p>
    <w:p>
      <w:pPr/>
      <w:r>
        <w:rPr>
          <w:b w:val="0"/>
          <w:i w:val="0"/>
        </w:rPr>
        <w:t>Use shared procedure Section 11 for clean-session module, runtime, and access checks. CSE's public entrance is:</w:t>
      </w:r>
    </w:p>
    <w:p>
      <w:pPr>
        <w:keepLines/>
        <w:widowControl/>
        <w:spacing w:before="40" w:after="160" w:line="245" w:lineRule="auto"/>
        <w:ind w:left="115" w:right="43"/>
      </w:pPr>
      <w:r>
        <w:rPr>
          <w:rFonts w:ascii="Courier New" w:hAnsi="Courier New"/>
          <w:b w:val="0"/>
          <w:i w:val="0"/>
          <w:sz w:val="18"/>
        </w:rPr>
        <w:t>module load cse/&lt;compiler-surface&gt;</w:t>
        <w:br/>
        <w:t>module load &lt;Serial|MPI&gt;</w:t>
        <w:br/>
        <w:t>module load &lt;package&gt;/&lt;version&gt;</w:t>
      </w:r>
    </w:p>
    <w:p>
      <w:pPr/>
      <w:r>
        <w:rPr>
          <w:b w:val="0"/>
          <w:i w:val="0"/>
        </w:rPr>
        <w:t xml:space="preserve">The CSE gateway lives in the site's established module namespace, directly or through an approved symlink. It selects the accepted compiler surface and adds the release-owned lane-module root; the lane selects the corresponding Spack package-module root. Generated package modules and views remain under the published release. Normal users do not need </w:t>
      </w:r>
      <w:r>
        <w:rPr>
          <w:rFonts w:ascii="Courier New" w:hAnsi="Courier New"/>
          <w:b w:val="0"/>
          <w:i w:val="0"/>
          <w:sz w:val="18"/>
        </w:rPr>
        <w:t>module use</w:t>
      </w:r>
      <w:r>
        <w:rPr>
          <w:b w:val="0"/>
          <w:i w:val="0"/>
        </w:rPr>
        <w:t>, Spack hashes, package prefixes, or a local Spack installation to use the accepted software.</w:t>
      </w:r>
    </w:p>
    <w:p>
      <w:pPr/>
      <w:r>
        <w:rPr>
          <w:b w:val="0"/>
          <w:i w:val="0"/>
        </w:rPr>
        <w:t xml:space="preserve">The compiler front door activates its exact chain and records </w:t>
      </w:r>
      <w:r>
        <w:rPr>
          <w:rFonts w:ascii="Courier New" w:hAnsi="Courier New"/>
          <w:b w:val="0"/>
          <w:i w:val="0"/>
          <w:sz w:val="18"/>
        </w:rPr>
        <w:t>CSE_CC</w:t>
      </w:r>
      <w:r>
        <w:rPr>
          <w:b w:val="0"/>
          <w:i w:val="0"/>
        </w:rPr>
        <w:t xml:space="preserve">, </w:t>
      </w:r>
      <w:r>
        <w:rPr>
          <w:rFonts w:ascii="Courier New" w:hAnsi="Courier New"/>
          <w:b w:val="0"/>
          <w:i w:val="0"/>
          <w:sz w:val="18"/>
        </w:rPr>
        <w:t>CSE_CXX</w:t>
      </w:r>
      <w:r>
        <w:rPr>
          <w:b w:val="0"/>
          <w:i w:val="0"/>
        </w:rPr>
        <w:t xml:space="preserve">, and </w:t>
      </w:r>
      <w:r>
        <w:rPr>
          <w:rFonts w:ascii="Courier New" w:hAnsi="Courier New"/>
          <w:b w:val="0"/>
          <w:i w:val="0"/>
          <w:sz w:val="18"/>
        </w:rPr>
        <w:t>CSE_FC</w:t>
      </w:r>
      <w:r>
        <w:rPr>
          <w:b w:val="0"/>
          <w:i w:val="0"/>
        </w:rPr>
        <w:t xml:space="preserve">. The MPI lane records </w:t>
      </w:r>
      <w:r>
        <w:rPr>
          <w:rFonts w:ascii="Courier New" w:hAnsi="Courier New"/>
          <w:b w:val="0"/>
          <w:i w:val="0"/>
          <w:sz w:val="18"/>
        </w:rPr>
        <w:t>CSE_MPI_PROVIDER</w:t>
      </w:r>
      <w:r>
        <w:rPr>
          <w:b w:val="0"/>
          <w:i w:val="0"/>
        </w:rPr>
        <w:t xml:space="preserve">, </w:t>
      </w:r>
      <w:r>
        <w:rPr>
          <w:rFonts w:ascii="Courier New" w:hAnsi="Courier New"/>
          <w:b w:val="0"/>
          <w:i w:val="0"/>
          <w:sz w:val="18"/>
        </w:rPr>
        <w:t>CSE_MPI_VERSION</w:t>
      </w:r>
      <w:r>
        <w:rPr>
          <w:b w:val="0"/>
          <w:i w:val="0"/>
        </w:rPr>
        <w:t xml:space="preserve">, </w:t>
      </w:r>
      <w:r>
        <w:rPr>
          <w:rFonts w:ascii="Courier New" w:hAnsi="Courier New"/>
          <w:b w:val="0"/>
          <w:i w:val="0"/>
          <w:sz w:val="18"/>
        </w:rPr>
        <w:t>CSE_MPICC</w:t>
      </w:r>
      <w:r>
        <w:rPr>
          <w:b w:val="0"/>
          <w:i w:val="0"/>
        </w:rPr>
        <w:t xml:space="preserve">, </w:t>
      </w:r>
      <w:r>
        <w:rPr>
          <w:rFonts w:ascii="Courier New" w:hAnsi="Courier New"/>
          <w:b w:val="0"/>
          <w:i w:val="0"/>
          <w:sz w:val="18"/>
        </w:rPr>
        <w:t>CSE_MPICXX</w:t>
      </w:r>
      <w:r>
        <w:rPr>
          <w:b w:val="0"/>
          <w:i w:val="0"/>
        </w:rPr>
        <w:t xml:space="preserve">, and </w:t>
      </w:r>
      <w:r>
        <w:rPr>
          <w:rFonts w:ascii="Courier New" w:hAnsi="Courier New"/>
          <w:b w:val="0"/>
          <w:i w:val="0"/>
          <w:sz w:val="18"/>
        </w:rPr>
        <w:t>CSE_MPIFC</w:t>
      </w:r>
      <w:r>
        <w:rPr>
          <w:b w:val="0"/>
          <w:i w:val="0"/>
        </w:rPr>
        <w:t>. A CSE-built MPI lane loads its exact provider module. A platform Cray MPI lane uses the reviewed module supplied by its selected PrgEnv/CPE chain and does not silently replace that chain.</w:t>
      </w:r>
    </w:p>
    <w:p>
      <w:pPr/>
      <w:r>
        <w:rPr>
          <w:b w:val="0"/>
          <w:i w:val="0"/>
        </w:rPr>
        <w:t xml:space="preserve">For CSE-built compilers with external Cray MPICH, accept the ordinary-user wrapper interface separately from the completed Spack builds. It exposes the exact-prefix </w:t>
      </w:r>
      <w:r>
        <w:rPr>
          <w:rFonts w:ascii="Courier New" w:hAnsi="Courier New"/>
          <w:b w:val="0"/>
          <w:i w:val="0"/>
          <w:sz w:val="18"/>
        </w:rPr>
        <w:t>mpicc</w:t>
      </w:r>
      <w:r>
        <w:rPr>
          <w:b w:val="0"/>
          <w:i w:val="0"/>
        </w:rPr>
        <w:t xml:space="preserve">, </w:t>
      </w:r>
      <w:r>
        <w:rPr>
          <w:rFonts w:ascii="Courier New" w:hAnsi="Courier New"/>
          <w:b w:val="0"/>
          <w:i w:val="0"/>
          <w:sz w:val="18"/>
        </w:rPr>
        <w:t>mpicxx</w:t>
      </w:r>
      <w:r>
        <w:rPr>
          <w:b w:val="0"/>
          <w:i w:val="0"/>
        </w:rPr>
        <w:t xml:space="preserve">, </w:t>
      </w:r>
      <w:r>
        <w:rPr>
          <w:rFonts w:ascii="Courier New" w:hAnsi="Courier New"/>
          <w:b w:val="0"/>
          <w:i w:val="0"/>
          <w:sz w:val="18"/>
        </w:rPr>
        <w:t>mpifort</w:t>
      </w:r>
      <w:r>
        <w:rPr>
          <w:b w:val="0"/>
          <w:i w:val="0"/>
        </w:rPr>
        <w:t xml:space="preserve">, </w:t>
      </w:r>
      <w:r>
        <w:rPr>
          <w:rFonts w:ascii="Courier New" w:hAnsi="Courier New"/>
          <w:b w:val="0"/>
          <w:i w:val="0"/>
          <w:sz w:val="18"/>
        </w:rPr>
        <w:t>mpif90</w:t>
      </w:r>
      <w:r>
        <w:rPr>
          <w:b w:val="0"/>
          <w:i w:val="0"/>
        </w:rPr>
        <w:t xml:space="preserve">, and </w:t>
      </w:r>
      <w:r>
        <w:rPr>
          <w:rFonts w:ascii="Courier New" w:hAnsi="Courier New"/>
          <w:b w:val="0"/>
          <w:i w:val="0"/>
          <w:sz w:val="18"/>
        </w:rPr>
        <w:t>mpif77</w:t>
      </w:r>
      <w:r>
        <w:rPr>
          <w:b w:val="0"/>
          <w:i w:val="0"/>
        </w:rPr>
        <w:t xml:space="preserve">, binds the </w:t>
      </w:r>
      <w:r>
        <w:rPr>
          <w:rFonts w:ascii="Courier New" w:hAnsi="Courier New"/>
          <w:b w:val="0"/>
          <w:i w:val="0"/>
          <w:sz w:val="18"/>
        </w:rPr>
        <w:t>MPICH_*</w:t>
      </w:r>
      <w:r>
        <w:rPr>
          <w:b w:val="0"/>
          <w:i w:val="0"/>
        </w:rPr>
        <w:t xml:space="preserve"> compiler overrides to the CSE front door, and avoids loading a compiler-selecting </w:t>
      </w:r>
      <w:r>
        <w:rPr>
          <w:rFonts w:ascii="Courier New" w:hAnsi="Courier New"/>
          <w:b w:val="0"/>
          <w:i w:val="0"/>
          <w:sz w:val="18"/>
        </w:rPr>
        <w:t>PrgEnv-*</w:t>
      </w:r>
      <w:r>
        <w:rPr>
          <w:b w:val="0"/>
          <w:i w:val="0"/>
        </w:rPr>
        <w:t>. Require a native multi-node launch through the site-approved scheduler/launcher before exposing this selector.</w:t>
      </w:r>
    </w:p>
    <w:p>
      <w:pPr/>
      <w:r>
        <w:rPr>
          <w:b w:val="0"/>
          <w:i w:val="0"/>
        </w:rPr>
        <w:t>Foundation libraries remain ambient without package modules. Core tools and payloads use the approved projections. Serial and MPI selections conflict; versioned modules express tested dependency loads/conflicts. Test a version-sensitive combination such as NetCDF-C and its exact public HDF5 dependency, including rejection of an incompatible simultaneous HDF5 load.</w:t>
      </w:r>
    </w:p>
    <w:p>
      <w:pPr/>
      <w:r>
        <w:rPr>
          <w:b w:val="0"/>
          <w:i w:val="0"/>
        </w:rPr>
        <w:t>Candidate module paths are allowed during validation. In accepted clean login and compute shells, generated package roots must be absent before the gateway is loaded, and only the selected accepted roots may appear afterward.</w:t>
      </w:r>
    </w:p>
    <w:p>
      <w:pPr>
        <w:pStyle w:val="Heading2"/>
      </w:pPr>
      <w:r>
        <w:rPr>
          <w:b w:val="0"/>
          <w:i w:val="0"/>
        </w:rPr>
        <w:t>11.1 Fully qualified module aliases</w:t>
      </w:r>
    </w:p>
    <w:p>
      <w:pPr/>
      <w:r>
        <w:rPr>
          <w:b w:val="0"/>
          <w:i w:val="0"/>
        </w:rPr>
        <w:t>The compiler-surface/lane sequence is CSE's primary presentation. If additional fully qualified module names are published, define them in a separate named Spack module set and module root. They refer to the same accepted specs and prefixes, with no separate build, environment, view, or install tree.</w:t>
      </w:r>
    </w:p>
    <w:p>
      <w:pPr/>
      <w:r>
        <w:rPr>
          <w:b w:val="0"/>
          <w:i w:val="0"/>
        </w:rPr>
        <w:t>Qualified Serial names include package and compiler versions; MPI names also include the provider and version. Use the common module refresh/inspection procedure for each enabled set. Alias modulefiles must resolve to the same prefix/hash and conflict with each other. Record clean login and batch results and the approved public presentation. If both are public, keep the lane presentation as the documented entrance.</w:t>
      </w:r>
    </w:p>
    <w:p>
      <w:pPr>
        <w:pStyle w:val="Heading1"/>
      </w:pPr>
      <w:r>
        <w:rPr>
          <w:b w:val="0"/>
          <w:i w:val="0"/>
        </w:rPr>
        <w:t>12. Changes, security events, and platform updates</w:t>
      </w:r>
    </w:p>
    <w:p>
      <w:pPr/>
      <w:r>
        <w:rPr>
          <w:b w:val="0"/>
          <w:i w:val="0"/>
        </w:rPr>
        <w:t>Follow shared procedure Section 12 for change handling, advisory assessment, platform revalidation, withdrawal, and replacement. A build-defining root, version, variant, recipe, patch, repository revision/order, compiler, MPI/GPU provider, catalog scope, Spack runtime, external identity, environment, or lockfile change creates a new CSE candidate/release. Reuse unchanged packages only with matching full hashes and applicable retained provenance/approval.</w:t>
      </w:r>
    </w:p>
    <w:p>
      <w:pPr/>
      <w:r>
        <w:rPr>
          <w:b w:val="0"/>
          <w:i w:val="0"/>
        </w:rPr>
        <w:t>CSE uses the approved support queue as its system of record. Assign advisory ownership to one team member; the other reviews the affected-release assessment and remediation evidence. Include transferred destination releases and their local contacts. Refresh vulnerability/scan intelligence on systems with limited or no external access through the approved update route and record its currency. A missed update or newly discovered finding requires a recorded disposition.</w:t>
      </w:r>
    </w:p>
    <w:p>
      <w:pPr/>
      <w:r>
        <w:rPr>
          <w:b w:val="0"/>
          <w:i w:val="0"/>
        </w:rPr>
        <w:t>Use these CSE response targets unless an applicable stricter policy is recorded: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1872"/>
        <w:gridCol w:w="3888"/>
        <w:gridCol w:w="4392"/>
      </w:tblGrid>
      <w:tr>
        <w:trPr>
          <w:cantSplit/>
          <w:tblHeader/>
        </w:trPr>
        <w:tc>
          <w:tcPr>
            <w:tcW w:type="dxa" w:w="1872"/>
            <w:vAlign w:val="center"/>
            <w:shd w:fill="DCE6F1"/>
          </w:tcPr>
          <w:p>
            <w:pPr>
              <w:keepNext w:val="0"/>
              <w:widowControl w:val="0"/>
              <w:spacing w:after="0" w:before="0" w:line="250" w:lineRule="auto"/>
            </w:pPr>
            <w:r>
              <w:rPr>
                <w:b/>
                <w:i w:val="0"/>
                <w:sz w:val="20"/>
              </w:rPr>
              <w:t>Priority</w:t>
            </w:r>
          </w:p>
        </w:tc>
        <w:tc>
          <w:tcPr>
            <w:tcW w:type="dxa" w:w="3888"/>
            <w:vAlign w:val="center"/>
            <w:shd w:fill="DCE6F1"/>
          </w:tcPr>
          <w:p>
            <w:pPr>
              <w:keepNext w:val="0"/>
              <w:widowControl w:val="0"/>
              <w:spacing w:after="0" w:before="0" w:line="250" w:lineRule="auto"/>
            </w:pPr>
            <w:r>
              <w:rPr>
                <w:b/>
                <w:i w:val="0"/>
                <w:sz w:val="20"/>
              </w:rPr>
              <w:t>Initial assessment</w:t>
            </w:r>
          </w:p>
        </w:tc>
        <w:tc>
          <w:tcPr>
            <w:tcW w:type="dxa" w:w="4392"/>
            <w:vAlign w:val="center"/>
            <w:shd w:fill="DCE6F1"/>
          </w:tcPr>
          <w:p>
            <w:pPr>
              <w:keepNext w:val="0"/>
              <w:widowControl w:val="0"/>
              <w:spacing w:after="0" w:before="0" w:line="250" w:lineRule="auto"/>
            </w:pPr>
            <w:r>
              <w:rPr>
                <w:b/>
                <w:i w:val="0"/>
                <w:sz w:val="20"/>
              </w:rPr>
              <w:t>Target action</w:t>
            </w:r>
          </w:p>
        </w:tc>
      </w:tr>
      <w:tr>
        <w:trPr>
          <w:cantSplit/>
        </w:trPr>
        <w:tc>
          <w:tcPr>
            <w:tcW w:type="dxa" w:w="1872"/>
            <w:vAlign w:val="center"/>
          </w:tcPr>
          <w:p>
            <w:pPr>
              <w:keepNext w:val="0"/>
              <w:widowControl w:val="0"/>
              <w:spacing w:after="0" w:before="0" w:line="250" w:lineRule="auto"/>
            </w:pPr>
            <w:r>
              <w:rPr>
                <w:b w:val="0"/>
                <w:i w:val="0"/>
                <w:sz w:val="20"/>
              </w:rPr>
              <w:t>Emergency: known exploitation, active compromise, or security-designated critical exposure</w:t>
            </w:r>
          </w:p>
        </w:tc>
        <w:tc>
          <w:tcPr>
            <w:tcW w:type="dxa" w:w="3888"/>
            <w:vAlign w:val="center"/>
          </w:tcPr>
          <w:p>
            <w:pPr>
              <w:keepNext w:val="0"/>
              <w:widowControl w:val="0"/>
              <w:spacing w:after="0" w:before="0" w:line="250" w:lineRule="auto"/>
            </w:pPr>
            <w:r>
              <w:rPr>
                <w:b w:val="0"/>
                <w:i w:val="0"/>
                <w:sz w:val="20"/>
              </w:rPr>
              <w:t>Same business day</w:t>
            </w:r>
          </w:p>
        </w:tc>
        <w:tc>
          <w:tcPr>
            <w:tcW w:type="dxa" w:w="4392"/>
            <w:vAlign w:val="center"/>
          </w:tcPr>
          <w:p>
            <w:pPr>
              <w:keepNext w:val="0"/>
              <w:widowControl w:val="0"/>
              <w:spacing w:after="0" w:before="0" w:line="250" w:lineRule="auto"/>
            </w:pPr>
            <w:r>
              <w:rPr>
                <w:b w:val="0"/>
                <w:i w:val="0"/>
                <w:sz w:val="20"/>
              </w:rPr>
              <w:t>Remove exposure or apply an approved mitigation within 72 hours; publish a replacement when validation passes.</w:t>
            </w:r>
          </w:p>
        </w:tc>
      </w:tr>
      <w:tr>
        <w:trPr>
          <w:cantSplit/>
        </w:trPr>
        <w:tc>
          <w:tcPr>
            <w:tcW w:type="dxa" w:w="1872"/>
            <w:vAlign w:val="center"/>
          </w:tcPr>
          <w:p>
            <w:pPr>
              <w:keepNext w:val="0"/>
              <w:widowControl w:val="0"/>
              <w:spacing w:after="0" w:before="0" w:line="250" w:lineRule="auto"/>
            </w:pPr>
            <w:r>
              <w:rPr>
                <w:b w:val="0"/>
                <w:i w:val="0"/>
                <w:sz w:val="20"/>
              </w:rPr>
              <w:t>High: serious remotely reachable or broadly used component</w:t>
            </w:r>
          </w:p>
        </w:tc>
        <w:tc>
          <w:tcPr>
            <w:tcW w:type="dxa" w:w="3888"/>
            <w:vAlign w:val="center"/>
          </w:tcPr>
          <w:p>
            <w:pPr>
              <w:keepNext w:val="0"/>
              <w:widowControl w:val="0"/>
              <w:spacing w:after="0" w:before="0" w:line="250" w:lineRule="auto"/>
            </w:pPr>
            <w:r>
              <w:rPr>
                <w:b w:val="0"/>
                <w:i w:val="0"/>
                <w:sz w:val="20"/>
              </w:rPr>
              <w:t>Within 3 business days</w:t>
            </w:r>
          </w:p>
        </w:tc>
        <w:tc>
          <w:tcPr>
            <w:tcW w:type="dxa" w:w="4392"/>
            <w:vAlign w:val="center"/>
          </w:tcPr>
          <w:p>
            <w:pPr>
              <w:keepNext w:val="0"/>
              <w:widowControl w:val="0"/>
              <w:spacing w:after="0" w:before="0" w:line="250" w:lineRule="auto"/>
            </w:pPr>
            <w:r>
              <w:rPr>
                <w:b w:val="0"/>
                <w:i w:val="0"/>
                <w:sz w:val="20"/>
              </w:rPr>
              <w:t>Remediate within 30 calendar days.</w:t>
            </w:r>
          </w:p>
        </w:tc>
      </w:tr>
      <w:tr>
        <w:trPr>
          <w:cantSplit/>
        </w:trPr>
        <w:tc>
          <w:tcPr>
            <w:tcW w:type="dxa" w:w="1872"/>
            <w:vAlign w:val="center"/>
          </w:tcPr>
          <w:p>
            <w:pPr>
              <w:keepNext w:val="0"/>
              <w:widowControl w:val="0"/>
              <w:spacing w:after="0" w:before="0" w:line="250" w:lineRule="auto"/>
            </w:pPr>
            <w:r>
              <w:rPr>
                <w:b w:val="0"/>
                <w:i w:val="0"/>
                <w:sz w:val="20"/>
              </w:rPr>
              <w:t>Routine: other confirmed advisories</w:t>
            </w:r>
          </w:p>
        </w:tc>
        <w:tc>
          <w:tcPr>
            <w:tcW w:type="dxa" w:w="3888"/>
            <w:vAlign w:val="center"/>
          </w:tcPr>
          <w:p>
            <w:pPr>
              <w:keepNext w:val="0"/>
              <w:widowControl w:val="0"/>
              <w:spacing w:after="0" w:before="0" w:line="250" w:lineRule="auto"/>
            </w:pPr>
            <w:r>
              <w:rPr>
                <w:b w:val="0"/>
                <w:i w:val="0"/>
                <w:sz w:val="20"/>
              </w:rPr>
              <w:t>Within 10 business days</w:t>
            </w:r>
          </w:p>
        </w:tc>
        <w:tc>
          <w:tcPr>
            <w:tcW w:type="dxa" w:w="4392"/>
            <w:vAlign w:val="center"/>
          </w:tcPr>
          <w:p>
            <w:pPr>
              <w:keepNext w:val="0"/>
              <w:widowControl w:val="0"/>
              <w:spacing w:after="0" w:before="0" w:line="250" w:lineRule="auto"/>
            </w:pPr>
            <w:r>
              <w:rPr>
                <w:b w:val="0"/>
                <w:i w:val="0"/>
                <w:sz w:val="20"/>
              </w:rPr>
              <w:t>Address in the next planned release, no later than 90 calendar days.</w:t>
            </w:r>
          </w:p>
        </w:tc>
      </w:tr>
    </w:tbl>
    <w:p>
      <w:pPr>
        <w:spacing w:after="0" w:before="0" w:line="80" w:lineRule="exact"/>
      </w:pPr>
      <w:r>
        <w:rPr>
          <w:sz w:val="4"/>
        </w:rPr>
      </w:r>
    </w:p>
    <w:p>
      <w:pPr/>
      <w:r>
        <w:rPr>
          <w:b w:val="0"/>
          <w:i w:val="0"/>
        </w:rPr>
        <w:t>Escalate the cases in Section 2.2 through the existing security process. Immediate containment follows incident authority; planned release approval must not delay required containment. Notices identify affected releases, temporary actions, replacement, retirement date, and support reference.</w:t>
      </w:r>
    </w:p>
    <w:p>
      <w:pPr/>
      <w:r>
        <w:rPr>
          <w:b w:val="0"/>
          <w:i w:val="0"/>
        </w:rPr>
        <w:t>For OS, CPE, compiler, MPI, fabric, launcher, GPU, or platform-library changes, obtain the updated reviewed platform/catalog evidence and use the common compatibility and runtime checks to decide revalidation, continued pinning, rebuild, or hold. A changed default module alone proves neither compatibility nor incompatibility.</w:t>
      </w:r>
    </w:p>
    <w:p>
      <w:pPr>
        <w:pStyle w:val="Heading1"/>
      </w:pPr>
      <w:r>
        <w:rPr>
          <w:b w:val="0"/>
          <w:i w:val="0"/>
        </w:rPr>
        <w:t>13. Retention, recovery, and rollback</w:t>
      </w:r>
    </w:p>
    <w:p>
      <w:pPr/>
      <w:r>
        <w:rPr>
          <w:b w:val="0"/>
          <w:i w:val="0"/>
        </w:rPr>
        <w:t>Apply shared procedure Section 13 with these CSE retention requirements, unless a documented applicable site/security decision supersedes them:</w:t>
      </w:r>
    </w:p>
    <w:p>
      <w:pPr>
        <w:pStyle w:val="ListParagraph"/>
        <w:numPr>
          <w:ilvl w:val="0"/>
          <w:numId w:val="11"/>
        </w:numPr>
        <w:ind w:left="360"/>
      </w:pPr>
      <w:r>
        <w:rPr>
          <w:b w:val="0"/>
          <w:i w:val="0"/>
        </w:rPr>
        <w:t>Keep the current release and at least one accepted previous release.</w:t>
      </w:r>
    </w:p>
    <w:p>
      <w:pPr>
        <w:pStyle w:val="ListParagraph"/>
        <w:numPr>
          <w:ilvl w:val="0"/>
          <w:numId w:val="11"/>
        </w:numPr>
        <w:ind w:left="360"/>
      </w:pPr>
      <w:r>
        <w:rPr>
          <w:b w:val="0"/>
          <w:i w:val="0"/>
        </w:rPr>
        <w:t>Keep the previous release available for at least 90 days after replacement.</w:t>
      </w:r>
    </w:p>
    <w:p>
      <w:pPr>
        <w:pStyle w:val="ListParagraph"/>
        <w:numPr>
          <w:ilvl w:val="0"/>
          <w:numId w:val="11"/>
        </w:numPr>
        <w:ind w:left="360"/>
      </w:pPr>
      <w:r>
        <w:rPr>
          <w:b w:val="0"/>
          <w:i w:val="0"/>
        </w:rPr>
        <w:t>Give at least 30 days' notice before normal module-tree removal.</w:t>
      </w:r>
    </w:p>
    <w:p>
      <w:pPr>
        <w:pStyle w:val="ListParagraph"/>
        <w:numPr>
          <w:ilvl w:val="0"/>
          <w:numId w:val="11"/>
        </w:numPr>
        <w:ind w:left="360"/>
      </w:pPr>
      <w:r>
        <w:rPr>
          <w:b w:val="0"/>
          <w:i w:val="0"/>
        </w:rPr>
        <w:t>Retain a build-cache hash while a retained lockfile refers to it; wait at least 30 further days after the last referring release is removed before cache pruning.</w:t>
      </w:r>
    </w:p>
    <w:p>
      <w:pPr>
        <w:pStyle w:val="ListParagraph"/>
        <w:numPr>
          <w:ilvl w:val="0"/>
          <w:numId w:val="11"/>
        </w:numPr>
        <w:ind w:left="360"/>
      </w:pPr>
      <w:r>
        <w:rPr>
          <w:b w:val="0"/>
          <w:i w:val="0"/>
        </w:rPr>
        <w:t>Retain manifests, lockfiles, SBOMs, reviews/approvals, security decisions, test evidence, and transfer/destination acceptance records for at least three years, subject to the destination's handling rules.</w:t>
      </w:r>
    </w:p>
    <w:p>
      <w:pPr/>
      <w:r>
        <w:rPr>
          <w:b w:val="0"/>
          <w:i w:val="0"/>
        </w:rPr>
        <w:t>Retain or reference the admitted sources, recipes, and tool prerequisites needed to rebuild supported releases, including disconnected destinations, and record the selected retention period in the operating record. Preserve failed-workspace evidence and the last accepted checkpoint until the replacement is accepted. Reuse a candidate only for an operational retry with unchanged defining inputs; otherwise create a new candidate.</w:t>
      </w:r>
    </w:p>
    <w:p>
      <w:pPr/>
      <w:r>
        <w:rPr>
          <w:b w:val="0"/>
          <w:i w:val="0"/>
        </w:rPr>
        <w:t>Rollback selects a retained release that remains acceptable under current security findings. It changes the supported pointer or module default without editing either release. Do not restore an exposed release merely because it was previously approved.</w:t>
      </w:r>
    </w:p>
    <w:p>
      <w:pPr>
        <w:pStyle w:val="Heading1"/>
      </w:pPr>
      <w:r>
        <w:rPr>
          <w:b w:val="0"/>
          <w:i w:val="0"/>
        </w:rPr>
        <w:t>14. Required release record</w:t>
      </w:r>
    </w:p>
    <w:p>
      <w:pPr/>
      <w:r>
        <w:rPr>
          <w:b w:val="0"/>
          <w:i w:val="0"/>
        </w:rPr>
        <w:t>Use the common release record in shared procedure Section 14. CSE adds the controlled roster and cross-environment checks, restricted/public catalog relationship, CSE permissions, compiler/lane/module acceptance, and the transfer records when applicable. The record links the builder's execution evidence, independent review, release authority's decision, and the exact approved candidate/artifact identities.</w:t>
      </w:r>
    </w:p>
    <w:p>
      <w:pPr/>
      <w:r>
        <w:rPr>
          <w:b w:val="0"/>
          <w:i w:val="0"/>
        </w:rPr>
        <w:t>Complete the system roots, contacts, approved security baseline, scanner/update process, signing authority/backend, transfer route when used, support channel, and named CSE assignments before the corresponding operation. Track remaining values explicitly as open prerequisites; this draft does not assign unknown people or certify unavailable controls.</w:t>
      </w:r>
    </w:p>
    <w:p>
      <w:pPr>
        <w:pStyle w:val="Heading1"/>
      </w:pPr>
      <w:r>
        <w:rPr>
          <w:b w:val="0"/>
          <w:i w:val="0"/>
        </w:rPr>
        <w:t>Appendix A. Terms</w:t>
      </w:r>
    </w:p>
    <w:p>
      <w:pPr/>
      <w:r>
        <w:rPr>
          <w:b w:val="0"/>
          <w:i w:val="0"/>
        </w:rPr>
        <w:t>Common terms, including source mirror, build cache, lockfile, environment, scope, and transfer, are defined in the shared procedure.</w:t>
      </w:r>
    </w:p>
    <w:p>
      <w:pPr/>
      <w:r>
        <w:rPr>
          <w:b/>
          <w:i w:val="0"/>
        </w:rPr>
        <w:t>CSE restricted catalog</w:t>
      </w:r>
      <w:r>
        <w:rPr>
          <w:b w:val="0"/>
          <w:i w:val="0"/>
        </w:rPr>
        <w:t xml:space="preserve"> is the retained configuration release used to prepare both CSE workspaces. </w:t>
      </w:r>
      <w:r>
        <w:rPr>
          <w:b/>
          <w:i w:val="0"/>
        </w:rPr>
        <w:t>CSE public catalog</w:t>
      </w:r>
      <w:r>
        <w:rPr>
          <w:b w:val="0"/>
          <w:i w:val="0"/>
        </w:rPr>
        <w:t xml:space="preserve"> is its separately accepted configuration publication for external package managers.</w:t>
      </w:r>
    </w:p>
    <w:p>
      <w:pPr/>
      <w:r>
        <w:rPr>
          <w:b/>
          <w:i w:val="0"/>
        </w:rPr>
        <w:t>CSE package roster</w:t>
      </w:r>
      <w:r>
        <w:rPr>
          <w:b w:val="0"/>
          <w:i w:val="0"/>
        </w:rPr>
        <w:t xml:space="preserve"> is the approved list of package roots, versions, variants, and supported combinations recorded for the release; Section 7.2 defines its selection policy.</w:t>
      </w:r>
    </w:p>
    <w:p>
      <w:pPr/>
      <w:r>
        <w:rPr>
          <w:b/>
          <w:i w:val="0"/>
        </w:rPr>
        <w:t>Foundation</w:t>
      </w:r>
      <w:r>
        <w:rPr>
          <w:b w:val="0"/>
          <w:i w:val="0"/>
        </w:rPr>
        <w:t xml:space="preserve"> means the pinned support libraries made available through the selected view without individual package modules. </w:t>
      </w:r>
      <w:r>
        <w:rPr>
          <w:b/>
          <w:i w:val="0"/>
        </w:rPr>
        <w:t>Core</w:t>
      </w:r>
      <w:r>
        <w:rPr>
          <w:b w:val="0"/>
          <w:i w:val="0"/>
        </w:rPr>
        <w:t xml:space="preserve"> contains those libraries and user-loadable tools. </w:t>
      </w:r>
      <w:r>
        <w:rPr>
          <w:b/>
          <w:i w:val="0"/>
        </w:rPr>
        <w:t>Common</w:t>
      </w:r>
      <w:r>
        <w:rPr>
          <w:b w:val="0"/>
          <w:i w:val="0"/>
        </w:rPr>
        <w:t xml:space="preserve"> contains compiler-dependent packages shared by the Serial and MPI environments.</w:t>
      </w:r>
    </w:p>
    <w:p>
      <w:pPr/>
      <w:r>
        <w:rPr>
          <w:b/>
          <w:i w:val="0"/>
        </w:rPr>
        <w:t>CSE compiler surface</w:t>
      </w:r>
      <w:r>
        <w:rPr>
          <w:b w:val="0"/>
          <w:i w:val="0"/>
        </w:rPr>
        <w:t xml:space="preserve"> is one selected compiler and its associated Core, Common, Serial, MPI, and any approved GPU environments. A </w:t>
      </w:r>
      <w:r>
        <w:rPr>
          <w:b/>
          <w:i w:val="0"/>
        </w:rPr>
        <w:t>lane</w:t>
      </w:r>
      <w:r>
        <w:rPr>
          <w:b w:val="0"/>
          <w:i w:val="0"/>
        </w:rPr>
        <w:t xml:space="preserve"> is a selected Serial, MPI, or GPU software environment. The </w:t>
      </w:r>
      <w:r>
        <w:rPr>
          <w:b/>
          <w:i w:val="0"/>
        </w:rPr>
        <w:t>CSE gateway</w:t>
      </w:r>
      <w:r>
        <w:rPr>
          <w:b w:val="0"/>
          <w:i w:val="0"/>
        </w:rPr>
        <w:t xml:space="preserve"> is the module entry point that selects the compiler surface and makes its lane selectors available, as defined in Section 11.</w:t>
      </w:r>
    </w:p>
    <w:p>
      <w:pPr/>
      <w:r>
        <w:rPr>
          <w:b/>
          <w:i w:val="0"/>
        </w:rPr>
        <w:t>CSE published release</w:t>
      </w:r>
      <w:r>
        <w:rPr>
          <w:b w:val="0"/>
          <w:i w:val="0"/>
        </w:rPr>
        <w:t xml:space="preserve"> is the accepted cache-installed software, views, modules, and release evidence exposed to the approved users.</w:t>
      </w:r>
    </w:p>
    <w:sectPr w:rsidR="00FC693F" w:rsidRPr="0006063C" w:rsidSect="00034616">
      <w:footerReference w:type="default" r:id="rId9"/>
      <w:pgSz w:w="12240" w:h="15840"/>
      <w:pgMar w:top="936" w:right="1044" w:bottom="936" w:left="1044"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CSE Spack SOP  |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360"/>
        </w:tabs>
        <w:ind w:left="360" w:hanging="300"/>
      </w:pPr>
    </w:lvl>
  </w:abstractNum>
  <w:num w:numId="10">
    <w:abstractNumId w:val="9"/>
  </w:num>
  <w:abstractNum w:abstractNumId="10">
    <w:multiLevelType w:val="singleLevel"/>
    <w:lvl w:ilvl="0">
      <w:start w:val="1"/>
      <w:numFmt w:val="bullet"/>
      <w:lvlText w:val="•"/>
      <w:lvlJc w:val="left"/>
      <w:pPr>
        <w:tabs>
          <w:tab w:val="num" w:pos="360"/>
        </w:tabs>
        <w:ind w:left="360" w:hanging="30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280" w:line="240" w:lineRule="auto" w:before="0"/>
      <w:contextualSpacing/>
    </w:pPr>
    <w:rPr>
      <w:rFonts w:asciiTheme="majorHAnsi" w:eastAsiaTheme="majorEastAsia" w:hAnsiTheme="majorHAnsi" w:cstheme="majorBidi" w:ascii="Arial" w:hAnsi="Arial"/>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00"/>
      <w:ind w:left="720"/>
      <w:contextualSpacing/>
    </w:pPr>
    <w:rPr>
      <w:rFonts w:ascii="Arial" w:hAnsi="Arial"/>
      <w:sz w:val="22"/>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software_stack_sop_v1.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 Spack Build and Publication SOP</dc:title>
  <dc:subject>Working draft for review, revision 2026-09-09</dc:subject>
  <dc:creator>Ravon Venters</dc:creator>
  <cp:keywords/>
  <dc:description/>
  <cp:lastModifiedBy>Ravon Venters</cp:lastModifiedBy>
  <cp:revision>1</cp:revision>
  <dcterms:created xsi:type="dcterms:W3CDTF">2013-12-23T23:15:00Z</dcterms:created>
  <dcterms:modified xsi:type="dcterms:W3CDTF">2013-12-23T23:15:00Z</dcterms:modified>
  <cp:category/>
</cp:coreProperties>
</file>