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36"/>
        </w:rPr>
        <w:t>116年度（2027年）身心障礙者服務衛教執行計畫暨成效評量手冊</w:t>
      </w:r>
    </w:p>
    <w:p>
      <w:pPr>
        <w:spacing w:before="0" w:after="280"/>
        <w:jc w:val="center"/>
      </w:pPr>
      <w:r>
        <w:rPr>
          <w:color w:val="555555"/>
          <w:sz w:val="22"/>
        </w:rPr>
        <w:t>4大主題 × 每主題3個月 × 每月檢核 × 季前後測 × 年度成效統計</w:t>
      </w:r>
    </w:p>
    <w:p>
      <w:pPr>
        <w:spacing w:before="80" w:after="200"/>
      </w:pPr>
      <w:r>
        <w:rPr>
          <w:color w:val="2B4C7E"/>
          <w:sz w:val="20"/>
        </w:rPr>
        <w:t>【核心設計目的】</w:t>
        <w:br/>
        <w:t>本計畫旨在建立標準化、結構化之健康衛教教學與成效評量機制。透過「季前測 → 3個月階梯教學 → 每月檢核 → 季後測 → 年度統計」之完整循環，清楚掌握服務使用者之健康自立能力成長軌跡（從部分協助至口語提示/獨立完成），以利撰寫年度個別化服務計畫（ISP）與評鑑成果報告。</w:t>
      </w:r>
    </w:p>
    <w:p>
      <w:pPr>
        <w:keepNext/>
        <w:spacing w:before="280" w:after="120"/>
      </w:pPr>
      <w:r>
        <w:rPr>
          <w:rFonts w:ascii="微軟正黑體" w:hAnsi="微軟正黑體" w:eastAsia="微軟正黑體"/>
          <w:b/>
          <w:color w:val="1B365D"/>
          <w:sz w:val="28"/>
        </w:rPr>
        <w:t>一、116年度衛教整體架構</w:t>
      </w:r>
    </w:p>
    <w:p>
      <w:pPr>
        <w:spacing w:before="40" w:after="60" w:line="288" w:lineRule="auto"/>
      </w:pPr>
      <w:r>
        <w:rPr>
          <w:rFonts w:ascii="微軟正黑體" w:hAnsi="微軟正黑體"/>
          <w:i w:val="0"/>
        </w:rPr>
        <w:t>將全年度衛教規劃整合為四大核心主題，依序從「基礎衛生」推進至「自我健康倡議」，建構循序漸進之健康自主能力：</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E5E7EB"/>
          <w:insideV w:val="none"/>
          <w:left w:val="none"/>
          <w:right w:val="none"/>
        </w:tblBorders>
      </w:tblPr>
      <w:tblGrid>
        <w:gridCol w:w="2484"/>
        <w:gridCol w:w="2484"/>
        <w:gridCol w:w="2484"/>
        <w:gridCol w:w="2484"/>
      </w:tblGrid>
      <w:tr>
        <w:trPr>
          <w:cantSplit/>
          <w:tblHeader/>
        </w:trPr>
        <w:tc>
          <w:tcPr>
            <w:tcW w:type="dxa" w:w="1584"/>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季別</w:t>
            </w:r>
          </w:p>
        </w:tc>
        <w:tc>
          <w:tcPr>
            <w:tcW w:type="dxa" w:w="1296"/>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月份</w:t>
            </w:r>
          </w:p>
        </w:tc>
        <w:tc>
          <w:tcPr>
            <w:tcW w:type="dxa" w:w="2880"/>
            <w:vAlign w:val="center"/>
            <w:tcMar>
              <w:top w:w="120" w:type="dxa"/>
              <w:bottom w:w="120" w:type="dxa"/>
              <w:left w:w="140" w:type="dxa"/>
              <w:right w:w="140" w:type="dxa"/>
            </w:tcMar>
            <w:shd w:fill="1B365D"/>
          </w:tcPr>
          <w:p>
            <w:pPr>
              <w:spacing w:before="40" w:after="40" w:line="276" w:lineRule="auto"/>
              <w:jc w:val="left"/>
            </w:pPr>
            <w:r>
              <w:rPr>
                <w:rFonts w:ascii="微軟正黑體" w:hAnsi="微軟正黑體" w:eastAsia="微軟正黑體"/>
                <w:b/>
                <w:color w:val="FFFFFF"/>
                <w:sz w:val="20"/>
              </w:rPr>
              <w:t>衛教主題</w:t>
            </w:r>
          </w:p>
        </w:tc>
        <w:tc>
          <w:tcPr>
            <w:tcW w:type="dxa" w:w="3888"/>
            <w:vAlign w:val="center"/>
            <w:tcMar>
              <w:top w:w="120" w:type="dxa"/>
              <w:bottom w:w="120" w:type="dxa"/>
              <w:left w:w="140" w:type="dxa"/>
              <w:right w:w="140" w:type="dxa"/>
            </w:tcMar>
            <w:shd w:fill="1B365D"/>
          </w:tcPr>
          <w:p>
            <w:pPr>
              <w:spacing w:before="40" w:after="40" w:line="276" w:lineRule="auto"/>
              <w:jc w:val="left"/>
            </w:pPr>
            <w:r>
              <w:rPr>
                <w:rFonts w:ascii="微軟正黑體" w:hAnsi="微軟正黑體" w:eastAsia="微軟正黑體"/>
                <w:b/>
                <w:color w:val="FFFFFF"/>
                <w:sz w:val="20"/>
              </w:rPr>
              <w:t>核心內容</w:t>
            </w:r>
          </w:p>
        </w:tc>
      </w:tr>
      <w:tr>
        <w:trPr>
          <w:cantSplit/>
        </w:trPr>
        <w:tc>
          <w:tcPr>
            <w:tcW w:type="dxa" w:w="1584"/>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第一季 (Q1)</w:t>
            </w:r>
          </w:p>
        </w:tc>
        <w:tc>
          <w:tcPr>
            <w:tcW w:type="dxa" w:w="1296"/>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1～3月</w:t>
            </w:r>
          </w:p>
        </w:tc>
        <w:tc>
          <w:tcPr>
            <w:tcW w:type="dxa" w:w="2880"/>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健康衛生與日常照護</w:t>
            </w:r>
          </w:p>
        </w:tc>
        <w:tc>
          <w:tcPr>
            <w:tcW w:type="dxa" w:w="3888"/>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洗手七步驟、潔牙、傷口清潔與護理、止鼻血標準處置</w:t>
            </w:r>
          </w:p>
        </w:tc>
      </w:tr>
      <w:tr>
        <w:trPr>
          <w:cantSplit/>
        </w:trPr>
        <w:tc>
          <w:tcPr>
            <w:tcW w:type="dxa" w:w="1584"/>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第二季 (Q2)</w:t>
            </w:r>
          </w:p>
        </w:tc>
        <w:tc>
          <w:tcPr>
            <w:tcW w:type="dxa" w:w="1296"/>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4～6月</w:t>
            </w:r>
          </w:p>
        </w:tc>
        <w:tc>
          <w:tcPr>
            <w:tcW w:type="dxa" w:w="2880"/>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健康飲食與身體監測</w:t>
            </w:r>
          </w:p>
        </w:tc>
        <w:tc>
          <w:tcPr>
            <w:tcW w:type="dxa" w:w="3888"/>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食物紅綠燈、均衡飲食搭配、體溫/血壓/體重/血氧量測與讀取</w:t>
            </w:r>
          </w:p>
        </w:tc>
      </w:tr>
      <w:tr>
        <w:trPr>
          <w:cantSplit/>
        </w:trPr>
        <w:tc>
          <w:tcPr>
            <w:tcW w:type="dxa" w:w="1584"/>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第三季 (Q3)</w:t>
            </w:r>
          </w:p>
        </w:tc>
        <w:tc>
          <w:tcPr>
            <w:tcW w:type="dxa" w:w="1296"/>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7～9月</w:t>
            </w:r>
          </w:p>
        </w:tc>
        <w:tc>
          <w:tcPr>
            <w:tcW w:type="dxa" w:w="2880"/>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緊急事故與健康安全</w:t>
            </w:r>
          </w:p>
        </w:tc>
        <w:tc>
          <w:tcPr>
            <w:tcW w:type="dxa" w:w="3888"/>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環境危險辨識、癲癇發作應變、外傷處理、大聲呼救、撥打119</w:t>
            </w:r>
          </w:p>
        </w:tc>
      </w:tr>
      <w:tr>
        <w:trPr>
          <w:cantSplit/>
        </w:trPr>
        <w:tc>
          <w:tcPr>
            <w:tcW w:type="dxa" w:w="1584"/>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第四季 (Q4)</w:t>
            </w:r>
          </w:p>
        </w:tc>
        <w:tc>
          <w:tcPr>
            <w:tcW w:type="dxa" w:w="1296"/>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10～12月</w:t>
            </w:r>
          </w:p>
        </w:tc>
        <w:tc>
          <w:tcPr>
            <w:tcW w:type="dxa" w:w="2880"/>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身體自主與自我倡議</w:t>
            </w:r>
          </w:p>
        </w:tc>
        <w:tc>
          <w:tcPr>
            <w:tcW w:type="dxa" w:w="3888"/>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生理期照護、身體不適感辨識與部位指出、就醫溝通與表達需求</w:t>
            </w:r>
          </w:p>
        </w:tc>
      </w:tr>
    </w:tbl>
    <w:p>
      <w:pPr>
        <w:spacing w:before="40" w:after="60" w:line="288" w:lineRule="auto"/>
      </w:pPr>
      <w:r>
        <w:rPr>
          <w:rFonts w:ascii="微軟正黑體" w:hAnsi="微軟正黑體"/>
          <w:i w:val="0"/>
        </w:rPr>
        <w:t>◆ 能力推進邏輯：第一季【基礎衛生】 ➔ 第二季【照顧身體】 ➔ 第三季【問題應變】 ➔ 第四季【主動表達與自我照顧】。</w:t>
      </w:r>
    </w:p>
    <w:p>
      <w:pPr>
        <w:keepNext/>
        <w:spacing w:before="280" w:after="120"/>
      </w:pPr>
      <w:r>
        <w:rPr>
          <w:rFonts w:ascii="微軟正黑體" w:hAnsi="微軟正黑體" w:eastAsia="微軟正黑體"/>
          <w:b/>
          <w:color w:val="1B365D"/>
          <w:sz w:val="28"/>
        </w:rPr>
        <w:t>二、每季固定「3個月教學模式」</w:t>
      </w:r>
    </w:p>
    <w:p>
      <w:pPr>
        <w:spacing w:before="40" w:after="60" w:line="288" w:lineRule="auto"/>
      </w:pPr>
      <w:r>
        <w:rPr>
          <w:rFonts w:ascii="微軟正黑體" w:hAnsi="微軟正黑體"/>
          <w:i w:val="0"/>
        </w:rPr>
        <w:t>四季均統一採用標準化三階段推進模式，確保教學節奏與評量信效度一致：</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E5E7EB"/>
          <w:insideV w:val="none"/>
          <w:left w:val="none"/>
          <w:right w:val="none"/>
        </w:tblBorders>
      </w:tblPr>
      <w:tblGrid>
        <w:gridCol w:w="3312"/>
        <w:gridCol w:w="3312"/>
        <w:gridCol w:w="3312"/>
      </w:tblGrid>
      <w:tr>
        <w:trPr>
          <w:cantSplit/>
          <w:tblHeader/>
        </w:trPr>
        <w:tc>
          <w:tcPr>
            <w:tcW w:type="dxa" w:w="1728"/>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階段</w:t>
            </w:r>
          </w:p>
        </w:tc>
        <w:tc>
          <w:tcPr>
            <w:tcW w:type="dxa" w:w="2304"/>
            <w:vAlign w:val="center"/>
            <w:tcMar>
              <w:top w:w="120" w:type="dxa"/>
              <w:bottom w:w="120" w:type="dxa"/>
              <w:left w:w="140" w:type="dxa"/>
              <w:right w:w="140" w:type="dxa"/>
            </w:tcMar>
            <w:shd w:fill="1B365D"/>
          </w:tcPr>
          <w:p>
            <w:pPr>
              <w:spacing w:before="40" w:after="40" w:line="276" w:lineRule="auto"/>
              <w:jc w:val="left"/>
            </w:pPr>
            <w:r>
              <w:rPr>
                <w:rFonts w:ascii="微軟正黑體" w:hAnsi="微軟正黑體" w:eastAsia="微軟正黑體"/>
                <w:b/>
                <w:color w:val="FFFFFF"/>
                <w:sz w:val="20"/>
              </w:rPr>
              <w:t>期程安排</w:t>
            </w:r>
          </w:p>
        </w:tc>
        <w:tc>
          <w:tcPr>
            <w:tcW w:type="dxa" w:w="5616"/>
            <w:vAlign w:val="center"/>
            <w:tcMar>
              <w:top w:w="120" w:type="dxa"/>
              <w:bottom w:w="120" w:type="dxa"/>
              <w:left w:w="140" w:type="dxa"/>
              <w:right w:w="140" w:type="dxa"/>
            </w:tcMar>
            <w:shd w:fill="1B365D"/>
          </w:tcPr>
          <w:p>
            <w:pPr>
              <w:spacing w:before="40" w:after="40" w:line="276" w:lineRule="auto"/>
              <w:jc w:val="left"/>
            </w:pPr>
            <w:r>
              <w:rPr>
                <w:rFonts w:ascii="微軟正黑體" w:hAnsi="微軟正黑體" w:eastAsia="微軟正黑體"/>
                <w:b/>
                <w:color w:val="FFFFFF"/>
                <w:sz w:val="20"/>
              </w:rPr>
              <w:t>教學與評量重點</w:t>
            </w:r>
          </w:p>
        </w:tc>
      </w:tr>
      <w:tr>
        <w:trPr>
          <w:cantSplit/>
        </w:trPr>
        <w:tc>
          <w:tcPr>
            <w:tcW w:type="dxa" w:w="1728"/>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第1個月</w:t>
            </w:r>
          </w:p>
        </w:tc>
        <w:tc>
          <w:tcPr>
            <w:tcW w:type="dxa" w:w="2304"/>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認識 ＋ 示範</w:t>
              <w:br/>
              <w:t>（執行前測）</w:t>
            </w:r>
          </w:p>
        </w:tc>
        <w:tc>
          <w:tcPr>
            <w:tcW w:type="dxa" w:w="5616"/>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1. 實施「季前測」（直接評量，不事先提示以確認真實起點）</w:t>
              <w:br/>
              <w:t>2. 支持者示範標準步驟，引導認識關鍵概念與操作時機。</w:t>
            </w:r>
          </w:p>
        </w:tc>
      </w:tr>
      <w:tr>
        <w:trPr>
          <w:cantSplit/>
        </w:trPr>
        <w:tc>
          <w:tcPr>
            <w:tcW w:type="dxa" w:w="1728"/>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第2個月</w:t>
            </w:r>
          </w:p>
        </w:tc>
        <w:tc>
          <w:tcPr>
            <w:tcW w:type="dxa" w:w="2304"/>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實際操作</w:t>
              <w:br/>
              <w:t>（執行第1次月檢核）</w:t>
            </w:r>
          </w:p>
        </w:tc>
        <w:tc>
          <w:tcPr>
            <w:tcW w:type="dxa" w:w="5616"/>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1. 實體教具/日常情境重複練習（如洗手、刷牙、量測等）</w:t>
              <w:br/>
              <w:t>2. 提供分級提示支持，記錄個別卡關環節與調整支持策略。</w:t>
            </w:r>
          </w:p>
        </w:tc>
      </w:tr>
      <w:tr>
        <w:trPr>
          <w:cantSplit/>
        </w:trPr>
        <w:tc>
          <w:tcPr>
            <w:tcW w:type="dxa" w:w="1728"/>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第3個月</w:t>
            </w:r>
          </w:p>
        </w:tc>
        <w:tc>
          <w:tcPr>
            <w:tcW w:type="dxa" w:w="2304"/>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情境應用 ＋ 季後測</w:t>
              <w:br/>
              <w:t>（執行後測/季檢核）</w:t>
            </w:r>
          </w:p>
        </w:tc>
        <w:tc>
          <w:tcPr>
            <w:tcW w:type="dxa" w:w="5616"/>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1. 綜合情境演練，逐步褪除支持者協助（減少口語/肢體提示）</w:t>
              <w:br/>
              <w:t>2. 實施「季後測」（與前測題目完全相同），比較進步幅度。</w:t>
            </w:r>
          </w:p>
        </w:tc>
      </w:tr>
    </w:tbl>
    <w:p>
      <w:pPr>
        <w:keepNext/>
        <w:spacing w:before="280" w:after="120"/>
      </w:pPr>
      <w:r>
        <w:rPr>
          <w:rFonts w:ascii="微軟正黑體" w:hAnsi="微軟正黑體" w:eastAsia="微軟正黑體"/>
          <w:b/>
          <w:color w:val="1B365D"/>
          <w:sz w:val="28"/>
        </w:rPr>
        <w:t>三、統一評分標準（0～5分提示等級）</w:t>
      </w:r>
    </w:p>
    <w:p>
      <w:pPr>
        <w:spacing w:before="40" w:after="60" w:line="288" w:lineRule="auto"/>
      </w:pPr>
      <w:r>
        <w:rPr>
          <w:rFonts w:ascii="微軟正黑體" w:hAnsi="微軟正黑體"/>
          <w:i w:val="0"/>
        </w:rPr>
        <w:t>年度評分標準延續小作所常用之提示等級，確保數據客觀公正：</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E5E7EB"/>
          <w:insideV w:val="none"/>
          <w:left w:val="none"/>
          <w:right w:val="none"/>
        </w:tblBorders>
      </w:tblPr>
      <w:tblGrid>
        <w:gridCol w:w="3312"/>
        <w:gridCol w:w="3312"/>
        <w:gridCol w:w="3312"/>
      </w:tblGrid>
      <w:tr>
        <w:trPr>
          <w:cantSplit/>
          <w:tblHeader/>
        </w:trPr>
        <w:tc>
          <w:tcPr>
            <w:tcW w:type="dxa" w:w="1152"/>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分數</w:t>
            </w:r>
          </w:p>
        </w:tc>
        <w:tc>
          <w:tcPr>
            <w:tcW w:type="dxa" w:w="2160"/>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評分等級</w:t>
            </w:r>
          </w:p>
        </w:tc>
        <w:tc>
          <w:tcPr>
            <w:tcW w:type="dxa" w:w="6336"/>
            <w:vAlign w:val="center"/>
            <w:tcMar>
              <w:top w:w="120" w:type="dxa"/>
              <w:bottom w:w="120" w:type="dxa"/>
              <w:left w:w="140" w:type="dxa"/>
              <w:right w:w="140" w:type="dxa"/>
            </w:tcMar>
            <w:shd w:fill="1B365D"/>
          </w:tcPr>
          <w:p>
            <w:pPr>
              <w:spacing w:before="40" w:after="40" w:line="276" w:lineRule="auto"/>
              <w:jc w:val="left"/>
            </w:pPr>
            <w:r>
              <w:rPr>
                <w:rFonts w:ascii="微軟正黑體" w:hAnsi="微軟正黑體" w:eastAsia="微軟正黑體"/>
                <w:b/>
                <w:color w:val="FFFFFF"/>
                <w:sz w:val="20"/>
              </w:rPr>
              <w:t>判定標準與具體表現說明</w:t>
            </w:r>
          </w:p>
        </w:tc>
      </w:tr>
      <w:tr>
        <w:trPr>
          <w:cantSplit/>
        </w:trPr>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c>
          <w:tcPr>
            <w:tcW w:type="dxa" w:w="2160"/>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可獨立完成</w:t>
            </w:r>
          </w:p>
        </w:tc>
        <w:tc>
          <w:tcPr>
            <w:tcW w:type="dxa" w:w="6336"/>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不需要任何提示，能主動且正確無誤地完成完整步驟。</w:t>
            </w:r>
          </w:p>
        </w:tc>
      </w:tr>
      <w:tr>
        <w:trPr>
          <w:cantSplit/>
        </w:trPr>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4分</w:t>
            </w:r>
          </w:p>
        </w:tc>
        <w:tc>
          <w:tcPr>
            <w:tcW w:type="dxa" w:w="2160"/>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口語提示</w:t>
            </w:r>
          </w:p>
        </w:tc>
        <w:tc>
          <w:tcPr>
            <w:tcW w:type="dxa" w:w="6336"/>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支持者給予口頭提醒（如：「夾的動作呢？」）即可正確完成。</w:t>
            </w:r>
          </w:p>
        </w:tc>
      </w:tr>
      <w:tr>
        <w:trPr>
          <w:cantSplit/>
        </w:trPr>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3分</w:t>
            </w:r>
          </w:p>
        </w:tc>
        <w:tc>
          <w:tcPr>
            <w:tcW w:type="dxa" w:w="2160"/>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肢體協助</w:t>
            </w:r>
          </w:p>
        </w:tc>
        <w:tc>
          <w:tcPr>
            <w:tcW w:type="dxa" w:w="6336"/>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需要支持者給予肢體引導或輕碰示範（如牽手引導角度）才能完成。</w:t>
            </w:r>
          </w:p>
        </w:tc>
      </w:tr>
      <w:tr>
        <w:trPr>
          <w:cantSplit/>
        </w:trPr>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2分</w:t>
            </w:r>
          </w:p>
        </w:tc>
        <w:tc>
          <w:tcPr>
            <w:tcW w:type="dxa" w:w="2160"/>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部分協助</w:t>
            </w:r>
          </w:p>
        </w:tc>
        <w:tc>
          <w:tcPr>
            <w:tcW w:type="dxa" w:w="6336"/>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需支持者協助操作超過一半或關鍵步驟才能完成。</w:t>
            </w:r>
          </w:p>
        </w:tc>
      </w:tr>
      <w:tr>
        <w:trPr>
          <w:cantSplit/>
        </w:trPr>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1分</w:t>
            </w:r>
          </w:p>
        </w:tc>
        <w:tc>
          <w:tcPr>
            <w:tcW w:type="dxa" w:w="2160"/>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大量協助</w:t>
            </w:r>
          </w:p>
        </w:tc>
        <w:tc>
          <w:tcPr>
            <w:tcW w:type="dxa" w:w="6336"/>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大部分步驟由支持者代為操作，使用者僅能參與極少部分。</w:t>
            </w:r>
          </w:p>
        </w:tc>
      </w:tr>
      <w:tr>
        <w:trPr>
          <w:cantSplit/>
        </w:trPr>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0分</w:t>
            </w:r>
          </w:p>
        </w:tc>
        <w:tc>
          <w:tcPr>
            <w:tcW w:type="dxa" w:w="2160"/>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無法完成</w:t>
            </w:r>
          </w:p>
        </w:tc>
        <w:tc>
          <w:tcPr>
            <w:tcW w:type="dxa" w:w="6336"/>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即使提供大量協助仍無法完成或拒絕配合操作。</w:t>
            </w:r>
          </w:p>
        </w:tc>
      </w:tr>
    </w:tbl>
    <w:p>
      <w:pPr>
        <w:spacing w:before="40" w:after="60" w:line="288" w:lineRule="auto"/>
      </w:pPr>
      <w:r>
        <w:rPr>
          <w:rFonts w:ascii="微軟正黑體" w:hAnsi="微軟正黑體"/>
          <w:i w:val="0"/>
        </w:rPr>
        <w:t>★ 重要評分原則：評分以「當下實際表現」為準，嚴禁以平常印象評分。例如使用者平常會洗手，但評量當下忘記「夾」，經口語提醒才完成，即應記為 4分（口語提示），而非 5分。</w:t>
      </w:r>
    </w:p>
    <w:p>
      <w:pPr>
        <w:keepNext/>
        <w:spacing w:before="280" w:after="120"/>
      </w:pPr>
      <w:r>
        <w:rPr>
          <w:rFonts w:ascii="微軟正黑體" w:hAnsi="微軟正黑體" w:eastAsia="微軟正黑體"/>
          <w:b/>
          <w:color w:val="1B365D"/>
          <w:sz w:val="28"/>
        </w:rPr>
        <w:t>四、四季檢核指標清單（每季固定10項，滿分50分）</w:t>
      </w:r>
    </w:p>
    <w:p>
      <w:pPr>
        <w:keepNext/>
        <w:spacing w:before="200" w:after="80"/>
      </w:pPr>
      <w:r>
        <w:rPr>
          <w:rFonts w:ascii="微軟正黑體" w:hAnsi="微軟正黑體" w:eastAsia="微軟正黑體"/>
          <w:b/>
          <w:color w:val="2B6CB0"/>
          <w:sz w:val="24"/>
        </w:rPr>
        <w:t>第一季：健康衛生與日常照護（1～3月）10項檢核指標</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E5E7EB"/>
          <w:insideV w:val="none"/>
          <w:left w:val="none"/>
          <w:right w:val="none"/>
        </w:tblBorders>
      </w:tblPr>
      <w:tblGrid>
        <w:gridCol w:w="3312"/>
        <w:gridCol w:w="3312"/>
        <w:gridCol w:w="3312"/>
      </w:tblGrid>
      <w:tr>
        <w:trPr>
          <w:cantSplit/>
          <w:tblHeader/>
        </w:trPr>
        <w:tc>
          <w:tcPr>
            <w:tcW w:type="dxa" w:w="1152"/>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編號</w:t>
            </w:r>
          </w:p>
        </w:tc>
        <w:tc>
          <w:tcPr>
            <w:tcW w:type="dxa" w:w="7344"/>
            <w:vAlign w:val="center"/>
            <w:tcMar>
              <w:top w:w="120" w:type="dxa"/>
              <w:bottom w:w="120" w:type="dxa"/>
              <w:left w:w="140" w:type="dxa"/>
              <w:right w:w="140" w:type="dxa"/>
            </w:tcMar>
            <w:shd w:fill="1B365D"/>
          </w:tcPr>
          <w:p>
            <w:pPr>
              <w:spacing w:before="40" w:after="40" w:line="276" w:lineRule="auto"/>
              <w:jc w:val="left"/>
            </w:pPr>
            <w:r>
              <w:rPr>
                <w:rFonts w:ascii="微軟正黑體" w:hAnsi="微軟正黑體" w:eastAsia="微軟正黑體"/>
                <w:b/>
                <w:color w:val="FFFFFF"/>
                <w:sz w:val="20"/>
              </w:rPr>
              <w:t>檢核指標項目</w:t>
            </w:r>
          </w:p>
        </w:tc>
        <w:tc>
          <w:tcPr>
            <w:tcW w:type="dxa" w:w="1152"/>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滿分</w:t>
            </w:r>
          </w:p>
        </w:tc>
      </w:tr>
      <w:tr>
        <w:trPr>
          <w:cantSplit/>
        </w:trPr>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1</w:t>
            </w:r>
          </w:p>
        </w:tc>
        <w:tc>
          <w:tcPr>
            <w:tcW w:type="dxa" w:w="7344"/>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能說出需要洗手的時機（如飯前、便後、擤鼻涕後等）</w:t>
            </w:r>
          </w:p>
        </w:tc>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2</w:t>
            </w:r>
          </w:p>
        </w:tc>
        <w:tc>
          <w:tcPr>
            <w:tcW w:type="dxa" w:w="7344"/>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能正確執行內外夾弓大立腕洗手步驟</w:t>
            </w:r>
          </w:p>
        </w:tc>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3</w:t>
            </w:r>
          </w:p>
        </w:tc>
        <w:tc>
          <w:tcPr>
            <w:tcW w:type="dxa" w:w="7344"/>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能將雙手搓洗至乾淨並以流動水沖洗乾淨</w:t>
            </w:r>
          </w:p>
        </w:tc>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4</w:t>
            </w:r>
          </w:p>
        </w:tc>
        <w:tc>
          <w:tcPr>
            <w:tcW w:type="dxa" w:w="7344"/>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能正確拿取牙刷及牙膏並擠出適當量</w:t>
            </w:r>
          </w:p>
        </w:tc>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w:t>
            </w:r>
          </w:p>
        </w:tc>
        <w:tc>
          <w:tcPr>
            <w:tcW w:type="dxa" w:w="7344"/>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能維持適當角度（貝氏刷牙法）刷牙</w:t>
            </w:r>
          </w:p>
        </w:tc>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6</w:t>
            </w:r>
          </w:p>
        </w:tc>
        <w:tc>
          <w:tcPr>
            <w:tcW w:type="dxa" w:w="7344"/>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能依序清潔牙齒各區域（內側、外側、咬合面）</w:t>
            </w:r>
          </w:p>
        </w:tc>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7</w:t>
            </w:r>
          </w:p>
        </w:tc>
        <w:tc>
          <w:tcPr>
            <w:tcW w:type="dxa" w:w="7344"/>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能用流動水清潔傷口及周圍髒污</w:t>
            </w:r>
          </w:p>
        </w:tc>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8</w:t>
            </w:r>
          </w:p>
        </w:tc>
        <w:tc>
          <w:tcPr>
            <w:tcW w:type="dxa" w:w="7344"/>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能正確撕開並使用OK繃／透氣膠帶包紮傷口</w:t>
            </w:r>
          </w:p>
        </w:tc>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9</w:t>
            </w:r>
          </w:p>
        </w:tc>
        <w:tc>
          <w:tcPr>
            <w:tcW w:type="dxa" w:w="7344"/>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止鼻血時能保持頭部微前傾並正確加壓止血</w:t>
            </w:r>
          </w:p>
        </w:tc>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10</w:t>
            </w:r>
          </w:p>
        </w:tc>
        <w:tc>
          <w:tcPr>
            <w:tcW w:type="dxa" w:w="7344"/>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止血或傷口護理時，能知道何時需尋求支持者協助</w:t>
            </w:r>
          </w:p>
        </w:tc>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r>
    </w:tbl>
    <w:p>
      <w:pPr>
        <w:spacing w:after="120"/>
      </w:pPr>
    </w:p>
    <w:p>
      <w:pPr>
        <w:keepNext/>
        <w:spacing w:before="200" w:after="80"/>
      </w:pPr>
      <w:r>
        <w:rPr>
          <w:rFonts w:ascii="微軟正黑體" w:hAnsi="微軟正黑體" w:eastAsia="微軟正黑體"/>
          <w:b/>
          <w:color w:val="2B6CB0"/>
          <w:sz w:val="24"/>
        </w:rPr>
        <w:t>第二季：健康飲食與身體監測（4～6月）10項檢核指標</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E5E7EB"/>
          <w:insideV w:val="none"/>
          <w:left w:val="none"/>
          <w:right w:val="none"/>
        </w:tblBorders>
      </w:tblPr>
      <w:tblGrid>
        <w:gridCol w:w="3312"/>
        <w:gridCol w:w="3312"/>
        <w:gridCol w:w="3312"/>
      </w:tblGrid>
      <w:tr>
        <w:trPr>
          <w:cantSplit/>
          <w:tblHeader/>
        </w:trPr>
        <w:tc>
          <w:tcPr>
            <w:tcW w:type="dxa" w:w="1152"/>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編號</w:t>
            </w:r>
          </w:p>
        </w:tc>
        <w:tc>
          <w:tcPr>
            <w:tcW w:type="dxa" w:w="7344"/>
            <w:vAlign w:val="center"/>
            <w:tcMar>
              <w:top w:w="120" w:type="dxa"/>
              <w:bottom w:w="120" w:type="dxa"/>
              <w:left w:w="140" w:type="dxa"/>
              <w:right w:w="140" w:type="dxa"/>
            </w:tcMar>
            <w:shd w:fill="1B365D"/>
          </w:tcPr>
          <w:p>
            <w:pPr>
              <w:spacing w:before="40" w:after="40" w:line="276" w:lineRule="auto"/>
              <w:jc w:val="left"/>
            </w:pPr>
            <w:r>
              <w:rPr>
                <w:rFonts w:ascii="微軟正黑體" w:hAnsi="微軟正黑體" w:eastAsia="微軟正黑體"/>
                <w:b/>
                <w:color w:val="FFFFFF"/>
                <w:sz w:val="20"/>
              </w:rPr>
              <w:t>檢核指標項目</w:t>
            </w:r>
          </w:p>
        </w:tc>
        <w:tc>
          <w:tcPr>
            <w:tcW w:type="dxa" w:w="1152"/>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滿分</w:t>
            </w:r>
          </w:p>
        </w:tc>
      </w:tr>
      <w:tr>
        <w:trPr>
          <w:cantSplit/>
        </w:trPr>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1</w:t>
            </w:r>
          </w:p>
        </w:tc>
        <w:tc>
          <w:tcPr>
            <w:tcW w:type="dxa" w:w="7344"/>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能分辨紅（少吃）、黃（適量）、綠（天天吃）燈食物</w:t>
            </w:r>
          </w:p>
        </w:tc>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2</w:t>
            </w:r>
          </w:p>
        </w:tc>
        <w:tc>
          <w:tcPr>
            <w:tcW w:type="dxa" w:w="7344"/>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能從菜單或實物中挑選澱粉類（全穀雜糧）食物</w:t>
            </w:r>
          </w:p>
        </w:tc>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3</w:t>
            </w:r>
          </w:p>
        </w:tc>
        <w:tc>
          <w:tcPr>
            <w:tcW w:type="dxa" w:w="7344"/>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能挑選蛋白質（蛋豆魚肉）食物</w:t>
            </w:r>
          </w:p>
        </w:tc>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4</w:t>
            </w:r>
          </w:p>
        </w:tc>
        <w:tc>
          <w:tcPr>
            <w:tcW w:type="dxa" w:w="7344"/>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能主動選擇或夾取蔬菜類食物</w:t>
            </w:r>
          </w:p>
        </w:tc>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w:t>
            </w:r>
          </w:p>
        </w:tc>
        <w:tc>
          <w:tcPr>
            <w:tcW w:type="dxa" w:w="7344"/>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能依據均衡飲食原則組合一份完整餐點</w:t>
            </w:r>
          </w:p>
        </w:tc>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6</w:t>
            </w:r>
          </w:p>
        </w:tc>
        <w:tc>
          <w:tcPr>
            <w:tcW w:type="dxa" w:w="7344"/>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能正確操作額溫槍並對準額頭量測</w:t>
            </w:r>
          </w:p>
        </w:tc>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7</w:t>
            </w:r>
          </w:p>
        </w:tc>
        <w:tc>
          <w:tcPr>
            <w:tcW w:type="dxa" w:w="7344"/>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能正確配戴壓脈帶並操作電子血壓計</w:t>
            </w:r>
          </w:p>
        </w:tc>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8</w:t>
            </w:r>
          </w:p>
        </w:tc>
        <w:tc>
          <w:tcPr>
            <w:tcW w:type="dxa" w:w="7344"/>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能脫鞋站穩量測體重並正確讀取數值</w:t>
            </w:r>
          </w:p>
        </w:tc>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9</w:t>
            </w:r>
          </w:p>
        </w:tc>
        <w:tc>
          <w:tcPr>
            <w:tcW w:type="dxa" w:w="7344"/>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能正確夾好血氧機並保持靜止量測</w:t>
            </w:r>
          </w:p>
        </w:tc>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10</w:t>
            </w:r>
          </w:p>
        </w:tc>
        <w:tc>
          <w:tcPr>
            <w:tcW w:type="dxa" w:w="7344"/>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能看懂自己的健康數據並說出異常時需注意的地方</w:t>
            </w:r>
          </w:p>
        </w:tc>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r>
    </w:tbl>
    <w:p>
      <w:pPr>
        <w:spacing w:after="120"/>
      </w:pPr>
    </w:p>
    <w:p>
      <w:pPr>
        <w:keepNext/>
        <w:spacing w:before="200" w:after="80"/>
      </w:pPr>
      <w:r>
        <w:rPr>
          <w:rFonts w:ascii="微軟正黑體" w:hAnsi="微軟正黑體" w:eastAsia="微軟正黑體"/>
          <w:b/>
          <w:color w:val="2B6CB0"/>
          <w:sz w:val="24"/>
        </w:rPr>
        <w:t>第三季：緊急事故與健康安全（7～9月）10項檢核指標</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E5E7EB"/>
          <w:insideV w:val="none"/>
          <w:left w:val="none"/>
          <w:right w:val="none"/>
        </w:tblBorders>
      </w:tblPr>
      <w:tblGrid>
        <w:gridCol w:w="3312"/>
        <w:gridCol w:w="3312"/>
        <w:gridCol w:w="3312"/>
      </w:tblGrid>
      <w:tr>
        <w:trPr>
          <w:cantSplit/>
          <w:tblHeader/>
        </w:trPr>
        <w:tc>
          <w:tcPr>
            <w:tcW w:type="dxa" w:w="1152"/>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編號</w:t>
            </w:r>
          </w:p>
        </w:tc>
        <w:tc>
          <w:tcPr>
            <w:tcW w:type="dxa" w:w="7344"/>
            <w:vAlign w:val="center"/>
            <w:tcMar>
              <w:top w:w="120" w:type="dxa"/>
              <w:bottom w:w="120" w:type="dxa"/>
              <w:left w:w="140" w:type="dxa"/>
              <w:right w:w="140" w:type="dxa"/>
            </w:tcMar>
            <w:shd w:fill="1B365D"/>
          </w:tcPr>
          <w:p>
            <w:pPr>
              <w:spacing w:before="40" w:after="40" w:line="276" w:lineRule="auto"/>
              <w:jc w:val="left"/>
            </w:pPr>
            <w:r>
              <w:rPr>
                <w:rFonts w:ascii="微軟正黑體" w:hAnsi="微軟正黑體" w:eastAsia="微軟正黑體"/>
                <w:b/>
                <w:color w:val="FFFFFF"/>
                <w:sz w:val="20"/>
              </w:rPr>
              <w:t>檢核指標項目</w:t>
            </w:r>
          </w:p>
        </w:tc>
        <w:tc>
          <w:tcPr>
            <w:tcW w:type="dxa" w:w="1152"/>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滿分</w:t>
            </w:r>
          </w:p>
        </w:tc>
      </w:tr>
      <w:tr>
        <w:trPr>
          <w:cantSplit/>
        </w:trPr>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1</w:t>
            </w:r>
          </w:p>
        </w:tc>
        <w:tc>
          <w:tcPr>
            <w:tcW w:type="dxa" w:w="7344"/>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能辨識活動區域周遭的危險物品（剪刀、熱水等）</w:t>
            </w:r>
          </w:p>
        </w:tc>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2</w:t>
            </w:r>
          </w:p>
        </w:tc>
        <w:tc>
          <w:tcPr>
            <w:tcW w:type="dxa" w:w="7344"/>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遇到緊急或意外狀況時能立即停止原本手邊活動</w:t>
            </w:r>
          </w:p>
        </w:tc>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3</w:t>
            </w:r>
          </w:p>
        </w:tc>
        <w:tc>
          <w:tcPr>
            <w:tcW w:type="dxa" w:w="7344"/>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遇到他人跌倒或發作能協助移開周遭危險物品</w:t>
            </w:r>
          </w:p>
        </w:tc>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4</w:t>
            </w:r>
          </w:p>
        </w:tc>
        <w:tc>
          <w:tcPr>
            <w:tcW w:type="dxa" w:w="7344"/>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能知道同儕癲癇發作時「不可強行壓制或塞東西入嘴」</w:t>
            </w:r>
          </w:p>
        </w:tc>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w:t>
            </w:r>
          </w:p>
        </w:tc>
        <w:tc>
          <w:tcPr>
            <w:tcW w:type="dxa" w:w="7344"/>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能聽從指示維持現場安全與通風環境</w:t>
            </w:r>
          </w:p>
        </w:tc>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6</w:t>
            </w:r>
          </w:p>
        </w:tc>
        <w:tc>
          <w:tcPr>
            <w:tcW w:type="dxa" w:w="7344"/>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發生意外事件時能知道需要立刻尋求成人/支持者協助</w:t>
            </w:r>
          </w:p>
        </w:tc>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7</w:t>
            </w:r>
          </w:p>
        </w:tc>
        <w:tc>
          <w:tcPr>
            <w:tcW w:type="dxa" w:w="7344"/>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遇到危急事件時能大聲呼救或通知他人</w:t>
            </w:r>
          </w:p>
        </w:tc>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8</w:t>
            </w:r>
          </w:p>
        </w:tc>
        <w:tc>
          <w:tcPr>
            <w:tcW w:type="dxa" w:w="7344"/>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能說出或指出緊急電話「119」</w:t>
            </w:r>
          </w:p>
        </w:tc>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9</w:t>
            </w:r>
          </w:p>
        </w:tc>
        <w:tc>
          <w:tcPr>
            <w:tcW w:type="dxa" w:w="7344"/>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能清楚說出自己的姓名、所在位置等基本報案資訊</w:t>
            </w:r>
          </w:p>
        </w:tc>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10</w:t>
            </w:r>
          </w:p>
        </w:tc>
        <w:tc>
          <w:tcPr>
            <w:tcW w:type="dxa" w:w="7344"/>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遇到自己無法處理的情況能主動向外界求助</w:t>
            </w:r>
          </w:p>
        </w:tc>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r>
    </w:tbl>
    <w:p>
      <w:pPr>
        <w:spacing w:after="120"/>
      </w:pPr>
    </w:p>
    <w:p>
      <w:pPr>
        <w:keepNext/>
        <w:spacing w:before="200" w:after="80"/>
      </w:pPr>
      <w:r>
        <w:rPr>
          <w:rFonts w:ascii="微軟正黑體" w:hAnsi="微軟正黑體" w:eastAsia="微軟正黑體"/>
          <w:b/>
          <w:color w:val="2B6CB0"/>
          <w:sz w:val="24"/>
        </w:rPr>
        <w:t>第四季：身體自主與健康自我倡議（10～12月）10項檢核指標</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E5E7EB"/>
          <w:insideV w:val="none"/>
          <w:left w:val="none"/>
          <w:right w:val="none"/>
        </w:tblBorders>
      </w:tblPr>
      <w:tblGrid>
        <w:gridCol w:w="3312"/>
        <w:gridCol w:w="3312"/>
        <w:gridCol w:w="3312"/>
      </w:tblGrid>
      <w:tr>
        <w:trPr>
          <w:cantSplit/>
          <w:tblHeader/>
        </w:trPr>
        <w:tc>
          <w:tcPr>
            <w:tcW w:type="dxa" w:w="1152"/>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編號</w:t>
            </w:r>
          </w:p>
        </w:tc>
        <w:tc>
          <w:tcPr>
            <w:tcW w:type="dxa" w:w="7344"/>
            <w:vAlign w:val="center"/>
            <w:tcMar>
              <w:top w:w="120" w:type="dxa"/>
              <w:bottom w:w="120" w:type="dxa"/>
              <w:left w:w="140" w:type="dxa"/>
              <w:right w:w="140" w:type="dxa"/>
            </w:tcMar>
            <w:shd w:fill="1B365D"/>
          </w:tcPr>
          <w:p>
            <w:pPr>
              <w:spacing w:before="40" w:after="40" w:line="276" w:lineRule="auto"/>
              <w:jc w:val="left"/>
            </w:pPr>
            <w:r>
              <w:rPr>
                <w:rFonts w:ascii="微軟正黑體" w:hAnsi="微軟正黑體" w:eastAsia="微軟正黑體"/>
                <w:b/>
                <w:color w:val="FFFFFF"/>
                <w:sz w:val="20"/>
              </w:rPr>
              <w:t>檢核指標項目</w:t>
            </w:r>
          </w:p>
        </w:tc>
        <w:tc>
          <w:tcPr>
            <w:tcW w:type="dxa" w:w="1152"/>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滿分</w:t>
            </w:r>
          </w:p>
        </w:tc>
      </w:tr>
      <w:tr>
        <w:trPr>
          <w:cantSplit/>
        </w:trPr>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1</w:t>
            </w:r>
          </w:p>
        </w:tc>
        <w:tc>
          <w:tcPr>
            <w:tcW w:type="dxa" w:w="7344"/>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能辨識並察覺自己的身體出現不舒服或異常</w:t>
            </w:r>
          </w:p>
        </w:tc>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2</w:t>
            </w:r>
          </w:p>
        </w:tc>
        <w:tc>
          <w:tcPr>
            <w:tcW w:type="dxa" w:w="7344"/>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能準確指出或觸摸自己不舒服的身體部位</w:t>
            </w:r>
          </w:p>
        </w:tc>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3</w:t>
            </w:r>
          </w:p>
        </w:tc>
        <w:tc>
          <w:tcPr>
            <w:tcW w:type="dxa" w:w="7344"/>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能用言語或圖卡表達疼痛（如刺痛、悶痛）或不適感受</w:t>
            </w:r>
          </w:p>
        </w:tc>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4</w:t>
            </w:r>
          </w:p>
        </w:tc>
        <w:tc>
          <w:tcPr>
            <w:tcW w:type="dxa" w:w="7344"/>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能知道身體不適時需第一時間告知支持者或家屬</w:t>
            </w:r>
          </w:p>
        </w:tc>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w:t>
            </w:r>
          </w:p>
        </w:tc>
        <w:tc>
          <w:tcPr>
            <w:tcW w:type="dxa" w:w="7344"/>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能說出或指出需要尋求的醫療協助（如看醫生、吃藥）</w:t>
            </w:r>
          </w:p>
        </w:tc>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6</w:t>
            </w:r>
          </w:p>
        </w:tc>
        <w:tc>
          <w:tcPr>
            <w:tcW w:type="dxa" w:w="7344"/>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能正確選擇適合的日用／夜用型衛生用品</w:t>
            </w:r>
          </w:p>
        </w:tc>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7</w:t>
            </w:r>
          </w:p>
        </w:tc>
        <w:tc>
          <w:tcPr>
            <w:tcW w:type="dxa" w:w="7344"/>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能正確完成衛生用品的黏貼與更換完整流程</w:t>
            </w:r>
          </w:p>
        </w:tc>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8</w:t>
            </w:r>
          </w:p>
        </w:tc>
        <w:tc>
          <w:tcPr>
            <w:tcW w:type="dxa" w:w="7344"/>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能妥善包裝並丟棄使用過的衛生用品至垃圾桶</w:t>
            </w:r>
          </w:p>
        </w:tc>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9</w:t>
            </w:r>
          </w:p>
        </w:tc>
        <w:tc>
          <w:tcPr>
            <w:tcW w:type="dxa" w:w="7344"/>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就醫看診時能回答醫師的基本問診問題</w:t>
            </w:r>
          </w:p>
        </w:tc>
        <w:tc>
          <w:tcPr>
            <w:tcW w:type="dxa" w:w="115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r>
      <w:tr>
        <w:trPr>
          <w:cantSplit/>
        </w:trPr>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10</w:t>
            </w:r>
          </w:p>
        </w:tc>
        <w:tc>
          <w:tcPr>
            <w:tcW w:type="dxa" w:w="7344"/>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能主動向醫師或支持者提出自己的健康疑問</w:t>
            </w:r>
          </w:p>
        </w:tc>
        <w:tc>
          <w:tcPr>
            <w:tcW w:type="dxa" w:w="115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r>
    </w:tbl>
    <w:p>
      <w:pPr>
        <w:spacing w:after="120"/>
      </w:pPr>
    </w:p>
    <w:p>
      <w:pPr>
        <w:keepNext/>
        <w:spacing w:before="280" w:after="120"/>
      </w:pPr>
      <w:r>
        <w:rPr>
          <w:rFonts w:ascii="微軟正黑體" w:hAnsi="微軟正黑體" w:eastAsia="微軟正黑體"/>
          <w:b/>
          <w:color w:val="1B365D"/>
          <w:sz w:val="28"/>
        </w:rPr>
        <w:t>五、評量表單與記錄格式設計</w:t>
      </w:r>
    </w:p>
    <w:p>
      <w:pPr>
        <w:keepNext/>
        <w:spacing w:before="200" w:after="80"/>
      </w:pPr>
      <w:r>
        <w:rPr>
          <w:rFonts w:ascii="微軟正黑體" w:hAnsi="微軟正黑體" w:eastAsia="微軟正黑體"/>
          <w:b/>
          <w:color w:val="2B6CB0"/>
          <w:sz w:val="24"/>
        </w:rPr>
        <w:t>（一）每月學習檢核表範例（以第一季洗手技能為例）</w:t>
      </w:r>
    </w:p>
    <w:p>
      <w:pPr>
        <w:spacing w:before="40" w:after="60" w:line="288" w:lineRule="auto"/>
      </w:pPr>
      <w:r>
        <w:rPr>
          <w:rFonts w:ascii="微軟正黑體" w:hAnsi="微軟正黑體"/>
          <w:i w:val="0"/>
        </w:rPr>
        <w:t>每月檢核表可直接記錄全體服務使用者之即時表現：</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E5E7EB"/>
          <w:insideV w:val="none"/>
          <w:left w:val="none"/>
          <w:right w:val="none"/>
        </w:tblBorders>
      </w:tblPr>
      <w:tblGrid>
        <w:gridCol w:w="1987"/>
        <w:gridCol w:w="1987"/>
        <w:gridCol w:w="1987"/>
        <w:gridCol w:w="1987"/>
        <w:gridCol w:w="1987"/>
      </w:tblGrid>
      <w:tr>
        <w:trPr>
          <w:cantSplit/>
          <w:tblHeader/>
        </w:trPr>
        <w:tc>
          <w:tcPr>
            <w:tcW w:type="dxa" w:w="3888"/>
            <w:vAlign w:val="center"/>
            <w:tcMar>
              <w:top w:w="120" w:type="dxa"/>
              <w:bottom w:w="120" w:type="dxa"/>
              <w:left w:w="140" w:type="dxa"/>
              <w:right w:w="140" w:type="dxa"/>
            </w:tcMar>
            <w:shd w:fill="1B365D"/>
          </w:tcPr>
          <w:p>
            <w:pPr>
              <w:spacing w:before="40" w:after="40" w:line="276" w:lineRule="auto"/>
              <w:jc w:val="left"/>
            </w:pPr>
            <w:r>
              <w:rPr>
                <w:rFonts w:ascii="微軟正黑體" w:hAnsi="微軟正黑體" w:eastAsia="微軟正黑體"/>
                <w:b/>
                <w:color w:val="FFFFFF"/>
                <w:sz w:val="20"/>
              </w:rPr>
              <w:t>檢核指標項目</w:t>
            </w:r>
          </w:p>
        </w:tc>
        <w:tc>
          <w:tcPr>
            <w:tcW w:type="dxa" w:w="1440"/>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宇彤</w:t>
            </w:r>
          </w:p>
        </w:tc>
        <w:tc>
          <w:tcPr>
            <w:tcW w:type="dxa" w:w="1440"/>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育萱</w:t>
            </w:r>
          </w:p>
        </w:tc>
        <w:tc>
          <w:tcPr>
            <w:tcW w:type="dxa" w:w="1440"/>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高齊</w:t>
            </w:r>
          </w:p>
        </w:tc>
        <w:tc>
          <w:tcPr>
            <w:tcW w:type="dxa" w:w="1440"/>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芷嫻</w:t>
            </w:r>
          </w:p>
        </w:tc>
      </w:tr>
      <w:tr>
        <w:trPr>
          <w:cantSplit/>
        </w:trPr>
        <w:tc>
          <w:tcPr>
            <w:tcW w:type="dxa" w:w="3888"/>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1. 能辨識洗手時機</w:t>
            </w:r>
          </w:p>
        </w:tc>
        <w:tc>
          <w:tcPr>
            <w:tcW w:type="dxa" w:w="1440"/>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c>
          <w:tcPr>
            <w:tcW w:type="dxa" w:w="1440"/>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c>
          <w:tcPr>
            <w:tcW w:type="dxa" w:w="1440"/>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c>
          <w:tcPr>
            <w:tcW w:type="dxa" w:w="1440"/>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r>
      <w:tr>
        <w:trPr>
          <w:cantSplit/>
        </w:trPr>
        <w:tc>
          <w:tcPr>
            <w:tcW w:type="dxa" w:w="3888"/>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2. 能正確執行洗手步驟</w:t>
            </w:r>
          </w:p>
        </w:tc>
        <w:tc>
          <w:tcPr>
            <w:tcW w:type="dxa" w:w="1440"/>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c>
          <w:tcPr>
            <w:tcW w:type="dxa" w:w="1440"/>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c>
          <w:tcPr>
            <w:tcW w:type="dxa" w:w="1440"/>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c>
          <w:tcPr>
            <w:tcW w:type="dxa" w:w="1440"/>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r>
      <w:tr>
        <w:trPr>
          <w:cantSplit/>
        </w:trPr>
        <w:tc>
          <w:tcPr>
            <w:tcW w:type="dxa" w:w="3888"/>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3. 能將雙手搓洗乾淨</w:t>
            </w:r>
          </w:p>
        </w:tc>
        <w:tc>
          <w:tcPr>
            <w:tcW w:type="dxa" w:w="1440"/>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c>
          <w:tcPr>
            <w:tcW w:type="dxa" w:w="1440"/>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c>
          <w:tcPr>
            <w:tcW w:type="dxa" w:w="1440"/>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c>
          <w:tcPr>
            <w:tcW w:type="dxa" w:w="1440"/>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／5分</w:t>
            </w:r>
          </w:p>
        </w:tc>
      </w:tr>
      <w:tr>
        <w:trPr>
          <w:cantSplit/>
        </w:trPr>
        <w:tc>
          <w:tcPr>
            <w:tcW w:type="dxa" w:w="3888"/>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4. 能自行擦乾雙手</w:t>
            </w:r>
          </w:p>
        </w:tc>
        <w:tc>
          <w:tcPr>
            <w:tcW w:type="dxa" w:w="1440"/>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c>
          <w:tcPr>
            <w:tcW w:type="dxa" w:w="1440"/>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c>
          <w:tcPr>
            <w:tcW w:type="dxa" w:w="1440"/>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c>
          <w:tcPr>
            <w:tcW w:type="dxa" w:w="1440"/>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／5分</w:t>
            </w:r>
          </w:p>
        </w:tc>
      </w:tr>
      <w:tr>
        <w:trPr>
          <w:cantSplit/>
        </w:trPr>
        <w:tc>
          <w:tcPr>
            <w:tcW w:type="dxa" w:w="3888"/>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總分小計</w:t>
            </w:r>
          </w:p>
        </w:tc>
        <w:tc>
          <w:tcPr>
            <w:tcW w:type="dxa" w:w="1440"/>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／20分</w:t>
            </w:r>
          </w:p>
        </w:tc>
        <w:tc>
          <w:tcPr>
            <w:tcW w:type="dxa" w:w="1440"/>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／20分</w:t>
            </w:r>
          </w:p>
        </w:tc>
        <w:tc>
          <w:tcPr>
            <w:tcW w:type="dxa" w:w="1440"/>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／20分</w:t>
            </w:r>
          </w:p>
        </w:tc>
        <w:tc>
          <w:tcPr>
            <w:tcW w:type="dxa" w:w="1440"/>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／20分</w:t>
            </w:r>
          </w:p>
        </w:tc>
      </w:tr>
    </w:tbl>
    <w:p>
      <w:pPr>
        <w:spacing w:before="40" w:after="60" w:line="288" w:lineRule="auto"/>
      </w:pPr>
      <w:r>
        <w:rPr>
          <w:rFonts w:ascii="微軟正黑體" w:hAnsi="微軟正黑體"/>
          <w:i w:val="0"/>
        </w:rPr>
        <w:t>※ 評分代碼對照：5-獨立 ｜ 4-口語提示 ｜ 3-肢體協助 ｜ 2-部分協助 ｜ 1-大量協助 ｜ 0-無法完成</w:t>
      </w:r>
    </w:p>
    <w:p>
      <w:pPr>
        <w:keepNext/>
        <w:spacing w:before="200" w:after="80"/>
      </w:pPr>
      <w:r>
        <w:rPr>
          <w:rFonts w:ascii="微軟正黑體" w:hAnsi="微軟正黑體" w:eastAsia="微軟正黑體"/>
          <w:b/>
          <w:color w:val="2B6CB0"/>
          <w:sz w:val="24"/>
        </w:rPr>
        <w:t>（二）季度前後測比較與進步率計算公式</w:t>
      </w:r>
    </w:p>
    <w:p>
      <w:pPr>
        <w:spacing w:before="40" w:after="60" w:line="288" w:lineRule="auto"/>
      </w:pPr>
      <w:r>
        <w:rPr>
          <w:rFonts w:ascii="微軟正黑體" w:hAnsi="微軟正黑體"/>
          <w:i w:val="0"/>
        </w:rPr>
        <w:t>• 進步分數 ＝ 季後測得分 － 季前測得分</w:t>
      </w:r>
    </w:p>
    <w:p>
      <w:pPr>
        <w:spacing w:before="40" w:after="60" w:line="288" w:lineRule="auto"/>
      </w:pPr>
      <w:r>
        <w:rPr>
          <w:rFonts w:ascii="微軟正黑體" w:hAnsi="微軟正黑體"/>
          <w:i w:val="0"/>
        </w:rPr>
        <w:t>• 達成率（％） ＝ （實際得分 ÷ 滿分50分） × 100％</w:t>
      </w:r>
    </w:p>
    <w:p>
      <w:pPr>
        <w:spacing w:before="40" w:after="60" w:line="288" w:lineRule="auto"/>
      </w:pPr>
      <w:r>
        <w:rPr>
          <w:rFonts w:ascii="微軟正黑體" w:hAnsi="微軟正黑體"/>
          <w:i w:val="0"/>
        </w:rPr>
        <w:t>• 進步率（％） ＝ （進步分數 ÷ 季前測得分） × 100％</w:t>
      </w:r>
    </w:p>
    <w:p>
      <w:pPr>
        <w:spacing w:before="40" w:after="60" w:line="288" w:lineRule="auto"/>
      </w:pPr>
      <w:r>
        <w:rPr>
          <w:rFonts w:ascii="微軟正黑體" w:hAnsi="微軟正黑體"/>
          <w:i w:val="0"/>
        </w:rPr>
        <w:t>• 成長百分點 ＝ 季後測達成率 － 季前測達成率</w:t>
      </w:r>
    </w:p>
    <w:p>
      <w:pPr>
        <w:spacing w:before="40" w:after="60" w:line="288" w:lineRule="auto"/>
      </w:pPr>
      <w:r>
        <w:rPr>
          <w:rFonts w:ascii="微軟正黑體" w:hAnsi="微軟正黑體"/>
          <w:i w:val="0"/>
        </w:rPr>
        <w:t>範例說明：宇彤第一季前測 28分（達成率56%），後測 42分（達成率84%），進步分數 +14分，進步率達 50.0%，整體達成率提升 28個百分點。</w:t>
      </w:r>
    </w:p>
    <w:p>
      <w:pPr>
        <w:keepNext/>
        <w:spacing w:before="280" w:after="120"/>
      </w:pPr>
      <w:r>
        <w:rPr>
          <w:rFonts w:ascii="微軟正黑體" w:hAnsi="微軟正黑體" w:eastAsia="微軟正黑體"/>
          <w:b/>
          <w:color w:val="1B365D"/>
          <w:sz w:val="28"/>
        </w:rPr>
        <w:t>六、116年度成果統計總表（範例套表）</w:t>
      </w:r>
    </w:p>
    <w:p>
      <w:pPr>
        <w:keepNext/>
        <w:spacing w:before="200" w:after="80"/>
      </w:pPr>
      <w:r>
        <w:rPr>
          <w:rFonts w:ascii="微軟正黑體" w:hAnsi="微軟正黑體" w:eastAsia="微軟正黑體"/>
          <w:b/>
          <w:color w:val="2B6CB0"/>
          <w:sz w:val="24"/>
        </w:rPr>
        <w:t>（一）全年度四季前後測分數總表</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E5E7EB"/>
          <w:insideV w:val="none"/>
          <w:left w:val="none"/>
          <w:right w:val="none"/>
        </w:tblBorders>
      </w:tblPr>
      <w:tblGrid>
        <w:gridCol w:w="1104"/>
        <w:gridCol w:w="1104"/>
        <w:gridCol w:w="1104"/>
        <w:gridCol w:w="1104"/>
        <w:gridCol w:w="1104"/>
        <w:gridCol w:w="1104"/>
        <w:gridCol w:w="1104"/>
        <w:gridCol w:w="1104"/>
        <w:gridCol w:w="1104"/>
      </w:tblGrid>
      <w:tr>
        <w:trPr>
          <w:cantSplit/>
          <w:tblHeader/>
        </w:trPr>
        <w:tc>
          <w:tcPr>
            <w:tcW w:type="dxa" w:w="1584"/>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使用者</w:t>
            </w:r>
          </w:p>
        </w:tc>
        <w:tc>
          <w:tcPr>
            <w:tcW w:type="dxa" w:w="1008"/>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Q1前測</w:t>
            </w:r>
          </w:p>
        </w:tc>
        <w:tc>
          <w:tcPr>
            <w:tcW w:type="dxa" w:w="1008"/>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Q1後測</w:t>
            </w:r>
          </w:p>
        </w:tc>
        <w:tc>
          <w:tcPr>
            <w:tcW w:type="dxa" w:w="1008"/>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Q2前測</w:t>
            </w:r>
          </w:p>
        </w:tc>
        <w:tc>
          <w:tcPr>
            <w:tcW w:type="dxa" w:w="1008"/>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Q2後測</w:t>
            </w:r>
          </w:p>
        </w:tc>
        <w:tc>
          <w:tcPr>
            <w:tcW w:type="dxa" w:w="1008"/>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Q3前測</w:t>
            </w:r>
          </w:p>
        </w:tc>
        <w:tc>
          <w:tcPr>
            <w:tcW w:type="dxa" w:w="1008"/>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Q3後測</w:t>
            </w:r>
          </w:p>
        </w:tc>
        <w:tc>
          <w:tcPr>
            <w:tcW w:type="dxa" w:w="1008"/>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Q4前測</w:t>
            </w:r>
          </w:p>
        </w:tc>
        <w:tc>
          <w:tcPr>
            <w:tcW w:type="dxa" w:w="1008"/>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Q4後測</w:t>
            </w:r>
          </w:p>
        </w:tc>
      </w:tr>
      <w:tr>
        <w:trPr>
          <w:cantSplit/>
        </w:trPr>
        <w:tc>
          <w:tcPr>
            <w:tcW w:type="dxa" w:w="1584"/>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宇彤</w:t>
            </w:r>
          </w:p>
        </w:tc>
        <w:tc>
          <w:tcPr>
            <w:tcW w:type="dxa" w:w="1008"/>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28</w:t>
            </w:r>
          </w:p>
        </w:tc>
        <w:tc>
          <w:tcPr>
            <w:tcW w:type="dxa" w:w="1008"/>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42</w:t>
            </w:r>
          </w:p>
        </w:tc>
        <w:tc>
          <w:tcPr>
            <w:tcW w:type="dxa" w:w="1008"/>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31</w:t>
            </w:r>
          </w:p>
        </w:tc>
        <w:tc>
          <w:tcPr>
            <w:tcW w:type="dxa" w:w="1008"/>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44</w:t>
            </w:r>
          </w:p>
        </w:tc>
        <w:tc>
          <w:tcPr>
            <w:tcW w:type="dxa" w:w="1008"/>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30</w:t>
            </w:r>
          </w:p>
        </w:tc>
        <w:tc>
          <w:tcPr>
            <w:tcW w:type="dxa" w:w="1008"/>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43</w:t>
            </w:r>
          </w:p>
        </w:tc>
        <w:tc>
          <w:tcPr>
            <w:tcW w:type="dxa" w:w="1008"/>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32</w:t>
            </w:r>
          </w:p>
        </w:tc>
        <w:tc>
          <w:tcPr>
            <w:tcW w:type="dxa" w:w="1008"/>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45</w:t>
            </w:r>
          </w:p>
        </w:tc>
      </w:tr>
      <w:tr>
        <w:trPr>
          <w:cantSplit/>
        </w:trPr>
        <w:tc>
          <w:tcPr>
            <w:tcW w:type="dxa" w:w="1584"/>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育萱</w:t>
            </w:r>
          </w:p>
        </w:tc>
        <w:tc>
          <w:tcPr>
            <w:tcW w:type="dxa" w:w="1008"/>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35</w:t>
            </w:r>
          </w:p>
        </w:tc>
        <w:tc>
          <w:tcPr>
            <w:tcW w:type="dxa" w:w="1008"/>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46</w:t>
            </w:r>
          </w:p>
        </w:tc>
        <w:tc>
          <w:tcPr>
            <w:tcW w:type="dxa" w:w="1008"/>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36</w:t>
            </w:r>
          </w:p>
        </w:tc>
        <w:tc>
          <w:tcPr>
            <w:tcW w:type="dxa" w:w="1008"/>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47</w:t>
            </w:r>
          </w:p>
        </w:tc>
        <w:tc>
          <w:tcPr>
            <w:tcW w:type="dxa" w:w="1008"/>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34</w:t>
            </w:r>
          </w:p>
        </w:tc>
        <w:tc>
          <w:tcPr>
            <w:tcW w:type="dxa" w:w="1008"/>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46</w:t>
            </w:r>
          </w:p>
        </w:tc>
        <w:tc>
          <w:tcPr>
            <w:tcW w:type="dxa" w:w="1008"/>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38</w:t>
            </w:r>
          </w:p>
        </w:tc>
        <w:tc>
          <w:tcPr>
            <w:tcW w:type="dxa" w:w="1008"/>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48</w:t>
            </w:r>
          </w:p>
        </w:tc>
      </w:tr>
      <w:tr>
        <w:trPr>
          <w:cantSplit/>
        </w:trPr>
        <w:tc>
          <w:tcPr>
            <w:tcW w:type="dxa" w:w="1584"/>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高齊</w:t>
            </w:r>
          </w:p>
        </w:tc>
        <w:tc>
          <w:tcPr>
            <w:tcW w:type="dxa" w:w="1008"/>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25</w:t>
            </w:r>
          </w:p>
        </w:tc>
        <w:tc>
          <w:tcPr>
            <w:tcW w:type="dxa" w:w="1008"/>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40</w:t>
            </w:r>
          </w:p>
        </w:tc>
        <w:tc>
          <w:tcPr>
            <w:tcW w:type="dxa" w:w="1008"/>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27</w:t>
            </w:r>
          </w:p>
        </w:tc>
        <w:tc>
          <w:tcPr>
            <w:tcW w:type="dxa" w:w="1008"/>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42</w:t>
            </w:r>
          </w:p>
        </w:tc>
        <w:tc>
          <w:tcPr>
            <w:tcW w:type="dxa" w:w="1008"/>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26</w:t>
            </w:r>
          </w:p>
        </w:tc>
        <w:tc>
          <w:tcPr>
            <w:tcW w:type="dxa" w:w="1008"/>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41</w:t>
            </w:r>
          </w:p>
        </w:tc>
        <w:tc>
          <w:tcPr>
            <w:tcW w:type="dxa" w:w="1008"/>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29</w:t>
            </w:r>
          </w:p>
        </w:tc>
        <w:tc>
          <w:tcPr>
            <w:tcW w:type="dxa" w:w="1008"/>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43</w:t>
            </w:r>
          </w:p>
        </w:tc>
      </w:tr>
      <w:tr>
        <w:trPr>
          <w:cantSplit/>
        </w:trPr>
        <w:tc>
          <w:tcPr>
            <w:tcW w:type="dxa" w:w="1584"/>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芷嫻</w:t>
            </w:r>
          </w:p>
        </w:tc>
        <w:tc>
          <w:tcPr>
            <w:tcW w:type="dxa" w:w="1008"/>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32</w:t>
            </w:r>
          </w:p>
        </w:tc>
        <w:tc>
          <w:tcPr>
            <w:tcW w:type="dxa" w:w="1008"/>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44</w:t>
            </w:r>
          </w:p>
        </w:tc>
        <w:tc>
          <w:tcPr>
            <w:tcW w:type="dxa" w:w="1008"/>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34</w:t>
            </w:r>
          </w:p>
        </w:tc>
        <w:tc>
          <w:tcPr>
            <w:tcW w:type="dxa" w:w="1008"/>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46</w:t>
            </w:r>
          </w:p>
        </w:tc>
        <w:tc>
          <w:tcPr>
            <w:tcW w:type="dxa" w:w="1008"/>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33</w:t>
            </w:r>
          </w:p>
        </w:tc>
        <w:tc>
          <w:tcPr>
            <w:tcW w:type="dxa" w:w="1008"/>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45</w:t>
            </w:r>
          </w:p>
        </w:tc>
        <w:tc>
          <w:tcPr>
            <w:tcW w:type="dxa" w:w="1008"/>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35</w:t>
            </w:r>
          </w:p>
        </w:tc>
        <w:tc>
          <w:tcPr>
            <w:tcW w:type="dxa" w:w="1008"/>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47</w:t>
            </w:r>
          </w:p>
        </w:tc>
      </w:tr>
    </w:tbl>
    <w:p>
      <w:pPr>
        <w:keepNext/>
        <w:spacing w:before="200" w:after="80"/>
      </w:pPr>
      <w:r>
        <w:rPr>
          <w:rFonts w:ascii="微軟正黑體" w:hAnsi="微軟正黑體" w:eastAsia="微軟正黑體"/>
          <w:b/>
          <w:color w:val="2B6CB0"/>
          <w:sz w:val="24"/>
        </w:rPr>
        <w:t>（二）年度累計進步與成效分析表</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E5E7EB"/>
          <w:insideV w:val="none"/>
          <w:left w:val="none"/>
          <w:right w:val="none"/>
        </w:tblBorders>
      </w:tblPr>
      <w:tblGrid>
        <w:gridCol w:w="1987"/>
        <w:gridCol w:w="1987"/>
        <w:gridCol w:w="1987"/>
        <w:gridCol w:w="1987"/>
        <w:gridCol w:w="1987"/>
      </w:tblGrid>
      <w:tr>
        <w:trPr>
          <w:cantSplit/>
          <w:tblHeader/>
        </w:trPr>
        <w:tc>
          <w:tcPr>
            <w:tcW w:type="dxa" w:w="1872"/>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服務使用者</w:t>
            </w:r>
          </w:p>
        </w:tc>
        <w:tc>
          <w:tcPr>
            <w:tcW w:type="dxa" w:w="2016"/>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年初基準 (Q1前測)</w:t>
            </w:r>
          </w:p>
        </w:tc>
        <w:tc>
          <w:tcPr>
            <w:tcW w:type="dxa" w:w="2016"/>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年末結果 (Q4後測)</w:t>
            </w:r>
          </w:p>
        </w:tc>
        <w:tc>
          <w:tcPr>
            <w:tcW w:type="dxa" w:w="1728"/>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總增加分數</w:t>
            </w:r>
          </w:p>
        </w:tc>
        <w:tc>
          <w:tcPr>
            <w:tcW w:type="dxa" w:w="2016"/>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年度進步率</w:t>
            </w:r>
          </w:p>
        </w:tc>
      </w:tr>
      <w:tr>
        <w:trPr>
          <w:cantSplit/>
        </w:trPr>
        <w:tc>
          <w:tcPr>
            <w:tcW w:type="dxa" w:w="187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宇彤</w:t>
            </w:r>
          </w:p>
        </w:tc>
        <w:tc>
          <w:tcPr>
            <w:tcW w:type="dxa" w:w="2016"/>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28 分 (56%)</w:t>
            </w:r>
          </w:p>
        </w:tc>
        <w:tc>
          <w:tcPr>
            <w:tcW w:type="dxa" w:w="2016"/>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45 分 (90%)</w:t>
            </w:r>
          </w:p>
        </w:tc>
        <w:tc>
          <w:tcPr>
            <w:tcW w:type="dxa" w:w="1728"/>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+17 分</w:t>
            </w:r>
          </w:p>
        </w:tc>
        <w:tc>
          <w:tcPr>
            <w:tcW w:type="dxa" w:w="2016"/>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60.7 % (+34 百分點)</w:t>
            </w:r>
          </w:p>
        </w:tc>
      </w:tr>
      <w:tr>
        <w:trPr>
          <w:cantSplit/>
        </w:trPr>
        <w:tc>
          <w:tcPr>
            <w:tcW w:type="dxa" w:w="187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育萱</w:t>
            </w:r>
          </w:p>
        </w:tc>
        <w:tc>
          <w:tcPr>
            <w:tcW w:type="dxa" w:w="2016"/>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35 分 (70%)</w:t>
            </w:r>
          </w:p>
        </w:tc>
        <w:tc>
          <w:tcPr>
            <w:tcW w:type="dxa" w:w="2016"/>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48 分 (96%)</w:t>
            </w:r>
          </w:p>
        </w:tc>
        <w:tc>
          <w:tcPr>
            <w:tcW w:type="dxa" w:w="1728"/>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+13 分</w:t>
            </w:r>
          </w:p>
        </w:tc>
        <w:tc>
          <w:tcPr>
            <w:tcW w:type="dxa" w:w="2016"/>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37.1 % (+26 百分點)</w:t>
            </w:r>
          </w:p>
        </w:tc>
      </w:tr>
      <w:tr>
        <w:trPr>
          <w:cantSplit/>
        </w:trPr>
        <w:tc>
          <w:tcPr>
            <w:tcW w:type="dxa" w:w="1872"/>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高齊</w:t>
            </w:r>
          </w:p>
        </w:tc>
        <w:tc>
          <w:tcPr>
            <w:tcW w:type="dxa" w:w="2016"/>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25 分 (50%)</w:t>
            </w:r>
          </w:p>
        </w:tc>
        <w:tc>
          <w:tcPr>
            <w:tcW w:type="dxa" w:w="2016"/>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43 分 (86%)</w:t>
            </w:r>
          </w:p>
        </w:tc>
        <w:tc>
          <w:tcPr>
            <w:tcW w:type="dxa" w:w="1728"/>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+18 分</w:t>
            </w:r>
          </w:p>
        </w:tc>
        <w:tc>
          <w:tcPr>
            <w:tcW w:type="dxa" w:w="2016"/>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72.0 % (+36 百分點)</w:t>
            </w:r>
          </w:p>
        </w:tc>
      </w:tr>
      <w:tr>
        <w:trPr>
          <w:cantSplit/>
        </w:trPr>
        <w:tc>
          <w:tcPr>
            <w:tcW w:type="dxa" w:w="1872"/>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芷嫻</w:t>
            </w:r>
          </w:p>
        </w:tc>
        <w:tc>
          <w:tcPr>
            <w:tcW w:type="dxa" w:w="2016"/>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32 分 (64%)</w:t>
            </w:r>
          </w:p>
        </w:tc>
        <w:tc>
          <w:tcPr>
            <w:tcW w:type="dxa" w:w="2016"/>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47 分 (94%)</w:t>
            </w:r>
          </w:p>
        </w:tc>
        <w:tc>
          <w:tcPr>
            <w:tcW w:type="dxa" w:w="1728"/>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+15 分</w:t>
            </w:r>
          </w:p>
        </w:tc>
        <w:tc>
          <w:tcPr>
            <w:tcW w:type="dxa" w:w="2016"/>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46.9 % (+30 百分點)</w:t>
            </w:r>
          </w:p>
        </w:tc>
      </w:tr>
    </w:tbl>
    <w:p>
      <w:pPr>
        <w:spacing w:before="40" w:after="60" w:line="288" w:lineRule="auto"/>
      </w:pPr>
      <w:r>
        <w:rPr>
          <w:rFonts w:ascii="微軟正黑體" w:hAnsi="微軟正黑體"/>
          <w:i w:val="0"/>
        </w:rPr>
        <w:t>※ 備註：上述數據為成效展示範例，實際執行時直接填入學員真實測評數值。</w:t>
      </w:r>
    </w:p>
    <w:p>
      <w:pPr>
        <w:keepNext/>
        <w:spacing w:before="280" w:after="120"/>
      </w:pPr>
      <w:r>
        <w:rPr>
          <w:rFonts w:ascii="微軟正黑體" w:hAnsi="微軟正黑體" w:eastAsia="微軟正黑體"/>
          <w:b/>
          <w:color w:val="1B365D"/>
          <w:sz w:val="28"/>
        </w:rPr>
        <w:t>七、達標判定標準與服務紀錄（ISP）質性敘述指引</w:t>
      </w:r>
    </w:p>
    <w:p>
      <w:pPr>
        <w:keepNext/>
        <w:spacing w:before="200" w:after="80"/>
      </w:pPr>
      <w:r>
        <w:rPr>
          <w:rFonts w:ascii="微軟正黑體" w:hAnsi="微軟正黑體" w:eastAsia="微軟正黑體"/>
          <w:b/>
          <w:color w:val="2B6CB0"/>
          <w:sz w:val="24"/>
        </w:rPr>
        <w:t>（一）個別技能達標標準</w:t>
      </w:r>
    </w:p>
    <w:p>
      <w:pPr>
        <w:spacing w:before="40" w:after="60" w:line="288" w:lineRule="auto"/>
      </w:pPr>
      <w:r>
        <w:rPr>
          <w:rFonts w:ascii="微軟正黑體" w:hAnsi="微軟正黑體"/>
          <w:i w:val="0"/>
        </w:rPr>
        <w:t>• 獨立達標：單項技能得分達 5分（完全獨立無須提示）。</w:t>
      </w:r>
    </w:p>
    <w:p>
      <w:pPr>
        <w:spacing w:before="40" w:after="60" w:line="288" w:lineRule="auto"/>
      </w:pPr>
      <w:r>
        <w:rPr>
          <w:rFonts w:ascii="微軟正黑體" w:hAnsi="微軟正黑體"/>
          <w:i w:val="0"/>
        </w:rPr>
        <w:t>• 基本自立達標：單項技能得分達 4分以上（僅需口語提示即可完成），即視為具備基本生活自立能力。</w:t>
      </w:r>
    </w:p>
    <w:p>
      <w:pPr>
        <w:keepNext/>
        <w:spacing w:before="200" w:after="80"/>
      </w:pPr>
      <w:r>
        <w:rPr>
          <w:rFonts w:ascii="微軟正黑體" w:hAnsi="微軟正黑體" w:eastAsia="微軟正黑體"/>
          <w:b/>
          <w:color w:val="2B6CB0"/>
          <w:sz w:val="24"/>
        </w:rPr>
        <w:t>（二）ISP與成果報告質性敘述範例</w:t>
      </w:r>
    </w:p>
    <w:p>
      <w:pPr>
        <w:spacing w:before="40" w:after="60" w:line="288" w:lineRule="auto"/>
      </w:pPr>
      <w:r>
        <w:rPr>
          <w:rFonts w:ascii="微軟正黑體" w:hAnsi="微軟正黑體"/>
          <w:i w:val="0"/>
        </w:rPr>
        <w:t>撰寫成果時應將「量化數據」與「質性轉變」結合，使紀錄更具專業說服力：</w:t>
      </w:r>
    </w:p>
    <w:p>
      <w:pPr>
        <w:spacing w:before="40" w:after="60" w:line="288" w:lineRule="auto"/>
      </w:pPr>
      <w:r>
        <w:rPr>
          <w:rFonts w:ascii="微軟正黑體" w:hAnsi="微軟正黑體"/>
          <w:i w:val="0"/>
        </w:rPr>
        <w:t>【範例 1：生活自理進步】「宇彤在第一季『健康衛生與日常照護』中，前測得分為28分，經3個月結構化教學與實作，後測提升至42分（進步14分，進步率50%）。其中洗手步驟已由『部分肢體協助（2分）』提升至『聽到口語提示即可正確完成（4分）』，達到基本獨立水準。」</w:t>
      </w:r>
    </w:p>
    <w:p>
      <w:pPr>
        <w:spacing w:before="40" w:after="60" w:line="288" w:lineRule="auto"/>
      </w:pPr>
      <w:r>
        <w:rPr>
          <w:rFonts w:ascii="微軟正黑體" w:hAnsi="微軟正黑體"/>
          <w:i w:val="0"/>
        </w:rPr>
        <w:t>【範例 2：健康自我倡議】「高齊在第四季『身體自主與健康自我倡議』中，前測得分29分，後測進步至43分。就醫表達能力顯著增強，能由支持者大量協助轉變為能主動指出身體疼痛部位並回答醫師基本問診。」</w:t>
      </w:r>
    </w:p>
    <w:p>
      <w:pPr>
        <w:keepNext/>
        <w:spacing w:before="280" w:after="120"/>
      </w:pPr>
      <w:r>
        <w:rPr>
          <w:rFonts w:ascii="微軟正黑體" w:hAnsi="微軟正黑體" w:eastAsia="微軟正黑體"/>
          <w:b/>
          <w:color w:val="1B365D"/>
          <w:sz w:val="28"/>
        </w:rPr>
        <w:t>八、116年度小作所衛教六大標準表單體系</w:t>
      </w:r>
    </w:p>
    <w:p>
      <w:pPr>
        <w:spacing w:before="40" w:after="60" w:line="288" w:lineRule="auto"/>
      </w:pPr>
      <w:r>
        <w:rPr>
          <w:rFonts w:ascii="微軟正黑體" w:hAnsi="微軟正黑體"/>
          <w:i w:val="0"/>
        </w:rPr>
        <w:t>本計畫配套完整之六大標準表單，建議依序建立資料夾建檔：</w:t>
      </w:r>
    </w:p>
    <w:tbl>
      <w:tblPr>
        <w:tblW w:type="auto" w:w="0"/>
        <w:jc w:val="center"/>
        <w:tblLook w:firstColumn="1" w:firstRow="1" w:lastColumn="0" w:lastRow="0" w:noHBand="0" w:noVBand="1" w:val="04A0"/>
        <w:tblBorders>
          <w:top w:val="single" w:sz="6" w:space="0" w:color="D3D3D3"/>
          <w:bottom w:val="single" w:sz="6" w:space="0" w:color="D3D3D3"/>
          <w:insideH w:val="single" w:sz="4" w:space="0" w:color="E5E7EB"/>
          <w:insideV w:val="none"/>
          <w:left w:val="none"/>
          <w:right w:val="none"/>
        </w:tblBorders>
      </w:tblPr>
      <w:tblGrid>
        <w:gridCol w:w="3312"/>
        <w:gridCol w:w="3312"/>
        <w:gridCol w:w="3312"/>
      </w:tblGrid>
      <w:tr>
        <w:trPr>
          <w:cantSplit/>
          <w:tblHeader/>
        </w:trPr>
        <w:tc>
          <w:tcPr>
            <w:tcW w:type="dxa" w:w="1440"/>
            <w:vAlign w:val="center"/>
            <w:tcMar>
              <w:top w:w="120" w:type="dxa"/>
              <w:bottom w:w="120" w:type="dxa"/>
              <w:left w:w="140" w:type="dxa"/>
              <w:right w:w="140" w:type="dxa"/>
            </w:tcMar>
            <w:shd w:fill="1B365D"/>
          </w:tcPr>
          <w:p>
            <w:pPr>
              <w:spacing w:before="40" w:after="40" w:line="276" w:lineRule="auto"/>
              <w:jc w:val="center"/>
            </w:pPr>
            <w:r>
              <w:rPr>
                <w:rFonts w:ascii="微軟正黑體" w:hAnsi="微軟正黑體" w:eastAsia="微軟正黑體"/>
                <w:b/>
                <w:color w:val="FFFFFF"/>
                <w:sz w:val="20"/>
              </w:rPr>
              <w:t>表單編號</w:t>
            </w:r>
          </w:p>
        </w:tc>
        <w:tc>
          <w:tcPr>
            <w:tcW w:type="dxa" w:w="3168"/>
            <w:vAlign w:val="center"/>
            <w:tcMar>
              <w:top w:w="120" w:type="dxa"/>
              <w:bottom w:w="120" w:type="dxa"/>
              <w:left w:w="140" w:type="dxa"/>
              <w:right w:w="140" w:type="dxa"/>
            </w:tcMar>
            <w:shd w:fill="1B365D"/>
          </w:tcPr>
          <w:p>
            <w:pPr>
              <w:spacing w:before="40" w:after="40" w:line="276" w:lineRule="auto"/>
              <w:jc w:val="left"/>
            </w:pPr>
            <w:r>
              <w:rPr>
                <w:rFonts w:ascii="微軟正黑體" w:hAnsi="微軟正黑體" w:eastAsia="微軟正黑體"/>
                <w:b/>
                <w:color w:val="FFFFFF"/>
                <w:sz w:val="20"/>
              </w:rPr>
              <w:t>表單名稱</w:t>
            </w:r>
          </w:p>
        </w:tc>
        <w:tc>
          <w:tcPr>
            <w:tcW w:type="dxa" w:w="5040"/>
            <w:vAlign w:val="center"/>
            <w:tcMar>
              <w:top w:w="120" w:type="dxa"/>
              <w:bottom w:w="120" w:type="dxa"/>
              <w:left w:w="140" w:type="dxa"/>
              <w:right w:w="140" w:type="dxa"/>
            </w:tcMar>
            <w:shd w:fill="1B365D"/>
          </w:tcPr>
          <w:p>
            <w:pPr>
              <w:spacing w:before="40" w:after="40" w:line="276" w:lineRule="auto"/>
              <w:jc w:val="left"/>
            </w:pPr>
            <w:r>
              <w:rPr>
                <w:rFonts w:ascii="微軟正黑體" w:hAnsi="微軟正黑體" w:eastAsia="微軟正黑體"/>
                <w:b/>
                <w:color w:val="FFFFFF"/>
                <w:sz w:val="20"/>
              </w:rPr>
              <w:t>主要功能與使用時機</w:t>
            </w:r>
          </w:p>
        </w:tc>
      </w:tr>
      <w:tr>
        <w:trPr>
          <w:cantSplit/>
        </w:trPr>
        <w:tc>
          <w:tcPr>
            <w:tcW w:type="dxa" w:w="1440"/>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表單一</w:t>
            </w:r>
          </w:p>
        </w:tc>
        <w:tc>
          <w:tcPr>
            <w:tcW w:type="dxa" w:w="3168"/>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116年度衛教年度計畫表</w:t>
            </w:r>
          </w:p>
        </w:tc>
        <w:tc>
          <w:tcPr>
            <w:tcW w:type="dxa" w:w="5040"/>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年初制定，包含年度核心目標、四季主題、月度進度與評量方法。</w:t>
            </w:r>
          </w:p>
        </w:tc>
      </w:tr>
      <w:tr>
        <w:trPr>
          <w:cantSplit/>
        </w:trPr>
        <w:tc>
          <w:tcPr>
            <w:tcW w:type="dxa" w:w="1440"/>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表單二</w:t>
            </w:r>
          </w:p>
        </w:tc>
        <w:tc>
          <w:tcPr>
            <w:tcW w:type="dxa" w:w="3168"/>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季度衛教前測評量表</w:t>
            </w:r>
          </w:p>
        </w:tc>
        <w:tc>
          <w:tcPr>
            <w:tcW w:type="dxa" w:w="5040"/>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每季第1個月（1/4/7/10月）實施，10項指標，建立學習起點基準。</w:t>
            </w:r>
          </w:p>
        </w:tc>
      </w:tr>
      <w:tr>
        <w:trPr>
          <w:cantSplit/>
        </w:trPr>
        <w:tc>
          <w:tcPr>
            <w:tcW w:type="dxa" w:w="1440"/>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表單三</w:t>
            </w:r>
          </w:p>
        </w:tc>
        <w:tc>
          <w:tcPr>
            <w:tcW w:type="dxa" w:w="3168"/>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每月學習執行與檢核紀錄表</w:t>
            </w:r>
          </w:p>
        </w:tc>
        <w:tc>
          <w:tcPr>
            <w:tcW w:type="dxa" w:w="5040"/>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每月常態教學使用，勾選0～5分提示等級並記錄個別支持策略。</w:t>
            </w:r>
          </w:p>
        </w:tc>
      </w:tr>
      <w:tr>
        <w:trPr>
          <w:cantSplit/>
        </w:trPr>
        <w:tc>
          <w:tcPr>
            <w:tcW w:type="dxa" w:w="1440"/>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表單四</w:t>
            </w:r>
          </w:p>
        </w:tc>
        <w:tc>
          <w:tcPr>
            <w:tcW w:type="dxa" w:w="3168"/>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季度衛教後測評量表</w:t>
            </w:r>
          </w:p>
        </w:tc>
        <w:tc>
          <w:tcPr>
            <w:tcW w:type="dxa" w:w="5040"/>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每季第3個月（3/6/9/12月）實施，使用與前測相同之10項題目進行後測。</w:t>
            </w:r>
          </w:p>
        </w:tc>
      </w:tr>
      <w:tr>
        <w:trPr>
          <w:cantSplit/>
        </w:trPr>
        <w:tc>
          <w:tcPr>
            <w:tcW w:type="dxa" w:w="1440"/>
            <w:vAlign w:val="center"/>
            <w:tcMar>
              <w:top w:w="120" w:type="dxa"/>
              <w:bottom w:w="120" w:type="dxa"/>
              <w:left w:w="140" w:type="dxa"/>
              <w:right w:w="140" w:type="dxa"/>
            </w:tcMar>
            <w:shd w:fill="F4F6F9"/>
          </w:tcPr>
          <w:p>
            <w:pPr>
              <w:spacing w:before="40" w:after="40" w:line="276" w:lineRule="auto"/>
              <w:jc w:val="center"/>
            </w:pPr>
            <w:r>
              <w:rPr>
                <w:rFonts w:ascii="微軟正黑體" w:hAnsi="微軟正黑體" w:eastAsia="微軟正黑體"/>
                <w:sz w:val="19"/>
              </w:rPr>
              <w:t>表單五</w:t>
            </w:r>
          </w:p>
        </w:tc>
        <w:tc>
          <w:tcPr>
            <w:tcW w:type="dxa" w:w="3168"/>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季度成效分析與進步統計表</w:t>
            </w:r>
          </w:p>
        </w:tc>
        <w:tc>
          <w:tcPr>
            <w:tcW w:type="dxa" w:w="5040"/>
            <w:vAlign w:val="center"/>
            <w:tcMar>
              <w:top w:w="120" w:type="dxa"/>
              <w:bottom w:w="120" w:type="dxa"/>
              <w:left w:w="140" w:type="dxa"/>
              <w:right w:w="140" w:type="dxa"/>
            </w:tcMar>
            <w:shd w:fill="F4F6F9"/>
          </w:tcPr>
          <w:p>
            <w:pPr>
              <w:spacing w:before="40" w:after="40" w:line="276" w:lineRule="auto"/>
              <w:jc w:val="left"/>
            </w:pPr>
            <w:r>
              <w:rPr>
                <w:rFonts w:ascii="微軟正黑體" w:hAnsi="微軟正黑體" w:eastAsia="微軟正黑體"/>
                <w:sz w:val="19"/>
              </w:rPr>
              <w:t>季末統計，自動計算前/後測得分、進步率、達成率與達標人數。</w:t>
            </w:r>
          </w:p>
        </w:tc>
      </w:tr>
      <w:tr>
        <w:trPr>
          <w:cantSplit/>
        </w:trPr>
        <w:tc>
          <w:tcPr>
            <w:tcW w:type="dxa" w:w="1440"/>
            <w:vAlign w:val="center"/>
            <w:tcMar>
              <w:top w:w="120" w:type="dxa"/>
              <w:bottom w:w="120" w:type="dxa"/>
              <w:left w:w="140" w:type="dxa"/>
              <w:right w:w="140" w:type="dxa"/>
            </w:tcMar>
            <w:shd w:fill="FFFFFF"/>
          </w:tcPr>
          <w:p>
            <w:pPr>
              <w:spacing w:before="40" w:after="40" w:line="276" w:lineRule="auto"/>
              <w:jc w:val="center"/>
            </w:pPr>
            <w:r>
              <w:rPr>
                <w:rFonts w:ascii="微軟正黑體" w:hAnsi="微軟正黑體" w:eastAsia="微軟正黑體"/>
                <w:sz w:val="19"/>
              </w:rPr>
              <w:t>表單六</w:t>
            </w:r>
          </w:p>
        </w:tc>
        <w:tc>
          <w:tcPr>
            <w:tcW w:type="dxa" w:w="3168"/>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116年度全年度成效統計總表</w:t>
            </w:r>
          </w:p>
        </w:tc>
        <w:tc>
          <w:tcPr>
            <w:tcW w:type="dxa" w:w="5040"/>
            <w:vAlign w:val="center"/>
            <w:tcMar>
              <w:top w:w="120" w:type="dxa"/>
              <w:bottom w:w="120" w:type="dxa"/>
              <w:left w:w="140" w:type="dxa"/>
              <w:right w:w="140" w:type="dxa"/>
            </w:tcMar>
            <w:shd w:fill="FFFFFF"/>
          </w:tcPr>
          <w:p>
            <w:pPr>
              <w:spacing w:before="40" w:after="40" w:line="276" w:lineRule="auto"/>
              <w:jc w:val="left"/>
            </w:pPr>
            <w:r>
              <w:rPr>
                <w:rFonts w:ascii="微軟正黑體" w:hAnsi="微軟正黑體" w:eastAsia="微軟正黑體"/>
                <w:sz w:val="19"/>
              </w:rPr>
              <w:t>年終彙整全年度4季數據，產出年度進步率與ISP個別成長質性摘要。</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軟正黑體" w:hAnsi="微軟正黑體" w:eastAsia="微軟正黑體"/>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