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2"/>
        </w:rPr>
        <w:t>財團法人天主教嘉義教區附設雲林縣私立華聖家園_瑞翔社區日間作業所</w:t>
        <w:br/>
      </w:r>
      <w:r>
        <w:rPr>
          <w:b/>
          <w:sz w:val="28"/>
        </w:rPr>
        <w:t>116年度 終身學習領域 四季主題課程規劃與學習檢核表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bottom w:val="single" w:sz="4" w:space="0" w:color="555555"/>
          <w:left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728"/>
            <w:tcMar>
              <w:top w:w="35" w:type="dxa"/>
              <w:bottom w:w="35" w:type="dxa"/>
              <w:left w:w="65" w:type="dxa"/>
              <w:right w:w="65" w:type="dxa"/>
            </w:tcMar>
            <w:shd w:fill="F2F2F2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執行年度：</w:t>
            </w:r>
          </w:p>
        </w:tc>
        <w:tc>
          <w:tcPr>
            <w:tcW w:type="dxa" w:w="3888"/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sz w:val="18"/>
              </w:rPr>
              <w:t>116年度（全年度四季規劃）</w:t>
            </w:r>
          </w:p>
        </w:tc>
        <w:tc>
          <w:tcPr>
            <w:tcW w:type="dxa" w:w="1584"/>
            <w:tcMar>
              <w:top w:w="35" w:type="dxa"/>
              <w:bottom w:w="35" w:type="dxa"/>
              <w:left w:w="65" w:type="dxa"/>
              <w:right w:w="65" w:type="dxa"/>
            </w:tcMar>
            <w:shd w:fill="F2F2F2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訓練期程：</w:t>
            </w:r>
          </w:p>
        </w:tc>
        <w:tc>
          <w:tcPr>
            <w:tcW w:type="dxa" w:w="3269"/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sz w:val="18"/>
              </w:rPr>
              <w:t>每一主題密集訓練三個月（1季）</w:t>
            </w:r>
          </w:p>
        </w:tc>
      </w:tr>
      <w:tr>
        <w:tc>
          <w:tcPr>
            <w:tcW w:type="dxa" w:w="1728"/>
            <w:tcMar>
              <w:top w:w="35" w:type="dxa"/>
              <w:bottom w:w="35" w:type="dxa"/>
              <w:left w:w="65" w:type="dxa"/>
              <w:right w:w="65" w:type="dxa"/>
            </w:tcMar>
            <w:shd w:fill="F2F2F2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活動領域：</w:t>
            </w:r>
          </w:p>
        </w:tc>
        <w:tc>
          <w:tcPr>
            <w:tcW w:type="dxa" w:w="3888"/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sz w:val="18"/>
              </w:rPr>
              <w:t>□衛生教育  □性別平等  ■終身學習</w:t>
              <w:br/>
              <w:t>□生活技能  □社區參與  □健康促進</w:t>
            </w:r>
          </w:p>
        </w:tc>
        <w:tc>
          <w:tcPr>
            <w:tcW w:type="dxa" w:w="1584"/>
            <w:tcMar>
              <w:top w:w="35" w:type="dxa"/>
              <w:bottom w:w="35" w:type="dxa"/>
              <w:left w:w="65" w:type="dxa"/>
              <w:right w:w="65" w:type="dxa"/>
            </w:tcMar>
            <w:shd w:fill="F2F2F2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紀錄者：</w:t>
              <w:br/>
              <w:t>督導：</w:t>
            </w:r>
          </w:p>
        </w:tc>
        <w:tc>
          <w:tcPr>
            <w:tcW w:type="dxa" w:w="3269"/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sz w:val="18"/>
              </w:rPr>
              <w:t>＿＿＿＿</w:t>
              <w:br/>
              <w:t>＿＿＿＿</w:t>
            </w:r>
          </w:p>
        </w:tc>
      </w:tr>
      <w:tr>
        <w:tc>
          <w:tcPr>
            <w:tcW w:type="dxa" w:w="1728"/>
            <w:tcMar>
              <w:top w:w="35" w:type="dxa"/>
              <w:bottom w:w="35" w:type="dxa"/>
              <w:left w:w="65" w:type="dxa"/>
              <w:right w:w="65" w:type="dxa"/>
            </w:tcMar>
            <w:shd w:fill="F2F2F2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評量對象：</w:t>
            </w:r>
          </w:p>
        </w:tc>
        <w:tc>
          <w:tcPr>
            <w:tcW w:type="dxa" w:w="3888"/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sz w:val="18"/>
              </w:rPr>
              <w:t>宇彤、育萱、高齊、芷嫻</w:t>
            </w:r>
          </w:p>
        </w:tc>
        <w:tc>
          <w:tcPr>
            <w:tcW w:type="dxa" w:w="1584"/>
            <w:tcMar>
              <w:top w:w="35" w:type="dxa"/>
              <w:bottom w:w="35" w:type="dxa"/>
              <w:left w:w="65" w:type="dxa"/>
              <w:right w:w="65" w:type="dxa"/>
            </w:tcMar>
            <w:shd w:fill="F2F2F2"/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提示等級說明：</w:t>
            </w:r>
          </w:p>
        </w:tc>
        <w:tc>
          <w:tcPr>
            <w:tcW w:type="dxa" w:w="3269"/>
            <w:tcMar>
              <w:top w:w="35" w:type="dxa"/>
              <w:bottom w:w="35" w:type="dxa"/>
              <w:left w:w="65" w:type="dxa"/>
              <w:right w:w="65" w:type="dxa"/>
            </w:tcMar>
          </w:tcPr>
          <w:p>
            <w:pPr>
              <w:spacing w:after="0" w:line="276" w:lineRule="auto"/>
            </w:pPr>
            <w:r>
              <w:rPr>
                <w:rFonts w:ascii="Microsoft JhengHei" w:hAnsi="Microsoft JhengHei" w:eastAsia="Microsoft JhengHei"/>
                <w:sz w:val="18"/>
              </w:rPr>
              <w:t>獨立完成（＋）／ 口語提醒（Ｖ）</w:t>
              <w:br/>
              <w:t>部分肢體協助（Ｐ）／ 尚未學會（－）</w:t>
            </w:r>
          </w:p>
        </w:tc>
      </w:tr>
    </w:tbl>
    <w:p>
      <w:pPr>
        <w:spacing w:after="2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bottom w:val="single" w:sz="4" w:space="0" w:color="555555"/>
          <w:left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648"/>
            <w:shd w:fill="F2F2F2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授課</w:t>
            </w:r>
          </w:p>
        </w:tc>
        <w:tc>
          <w:tcPr>
            <w:tcW w:type="dxa" w:w="4925"/>
            <w:shd w:fill="F2F2F2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116年度 四季主題與細分檢核指標（工作分析）</w:t>
            </w:r>
          </w:p>
        </w:tc>
        <w:tc>
          <w:tcPr>
            <w:tcW w:type="dxa" w:w="1224"/>
            <w:shd w:fill="F2F2F2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宇彤</w:t>
            </w:r>
          </w:p>
        </w:tc>
        <w:tc>
          <w:tcPr>
            <w:tcW w:type="dxa" w:w="1224"/>
            <w:shd w:fill="F2F2F2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育萱</w:t>
            </w:r>
          </w:p>
        </w:tc>
        <w:tc>
          <w:tcPr>
            <w:tcW w:type="dxa" w:w="1224"/>
            <w:shd w:fill="F2F2F2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高齊</w:t>
            </w:r>
          </w:p>
        </w:tc>
        <w:tc>
          <w:tcPr>
            <w:tcW w:type="dxa" w:w="1224"/>
            <w:shd w:fill="F2F2F2"/>
            <w:tcMar>
              <w:top w:w="35" w:type="dxa"/>
              <w:bottom w:w="35" w:type="dxa"/>
              <w:left w:w="30" w:type="dxa"/>
              <w:right w:w="30" w:type="dxa"/>
            </w:tcMar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8"/>
              </w:rPr>
              <w:t>芷嫻</w:t>
            </w:r>
          </w:p>
        </w:tc>
      </w:tr>
      <w:tr>
        <w:tc>
          <w:tcPr>
            <w:tcW w:type="dxa" w:w="648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4925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【第一季（1~3月）：生活常規、作息適應與自我倡議】</w:t>
              <w:br/>
            </w:r>
            <w:r>
              <w:rPr>
                <w:sz w:val="17"/>
              </w:rPr>
              <w:t>1. 能辨識小作所每日作息、週課表與停班停課資訊（如週六日休息、看新聞確認颱風假）</w:t>
              <w:br/>
            </w:r>
            <w:r>
              <w:rPr>
                <w:sz w:val="17"/>
              </w:rPr>
              <w:t>2. 理解作業活動與獎勵金制度之關聯（知道認真代工/手作可獲取獎勵金用於社區購物）</w:t>
              <w:br/>
            </w:r>
            <w:r>
              <w:rPr>
                <w:sz w:val="17"/>
              </w:rPr>
              <w:t>3. 能主動表達個人身心需求、身體不適或善用意見箱與支持者/社工溝通傾訴</w:t>
            </w:r>
          </w:p>
        </w:tc>
        <w:tc>
          <w:tcPr>
            <w:tcW w:type="dxa" w:w="1224"/>
            <w:tcMar>
              <w:top w:w="30" w:type="dxa"/>
              <w:bottom w:w="30" w:type="dxa"/>
              <w:left w:w="25" w:type="dxa"/>
              <w:right w:w="25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□獨立</w:t>
              <w:br/>
            </w:r>
            <w:r>
              <w:rPr>
                <w:sz w:val="17"/>
              </w:rPr>
              <w:t>□口語</w:t>
              <w:br/>
            </w:r>
            <w:r>
              <w:rPr>
                <w:sz w:val="17"/>
              </w:rPr>
              <w:t>□肢協</w:t>
              <w:br/>
            </w:r>
            <w:r>
              <w:rPr>
                <w:sz w:val="17"/>
              </w:rPr>
              <w:t>□未學</w:t>
            </w:r>
          </w:p>
        </w:tc>
        <w:tc>
          <w:tcPr>
            <w:tcW w:type="dxa" w:w="1224"/>
            <w:tcMar>
              <w:top w:w="30" w:type="dxa"/>
              <w:bottom w:w="30" w:type="dxa"/>
              <w:left w:w="25" w:type="dxa"/>
              <w:right w:w="25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□獨立</w:t>
              <w:br/>
            </w:r>
            <w:r>
              <w:rPr>
                <w:sz w:val="17"/>
              </w:rPr>
              <w:t>□口語</w:t>
              <w:br/>
            </w:r>
            <w:r>
              <w:rPr>
                <w:sz w:val="17"/>
              </w:rPr>
              <w:t>□肢協</w:t>
              <w:br/>
            </w:r>
            <w:r>
              <w:rPr>
                <w:sz w:val="17"/>
              </w:rPr>
              <w:t>□未學</w:t>
            </w:r>
          </w:p>
        </w:tc>
        <w:tc>
          <w:tcPr>
            <w:tcW w:type="dxa" w:w="1224"/>
            <w:tcMar>
              <w:top w:w="30" w:type="dxa"/>
              <w:bottom w:w="30" w:type="dxa"/>
              <w:left w:w="25" w:type="dxa"/>
              <w:right w:w="25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□獨立</w:t>
              <w:br/>
            </w:r>
            <w:r>
              <w:rPr>
                <w:sz w:val="17"/>
              </w:rPr>
              <w:t>□口語</w:t>
              <w:br/>
            </w:r>
            <w:r>
              <w:rPr>
                <w:sz w:val="17"/>
              </w:rPr>
              <w:t>□肢協</w:t>
              <w:br/>
            </w:r>
            <w:r>
              <w:rPr>
                <w:sz w:val="17"/>
              </w:rPr>
              <w:t>□未學</w:t>
            </w:r>
          </w:p>
        </w:tc>
        <w:tc>
          <w:tcPr>
            <w:tcW w:type="dxa" w:w="1224"/>
            <w:tcMar>
              <w:top w:w="30" w:type="dxa"/>
              <w:bottom w:w="30" w:type="dxa"/>
              <w:left w:w="25" w:type="dxa"/>
              <w:right w:w="25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□獨立</w:t>
              <w:br/>
            </w:r>
            <w:r>
              <w:rPr>
                <w:sz w:val="17"/>
              </w:rPr>
              <w:t>□口語</w:t>
              <w:br/>
            </w:r>
            <w:r>
              <w:rPr>
                <w:sz w:val="17"/>
              </w:rPr>
              <w:t>□肢協</w:t>
              <w:br/>
            </w:r>
            <w:r>
              <w:rPr>
                <w:sz w:val="17"/>
              </w:rPr>
              <w:t>□未學</w:t>
            </w:r>
          </w:p>
        </w:tc>
      </w:tr>
      <w:tr>
        <w:tc>
          <w:tcPr>
            <w:tcW w:type="dxa" w:w="648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4925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【第二季（4~6月）：居家清潔維護與家電用電安全】</w:t>
              <w:br/>
            </w:r>
            <w:r>
              <w:rPr>
                <w:sz w:val="17"/>
              </w:rPr>
              <w:t>1. 掌握正確拔插頭技巧（握住插頭本體拔除，嚴禁直接拉扯電線）與線材束帶收納</w:t>
              <w:br/>
            </w:r>
            <w:r>
              <w:rPr>
                <w:sz w:val="17"/>
              </w:rPr>
              <w:t>2. 能辨識用電危險（插座過載堆疊、插頭未插到底、電線脫皮破損立即通報拔除）</w:t>
              <w:br/>
            </w:r>
            <w:r>
              <w:rPr>
                <w:sz w:val="17"/>
              </w:rPr>
              <w:t>3. 辨識廚房高溫熱源（電陶爐發紅面板會燙傷不可碰觸）與高耗能電器插座安全</w:t>
              <w:br/>
            </w:r>
            <w:r>
              <w:rPr>
                <w:sz w:val="17"/>
              </w:rPr>
              <w:t>4. 熟練「麻花式」低處擰抹布技巧，並能使用掃帚將垃圾確實掃入地面目標框內</w:t>
            </w:r>
          </w:p>
        </w:tc>
        <w:tc>
          <w:tcPr>
            <w:tcW w:type="dxa" w:w="1224"/>
            <w:tcMar>
              <w:top w:w="30" w:type="dxa"/>
              <w:bottom w:w="30" w:type="dxa"/>
              <w:left w:w="25" w:type="dxa"/>
              <w:right w:w="25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□獨立</w:t>
              <w:br/>
            </w:r>
            <w:r>
              <w:rPr>
                <w:sz w:val="17"/>
              </w:rPr>
              <w:t>□口語</w:t>
              <w:br/>
            </w:r>
            <w:r>
              <w:rPr>
                <w:sz w:val="17"/>
              </w:rPr>
              <w:t>□肢協</w:t>
              <w:br/>
            </w:r>
            <w:r>
              <w:rPr>
                <w:sz w:val="17"/>
              </w:rPr>
              <w:t>□未學</w:t>
            </w:r>
          </w:p>
        </w:tc>
        <w:tc>
          <w:tcPr>
            <w:tcW w:type="dxa" w:w="1224"/>
            <w:tcMar>
              <w:top w:w="30" w:type="dxa"/>
              <w:bottom w:w="30" w:type="dxa"/>
              <w:left w:w="25" w:type="dxa"/>
              <w:right w:w="25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□獨立</w:t>
              <w:br/>
            </w:r>
            <w:r>
              <w:rPr>
                <w:sz w:val="17"/>
              </w:rPr>
              <w:t>□口語</w:t>
              <w:br/>
            </w:r>
            <w:r>
              <w:rPr>
                <w:sz w:val="17"/>
              </w:rPr>
              <w:t>□肢協</w:t>
              <w:br/>
            </w:r>
            <w:r>
              <w:rPr>
                <w:sz w:val="17"/>
              </w:rPr>
              <w:t>□未學</w:t>
            </w:r>
          </w:p>
        </w:tc>
        <w:tc>
          <w:tcPr>
            <w:tcW w:type="dxa" w:w="1224"/>
            <w:tcMar>
              <w:top w:w="30" w:type="dxa"/>
              <w:bottom w:w="30" w:type="dxa"/>
              <w:left w:w="25" w:type="dxa"/>
              <w:right w:w="25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□獨立</w:t>
              <w:br/>
            </w:r>
            <w:r>
              <w:rPr>
                <w:sz w:val="17"/>
              </w:rPr>
              <w:t>□口語</w:t>
              <w:br/>
            </w:r>
            <w:r>
              <w:rPr>
                <w:sz w:val="17"/>
              </w:rPr>
              <w:t>□肢協</w:t>
              <w:br/>
            </w:r>
            <w:r>
              <w:rPr>
                <w:sz w:val="17"/>
              </w:rPr>
              <w:t>□未學</w:t>
            </w:r>
          </w:p>
        </w:tc>
        <w:tc>
          <w:tcPr>
            <w:tcW w:type="dxa" w:w="1224"/>
            <w:tcMar>
              <w:top w:w="30" w:type="dxa"/>
              <w:bottom w:w="30" w:type="dxa"/>
              <w:left w:w="25" w:type="dxa"/>
              <w:right w:w="25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□獨立</w:t>
              <w:br/>
            </w:r>
            <w:r>
              <w:rPr>
                <w:sz w:val="17"/>
              </w:rPr>
              <w:t>□口語</w:t>
              <w:br/>
            </w:r>
            <w:r>
              <w:rPr>
                <w:sz w:val="17"/>
              </w:rPr>
              <w:t>□肢協</w:t>
              <w:br/>
            </w:r>
            <w:r>
              <w:rPr>
                <w:sz w:val="17"/>
              </w:rPr>
              <w:t>□未學</w:t>
            </w:r>
          </w:p>
        </w:tc>
      </w:tr>
      <w:tr>
        <w:tc>
          <w:tcPr>
            <w:tcW w:type="dxa" w:w="648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4925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【第三季（7~9月）：全方位防災應變（地震、火災、水災）與用路安全】</w:t>
              <w:br/>
            </w:r>
            <w:r>
              <w:rPr>
                <w:sz w:val="17"/>
              </w:rPr>
              <w:t>1. 熟練地震避難口訣「趴下、掩護、穩住（躲、遮、抓）」，確實躲入桌下抓穩桌腳</w:t>
              <w:br/>
            </w:r>
            <w:r>
              <w:rPr>
                <w:sz w:val="17"/>
              </w:rPr>
              <w:t>2. 能於非桌區（如作業區玻璃旁）迅速遠離玻璃、尋找柱子避難，睡覺時以枕頭護頭</w:t>
              <w:br/>
            </w:r>
            <w:r>
              <w:rPr>
                <w:sz w:val="17"/>
              </w:rPr>
              <w:t>3. 聽聞火警警報迅速關閉教室門、用毛巾塞門縫防煙，並確實往陽台/室外避難</w:t>
              <w:br/>
            </w:r>
            <w:r>
              <w:rPr>
                <w:sz w:val="17"/>
              </w:rPr>
              <w:t>4. 能正確操作滅火器四步驟「拉（插梢）、瞄（火源根部）、壓（握把）、掃（左右掃射）」</w:t>
              <w:br/>
            </w:r>
            <w:r>
              <w:rPr>
                <w:sz w:val="17"/>
              </w:rPr>
              <w:t>5. 能辨識用路危險（路邊車輛遮蔽視線、無號誌路口、保持行走動線通暢）</w:t>
            </w:r>
          </w:p>
        </w:tc>
        <w:tc>
          <w:tcPr>
            <w:tcW w:type="dxa" w:w="1224"/>
            <w:tcMar>
              <w:top w:w="30" w:type="dxa"/>
              <w:bottom w:w="30" w:type="dxa"/>
              <w:left w:w="25" w:type="dxa"/>
              <w:right w:w="25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□獨立</w:t>
              <w:br/>
            </w:r>
            <w:r>
              <w:rPr>
                <w:sz w:val="17"/>
              </w:rPr>
              <w:t>□口語</w:t>
              <w:br/>
            </w:r>
            <w:r>
              <w:rPr>
                <w:sz w:val="17"/>
              </w:rPr>
              <w:t>□肢協</w:t>
              <w:br/>
            </w:r>
            <w:r>
              <w:rPr>
                <w:sz w:val="17"/>
              </w:rPr>
              <w:t>□未學</w:t>
            </w:r>
          </w:p>
        </w:tc>
        <w:tc>
          <w:tcPr>
            <w:tcW w:type="dxa" w:w="1224"/>
            <w:tcMar>
              <w:top w:w="30" w:type="dxa"/>
              <w:bottom w:w="30" w:type="dxa"/>
              <w:left w:w="25" w:type="dxa"/>
              <w:right w:w="25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□獨立</w:t>
              <w:br/>
            </w:r>
            <w:r>
              <w:rPr>
                <w:sz w:val="17"/>
              </w:rPr>
              <w:t>□口語</w:t>
              <w:br/>
            </w:r>
            <w:r>
              <w:rPr>
                <w:sz w:val="17"/>
              </w:rPr>
              <w:t>□肢協</w:t>
              <w:br/>
            </w:r>
            <w:r>
              <w:rPr>
                <w:sz w:val="17"/>
              </w:rPr>
              <w:t>□未學</w:t>
            </w:r>
          </w:p>
        </w:tc>
        <w:tc>
          <w:tcPr>
            <w:tcW w:type="dxa" w:w="1224"/>
            <w:tcMar>
              <w:top w:w="30" w:type="dxa"/>
              <w:bottom w:w="30" w:type="dxa"/>
              <w:left w:w="25" w:type="dxa"/>
              <w:right w:w="25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□獨立</w:t>
              <w:br/>
            </w:r>
            <w:r>
              <w:rPr>
                <w:sz w:val="17"/>
              </w:rPr>
              <w:t>□口語</w:t>
              <w:br/>
            </w:r>
            <w:r>
              <w:rPr>
                <w:sz w:val="17"/>
              </w:rPr>
              <w:t>□肢協</w:t>
              <w:br/>
            </w:r>
            <w:r>
              <w:rPr>
                <w:sz w:val="17"/>
              </w:rPr>
              <w:t>□未學</w:t>
            </w:r>
          </w:p>
        </w:tc>
        <w:tc>
          <w:tcPr>
            <w:tcW w:type="dxa" w:w="1224"/>
            <w:tcMar>
              <w:top w:w="30" w:type="dxa"/>
              <w:bottom w:w="30" w:type="dxa"/>
              <w:left w:w="25" w:type="dxa"/>
              <w:right w:w="25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□獨立</w:t>
              <w:br/>
            </w:r>
            <w:r>
              <w:rPr>
                <w:sz w:val="17"/>
              </w:rPr>
              <w:t>□口語</w:t>
              <w:br/>
            </w:r>
            <w:r>
              <w:rPr>
                <w:sz w:val="17"/>
              </w:rPr>
              <w:t>□肢協</w:t>
              <w:br/>
            </w:r>
            <w:r>
              <w:rPr>
                <w:sz w:val="17"/>
              </w:rPr>
              <w:t>□未學</w:t>
            </w:r>
          </w:p>
        </w:tc>
      </w:tr>
      <w:tr>
        <w:tc>
          <w:tcPr>
            <w:tcW w:type="dxa" w:w="648"/>
            <w:tcMar>
              <w:top w:w="30" w:type="dxa"/>
              <w:bottom w:w="30" w:type="dxa"/>
              <w:left w:w="15" w:type="dxa"/>
              <w:right w:w="15" w:type="dxa"/>
            </w:tcMar>
          </w:tcPr>
          <w:p>
            <w:pPr>
              <w:jc w:val="center"/>
            </w:pPr>
            <w:r>
              <w:rPr>
                <w:sz w:val="22"/>
              </w:rPr>
              <w:t>□</w:t>
            </w:r>
          </w:p>
        </w:tc>
        <w:tc>
          <w:tcPr>
            <w:tcW w:type="dxa" w:w="4925"/>
            <w:tcMar>
              <w:top w:w="30" w:type="dxa"/>
              <w:bottom w:w="30" w:type="dxa"/>
              <w:left w:w="45" w:type="dxa"/>
              <w:right w:w="45" w:type="dxa"/>
            </w:tcMar>
          </w:tcPr>
          <w:p>
            <w:pPr>
              <w:spacing w:after="20" w:line="269" w:lineRule="auto"/>
            </w:pPr>
            <w:r>
              <w:rPr>
                <w:b/>
                <w:sz w:val="18"/>
              </w:rPr>
              <w:t>【第四季（10~12月）：食品安全守則、期限判讀與生活消費管理】</w:t>
              <w:br/>
            </w:r>
            <w:r>
              <w:rPr>
                <w:sz w:val="17"/>
              </w:rPr>
              <w:t>1. 能於包裝上找出「EXP」、「有效日期」或「保存期限」標籤位置</w:t>
              <w:br/>
            </w:r>
            <w:r>
              <w:rPr>
                <w:sz w:val="17"/>
              </w:rPr>
              <w:t>2. 能對照月曆比對當日日期，正確判斷食品或用品是否過期，過期主動丟棄不食用</w:t>
              <w:br/>
            </w:r>
            <w:r>
              <w:rPr>
                <w:sz w:val="17"/>
              </w:rPr>
              <w:t>3. 掌握油鍋起火應變三步驟（1關瓦斯、2蓋鍋蓋、3靜置冷卻，嚴禁潑水）</w:t>
              <w:br/>
            </w:r>
            <w:r>
              <w:rPr>
                <w:sz w:val="17"/>
              </w:rPr>
              <w:t>4. 練習日常生活購物金錢清點（如辨識百元/千元鈔、核對找零）並養成收納習慣</w:t>
            </w:r>
          </w:p>
        </w:tc>
        <w:tc>
          <w:tcPr>
            <w:tcW w:type="dxa" w:w="1224"/>
            <w:tcMar>
              <w:top w:w="30" w:type="dxa"/>
              <w:bottom w:w="30" w:type="dxa"/>
              <w:left w:w="25" w:type="dxa"/>
              <w:right w:w="25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□獨立</w:t>
              <w:br/>
            </w:r>
            <w:r>
              <w:rPr>
                <w:sz w:val="17"/>
              </w:rPr>
              <w:t>□口語</w:t>
              <w:br/>
            </w:r>
            <w:r>
              <w:rPr>
                <w:sz w:val="17"/>
              </w:rPr>
              <w:t>□肢協</w:t>
              <w:br/>
            </w:r>
            <w:r>
              <w:rPr>
                <w:sz w:val="17"/>
              </w:rPr>
              <w:t>□未學</w:t>
            </w:r>
          </w:p>
        </w:tc>
        <w:tc>
          <w:tcPr>
            <w:tcW w:type="dxa" w:w="1224"/>
            <w:tcMar>
              <w:top w:w="30" w:type="dxa"/>
              <w:bottom w:w="30" w:type="dxa"/>
              <w:left w:w="25" w:type="dxa"/>
              <w:right w:w="25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□獨立</w:t>
              <w:br/>
            </w:r>
            <w:r>
              <w:rPr>
                <w:sz w:val="17"/>
              </w:rPr>
              <w:t>□口語</w:t>
              <w:br/>
            </w:r>
            <w:r>
              <w:rPr>
                <w:sz w:val="17"/>
              </w:rPr>
              <w:t>□肢協</w:t>
              <w:br/>
            </w:r>
            <w:r>
              <w:rPr>
                <w:sz w:val="17"/>
              </w:rPr>
              <w:t>□未學</w:t>
            </w:r>
          </w:p>
        </w:tc>
        <w:tc>
          <w:tcPr>
            <w:tcW w:type="dxa" w:w="1224"/>
            <w:tcMar>
              <w:top w:w="30" w:type="dxa"/>
              <w:bottom w:w="30" w:type="dxa"/>
              <w:left w:w="25" w:type="dxa"/>
              <w:right w:w="25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□獨立</w:t>
              <w:br/>
            </w:r>
            <w:r>
              <w:rPr>
                <w:sz w:val="17"/>
              </w:rPr>
              <w:t>□口語</w:t>
              <w:br/>
            </w:r>
            <w:r>
              <w:rPr>
                <w:sz w:val="17"/>
              </w:rPr>
              <w:t>□肢協</w:t>
              <w:br/>
            </w:r>
            <w:r>
              <w:rPr>
                <w:sz w:val="17"/>
              </w:rPr>
              <w:t>□未學</w:t>
            </w:r>
          </w:p>
        </w:tc>
        <w:tc>
          <w:tcPr>
            <w:tcW w:type="dxa" w:w="1224"/>
            <w:tcMar>
              <w:top w:w="30" w:type="dxa"/>
              <w:bottom w:w="30" w:type="dxa"/>
              <w:left w:w="25" w:type="dxa"/>
              <w:right w:w="25" w:type="dxa"/>
            </w:tcMar>
          </w:tcPr>
          <w:p>
            <w:pPr>
              <w:spacing w:after="0" w:line="276" w:lineRule="auto"/>
            </w:pPr>
            <w:r>
              <w:rPr>
                <w:sz w:val="17"/>
              </w:rPr>
              <w:t>□獨立</w:t>
              <w:br/>
            </w:r>
            <w:r>
              <w:rPr>
                <w:sz w:val="17"/>
              </w:rPr>
              <w:t>□口語</w:t>
              <w:br/>
            </w:r>
            <w:r>
              <w:rPr>
                <w:sz w:val="17"/>
              </w:rPr>
              <w:t>□肢協</w:t>
              <w:br/>
            </w:r>
            <w:r>
              <w:rPr>
                <w:sz w:val="17"/>
              </w:rPr>
              <w:t>□未學</w:t>
            </w:r>
          </w:p>
        </w:tc>
      </w:tr>
    </w:tbl>
    <w:p>
      <w:pPr>
        <w:spacing w:after="20" w:line="2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55555"/>
          <w:bottom w:val="single" w:sz="4" w:space="0" w:color="555555"/>
          <w:left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</w:tblPr>
      <w:tblGrid>
        <w:gridCol w:w="10800"/>
      </w:tblGrid>
      <w:tr>
        <w:tc>
          <w:tcPr>
            <w:tcW w:type="dxa" w:w="10469"/>
            <w:tcMar>
              <w:top w:w="40" w:type="dxa"/>
              <w:bottom w:w="40" w:type="dxa"/>
              <w:left w:w="70" w:type="dxa"/>
              <w:right w:w="70" w:type="dxa"/>
            </w:tcMar>
          </w:tcPr>
          <w:p>
            <w:pPr>
              <w:spacing w:after="40" w:line="276" w:lineRule="auto"/>
            </w:pPr>
            <w:r>
              <w:rPr>
                <w:b/>
                <w:sz w:val="18"/>
              </w:rPr>
              <w:t>季度訓練成效總結與個別化支持紀錄：</w:t>
              <w:br/>
              <w:br/>
              <w:br/>
              <w:br/>
            </w:r>
          </w:p>
        </w:tc>
      </w:tr>
    </w:tbl>
    <w:p>
      <w:pPr>
        <w:spacing w:before="80" w:after="0"/>
      </w:pPr>
      <w:r>
        <w:rPr>
          <w:b/>
          <w:sz w:val="18"/>
        </w:rPr>
        <w:t>教保員 / 記錄者：＿＿＿＿＿＿＿＿＿＿　　　　　　督導：＿＿＿＿＿＿＿＿＿＿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