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34"/>
          <w:szCs w:val="34"/>
        </w:rPr>
        <w:t xml:space="preserve">BADideas Fund II Readiness</w:t>
      </w:r>
    </w:p>
    <w:p>
      <w:pPr>
        <w:spacing w:after="40"/>
        <w:jc w:val="center"/>
      </w:pPr>
      <w:r>
        <w:rPr>
          <w:rFonts w:ascii="Arial" w:cs="Arial" w:eastAsia="Arial" w:hAnsi="Arial"/>
          <w:i/>
          <w:iCs/>
          <w:color w:val="666666"/>
          <w:sz w:val="20"/>
          <w:szCs w:val="20"/>
        </w:rPr>
        <w:t xml:space="preserve">How We Run Fund I → How We Build Toward Fund II → Who Owns What</w:t>
      </w:r>
    </w:p>
    <w:p>
      <w:pPr>
        <w:spacing w:after="100"/>
      </w:pPr>
      <w:r>
        <w:rPr>
          <w:rFonts w:ascii="Arial" w:cs="Arial" w:eastAsia="Arial" w:hAnsi="Arial"/>
          <w:i/>
          <w:iCs/>
          <w:color w:val="999999"/>
          <w:sz w:val="18"/>
          <w:szCs w:val="18"/>
        </w:rPr>
        <w:t xml:space="preserve">DRAFT v2 for GP/Partner review  |  March 2026  |  Raimonds</w:t>
      </w:r>
    </w:p>
    <w:p>
      <w:pPr>
        <w:spacing w:after="100"/>
      </w:pPr>
      <w:r>
        <w:rPr>
          <w:rFonts w:ascii="Arial" w:cs="Arial" w:eastAsia="Arial" w:hAnsi="Arial"/>
          <w:b/>
          <w:bCs/>
          <w:sz w:val="18"/>
          <w:szCs w:val="18"/>
        </w:rPr>
        <w:t xml:space="preserve">How to read this: </w:t>
      </w:r>
      <w:r>
        <w:rPr>
          <w:rFonts w:ascii="Arial" w:cs="Arial" w:eastAsia="Arial" w:hAnsi="Arial"/>
          <w:sz w:val="18"/>
          <w:szCs w:val="18"/>
        </w:rPr>
        <w:t xml:space="preserve">A reasoning memo. Walk through the logic, push back on specific points. Detailed analysis in Strategic Working Document v3.</w:t>
      </w:r>
    </w:p>
    <w:p>
      <w:pPr>
        <w:pBdr>
          <w:bottom w:val="single" w:color="CCCCCC" w:sz="4" w:space="1"/>
        </w:pBdr>
        <w:spacing w:after="80" w:before="80"/>
      </w:pPr>
    </w:p>
    <w:p>
      <w:pPr>
        <w:pStyle w:val="Heading1"/>
        <w:spacing w:after="120" w:before="240"/>
      </w:pPr>
      <w:r>
        <w:rPr>
          <w:rFonts w:ascii="Arial" w:cs="Arial" w:eastAsia="Arial" w:hAnsi="Arial"/>
          <w:b/>
          <w:bCs/>
          <w:color w:val="1B3A5C"/>
          <w:sz w:val="26"/>
          <w:szCs w:val="26"/>
        </w:rPr>
        <w:t xml:space="preserve">1. How We Run Fund I From Here</w:t>
      </w:r>
    </w:p>
    <w:p>
      <w:pPr>
        <w:spacing w:after="100"/>
      </w:pPr>
      <w:r>
        <w:rPr>
          <w:rFonts w:ascii="Arial" w:cs="Arial" w:eastAsia="Arial" w:hAnsi="Arial"/>
          <w:sz w:val="20"/>
          <w:szCs w:val="20"/>
        </w:rPr>
        <w:t xml:space="preserve">We have 3–4 years of active investing ahead. The fund thesis is 10 outcomes returning 100× each over the decade. TVPI is how we know we’re on track — the only honest measure of whether SEE, PICK, and WIN are working. AI is how a lean team runs all three at Fund II scale without losing quality or depth. These are existing engines getting upgraded, not new things being built. If we run Fund I excellently, Fund II readiness is a packaging exercise.</w:t>
      </w:r>
    </w:p>
    <w:p>
      <w:pPr>
        <w:pStyle w:val="Heading2"/>
        <w:spacing w:after="80" w:before="180"/>
      </w:pPr>
      <w:r>
        <w:rPr>
          <w:rFonts w:ascii="Arial" w:cs="Arial" w:eastAsia="Arial" w:hAnsi="Arial"/>
          <w:b/>
          <w:bCs/>
          <w:color w:val="2E5984"/>
          <w:sz w:val="22"/>
          <w:szCs w:val="22"/>
        </w:rPr>
        <w:t xml:space="preserve">SEE: Find exceptional founders</w:t>
      </w:r>
    </w:p>
    <w:p>
      <w:pPr>
        <w:spacing w:after="100"/>
      </w:pPr>
      <w:r>
        <w:rPr>
          <w:rFonts w:ascii="Arial" w:cs="Arial" w:eastAsia="Arial" w:hAnsi="Arial"/>
          <w:b/>
          <w:bCs/>
          <w:sz w:val="20"/>
          <w:szCs w:val="20"/>
        </w:rPr>
        <w:t xml:space="preserve">Owner: Martins (+ Ben on scout program)</w:t>
      </w:r>
    </w:p>
    <w:p>
      <w:pPr>
        <w:spacing w:after="100"/>
      </w:pPr>
      <w:r>
        <w:rPr>
          <w:rFonts w:ascii="Arial" w:cs="Arial" w:eastAsia="Arial" w:hAnsi="Arial"/>
          <w:sz w:val="20"/>
          <w:szCs w:val="20"/>
        </w:rPr>
        <w:t xml:space="preserve">SEE starts with knowing who we’re looking for, then designing the system to find them. We have this codified: an exceptional founder shows at least one of (1) Tier 1 previous founding or early operating outcome, (2) Tier 1-2 US VC or Tier 1 EU VC investing alongside us, (3) strong early traction where measurable. Outside these signals, it’s qualitative judgment — Martins to backtest our 40+ founder transcripts to identify character traits that distinguish high-calibre founders. The goal is a repeatable flag for when we’re likely looking at one.</w:t>
      </w:r>
    </w:p>
    <w:p>
      <w:pPr>
        <w:spacing w:after="100"/>
      </w:pPr>
      <w:r>
        <w:rPr>
          <w:rFonts w:ascii="Arial" w:cs="Arial" w:eastAsia="Arial" w:hAnsi="Arial"/>
          <w:b/>
          <w:bCs/>
          <w:sz w:val="20"/>
          <w:szCs w:val="20"/>
        </w:rPr>
        <w:t xml:space="preserve">Two-track SEE: </w:t>
      </w:r>
      <w:r>
        <w:rPr>
          <w:rFonts w:ascii="Arial" w:cs="Arial" w:eastAsia="Arial" w:hAnsi="Arial"/>
          <w:sz w:val="20"/>
          <w:szCs w:val="20"/>
        </w:rPr>
        <w:t xml:space="preserve">For the broad funnel — a founder-facing tool that earns engagement on its own merits: idea and market wave evaluation, model stress-testing, feedback trained on how top-tier investors actually think. Founders get substantive output regardless of whether we invest. We get rich context and a quality signal before the first call. That’s the design target — not a submission form with better UX. For Tier 1 founders specifically — this won’t be won by a tool, and it’s not about doing more of what Martins already does. The model to build toward: a short, high-priority watch list (think 5–10 founders at a time) of the specific people we most want to back, actively cultivated before they’re fundraising. Market intelligence — knowing which are the hottest recent deals in the Baltics and beyond, who’s about to raise, what everyone else wants — is what drives that list. byFounders and Inovo consistently seem to know about the best deals before they hit the funnel. That’s the standard. How exactly we get there is TBD, but the direction is: more targeted and specific, not more volume.</w:t>
      </w:r>
    </w:p>
    <w:p>
      <w:pPr>
        <w:spacing w:after="100"/>
      </w:pPr>
      <w:r>
        <w:rPr>
          <w:rFonts w:ascii="Arial" w:cs="Arial" w:eastAsia="Arial" w:hAnsi="Arial"/>
          <w:b/>
          <w:bCs/>
          <w:sz w:val="20"/>
          <w:szCs w:val="20"/>
        </w:rPr>
        <w:t xml:space="preserve">Where deals come from (hypothesis, data to confirm): </w:t>
      </w:r>
      <w:r>
        <w:rPr>
          <w:rFonts w:ascii="Arial" w:cs="Arial" w:eastAsia="Arial" w:hAnsi="Arial"/>
          <w:sz w:val="20"/>
          <w:szCs w:val="20"/>
        </w:rPr>
        <w:t xml:space="preserve">Dominant channels are Friendly VCs and community referrals. Fundraising School, events, inbound, and direct sourcing each contribute — deals have come from all of them. The question for SEE investment is which channels are generating the founders we most want, not just volume.</w:t>
      </w:r>
    </w:p>
    <w:p>
      <w:pPr>
        <w:spacing w:after="100"/>
      </w:pPr>
      <w:r>
        <w:rPr>
          <w:rFonts w:ascii="Arial" w:cs="Arial" w:eastAsia="Arial" w:hAnsi="Arial"/>
          <w:b/>
          <w:bCs/>
          <w:sz w:val="20"/>
          <w:szCs w:val="20"/>
        </w:rPr>
        <w:t xml:space="preserve">IC and scouts are separate: </w:t>
      </w:r>
      <w:r>
        <w:rPr>
          <w:rFonts w:ascii="Arial" w:cs="Arial" w:eastAsia="Arial" w:hAnsi="Arial"/>
          <w:sz w:val="20"/>
          <w:szCs w:val="20"/>
        </w:rPr>
        <w:t xml:space="preserve">IC (5–6 members) evaluates all dealflow as the human conviction engine. Scouts (5–6) bring founders and deals — they can lead a deal but aren’t required to evaluate the full pipeline. AI-generated deep briefs mean IC can go even deeper in the same time, not just faster. Scout program: Martins and Ben started working on this.</w:t>
      </w:r>
    </w:p>
    <w:p>
      <w:pPr>
        <w:spacing w:after="100"/>
      </w:pPr>
      <w:r>
        <w:rPr>
          <w:rFonts w:ascii="Arial" w:cs="Arial" w:eastAsia="Arial" w:hAnsi="Arial"/>
          <w:b/>
          <w:bCs/>
          <w:color w:val="2E5984"/>
          <w:sz w:val="20"/>
          <w:szCs w:val="20"/>
        </w:rPr>
        <w:t xml:space="preserve">SEE leading indicator: </w:t>
      </w:r>
      <w:r>
        <w:rPr>
          <w:rFonts w:ascii="Arial" w:cs="Arial" w:eastAsia="Arial" w:hAnsi="Arial"/>
          <w:color w:val="2E5984"/>
          <w:sz w:val="20"/>
          <w:szCs w:val="20"/>
        </w:rPr>
        <w:t xml:space="preserve">Posterity KPI — looking back one quarter: of all companies in our investment focus that raised funding in the prior six months, what % did we have a genuine chance to invest in? Tracks quality coverage — not how many founders we spoke to, but how many of the deals that actually mattered we had a genuine shot at.</w:t>
      </w:r>
    </w:p>
    <w:p>
      <w:pPr>
        <w:pStyle w:val="Heading2"/>
        <w:spacing w:after="80" w:before="180"/>
      </w:pPr>
      <w:r>
        <w:rPr>
          <w:rFonts w:ascii="Arial" w:cs="Arial" w:eastAsia="Arial" w:hAnsi="Arial"/>
          <w:b/>
          <w:bCs/>
          <w:color w:val="2E5984"/>
          <w:sz w:val="22"/>
          <w:szCs w:val="22"/>
        </w:rPr>
        <w:t xml:space="preserve">PICK: Invest with high conviction</w:t>
      </w:r>
    </w:p>
    <w:p>
      <w:pPr>
        <w:spacing w:after="100"/>
      </w:pPr>
      <w:r>
        <w:rPr>
          <w:rFonts w:ascii="Arial" w:cs="Arial" w:eastAsia="Arial" w:hAnsi="Arial"/>
          <w:b/>
          <w:bCs/>
          <w:sz w:val="20"/>
          <w:szCs w:val="20"/>
        </w:rPr>
        <w:t xml:space="preserve">Owner: Martins</w:t>
      </w:r>
    </w:p>
    <w:p>
      <w:pPr>
        <w:spacing w:after="100"/>
      </w:pPr>
      <w:r>
        <w:rPr>
          <w:rFonts w:ascii="Arial" w:cs="Arial" w:eastAsia="Arial" w:hAnsi="Arial"/>
          <w:sz w:val="20"/>
          <w:szCs w:val="20"/>
        </w:rPr>
        <w:t xml:space="preserve">With syndicate deal volume no longer a metric, the bar for conviction must rise significantly. Benchmark for what high conviction looks like: Supliful, Lumos, Pleso. The question isn’t just how many we can do — it’s whether each investment would survive scrutiny against those benchmarks.</w:t>
      </w:r>
    </w:p>
    <w:p>
      <w:pPr>
        <w:spacing w:after="100"/>
      </w:pPr>
      <w:r>
        <w:rPr>
          <w:rFonts w:ascii="Arial" w:cs="Arial" w:eastAsia="Arial" w:hAnsi="Arial"/>
          <w:sz w:val="20"/>
          <w:szCs w:val="20"/>
        </w:rPr>
        <w:t xml:space="preserve">Roberts’ BADbrain engine also extends here: AI-powered analytical and research layer for IC, sequenced after WIN is live. This gives IC richer context on every deal in a fraction of the time, freeing their pre-allocated hours for deeper analysis and founder judgment.</w:t>
      </w:r>
    </w:p>
    <w:p>
      <w:pPr>
        <w:spacing w:after="100"/>
      </w:pPr>
      <w:r>
        <w:rPr>
          <w:rFonts w:ascii="Arial" w:cs="Arial" w:eastAsia="Arial" w:hAnsi="Arial"/>
          <w:b/>
          <w:bCs/>
          <w:color w:val="2E5984"/>
          <w:sz w:val="20"/>
          <w:szCs w:val="20"/>
        </w:rPr>
        <w:t xml:space="preserve">PICK leading indicators: </w:t>
      </w:r>
      <w:r>
        <w:rPr>
          <w:rFonts w:ascii="Arial" w:cs="Arial" w:eastAsia="Arial" w:hAnsi="Arial"/>
          <w:color w:val="2E5984"/>
          <w:sz w:val="20"/>
          <w:szCs w:val="20"/>
        </w:rPr>
        <w:t xml:space="preserve">Pick rate maintained sub-1% of seen opportunities, OR deal lead conviction score consistently above 9/10, OR % of portfolio companies raising a subsequent round.</w:t>
      </w:r>
    </w:p>
    <w:p>
      <w:pPr>
        <w:pStyle w:val="Heading2"/>
        <w:spacing w:after="80" w:before="180"/>
      </w:pPr>
      <w:r>
        <w:rPr>
          <w:rFonts w:ascii="Arial" w:cs="Arial" w:eastAsia="Arial" w:hAnsi="Arial"/>
          <w:b/>
          <w:bCs/>
          <w:color w:val="2E5984"/>
          <w:sz w:val="22"/>
          <w:szCs w:val="22"/>
        </w:rPr>
        <w:t xml:space="preserve">WIN: Accelerate portfolio companies to next round</w:t>
      </w:r>
    </w:p>
    <w:p>
      <w:pPr>
        <w:spacing w:after="100"/>
      </w:pPr>
      <w:r>
        <w:rPr>
          <w:rFonts w:ascii="Arial" w:cs="Arial" w:eastAsia="Arial" w:hAnsi="Arial"/>
          <w:b/>
          <w:bCs/>
          <w:sz w:val="20"/>
          <w:szCs w:val="20"/>
        </w:rPr>
        <w:t xml:space="preserve">Owner: Roberts + Suhas (+ Kārlis)</w:t>
      </w:r>
    </w:p>
    <w:p>
      <w:pPr>
        <w:spacing w:after="100"/>
      </w:pPr>
      <w:r>
        <w:rPr>
          <w:rFonts w:ascii="Arial" w:cs="Arial" w:eastAsia="Arial" w:hAnsi="Arial"/>
          <w:sz w:val="20"/>
          <w:szCs w:val="20"/>
        </w:rPr>
        <w:t xml:space="preserve">WIN is the core thesis. If we can reliably get exceptional founders to their next round faster and more credibly than other funds — through a repeatable system, not bespoke partner heroics — everything else follows. The system gets better with each intervention cycle. That compounding is the differentiator, not the technology powering it.</w:t>
      </w:r>
    </w:p>
    <w:p>
      <w:pPr>
        <w:spacing w:after="100"/>
      </w:pPr>
      <w:r>
        <w:rPr>
          <w:rFonts w:ascii="Arial" w:cs="Arial" w:eastAsia="Arial" w:hAnsi="Arial"/>
          <w:sz w:val="20"/>
          <w:szCs w:val="20"/>
        </w:rPr>
        <w:t xml:space="preserve">Suhas is co-owner, not support. Launchpad execution — growth model depth, clarity, consistency of documentation, guardrails, and human-in-the-loop for validating shifts in benchmarks — falls apart without him. Roberts builds the BADbrain intelligence layer; Suhas owns the Launchpad accountability and growth model layer.</w:t>
      </w:r>
    </w:p>
    <w:p>
      <w:pPr>
        <w:spacing w:after="100"/>
      </w:pPr>
      <w:r>
        <w:rPr>
          <w:rFonts w:ascii="Arial" w:cs="Arial" w:eastAsia="Arial" w:hAnsi="Arial"/>
          <w:sz w:val="20"/>
          <w:szCs w:val="20"/>
        </w:rPr>
        <w:t xml:space="preserve">Timeline: BADbrain pilot in first portcos by end of April. First documented intervention cycles by Q2. Roberts’ BADbrain scope extends to SEE (top-of-funnel agentic system) and PICK (IC research layer) — both sequenced after WIN is live and proven.</w:t>
      </w:r>
    </w:p>
    <w:p>
      <w:pPr>
        <w:spacing w:after="100"/>
      </w:pPr>
      <w:r>
        <w:rPr>
          <w:rFonts w:ascii="Arial" w:cs="Arial" w:eastAsia="Arial" w:hAnsi="Arial"/>
          <w:b/>
          <w:bCs/>
          <w:color w:val="2E5984"/>
          <w:sz w:val="20"/>
          <w:szCs w:val="20"/>
        </w:rPr>
        <w:t xml:space="preserve">WIN leading indicators: </w:t>
      </w:r>
      <w:r>
        <w:rPr>
          <w:rFonts w:ascii="Arial" w:cs="Arial" w:eastAsia="Arial" w:hAnsi="Arial"/>
          <w:color w:val="2E5984"/>
          <w:sz w:val="20"/>
          <w:szCs w:val="20"/>
        </w:rPr>
        <w:t xml:space="preserve">% of portfolio companies raising a subsequent round. Average time from investment to next round. Each documented intervention cycle either recovers trajectory or escalates — tracking that cadence is the weekly measure.</w:t>
      </w:r>
    </w:p>
    <w:p>
      <w:pPr>
        <w:pBdr>
          <w:bottom w:val="single" w:color="CCCCCC" w:sz="4" w:space="1"/>
        </w:pBdr>
        <w:spacing w:after="80" w:before="80"/>
      </w:pPr>
    </w:p>
    <w:p>
      <w:r>
        <w:br w:type="page"/>
      </w:r>
    </w:p>
    <w:p>
      <w:pPr>
        <w:pStyle w:val="Heading1"/>
        <w:spacing w:after="120" w:before="240"/>
      </w:pPr>
      <w:r>
        <w:rPr>
          <w:rFonts w:ascii="Arial" w:cs="Arial" w:eastAsia="Arial" w:hAnsi="Arial"/>
          <w:b/>
          <w:bCs/>
          <w:color w:val="1B3A5C"/>
          <w:sz w:val="26"/>
          <w:szCs w:val="26"/>
        </w:rPr>
        <w:t xml:space="preserve">2. What Naturally Builds Toward Fund II</w:t>
      </w:r>
    </w:p>
    <w:p>
      <w:pPr>
        <w:spacing w:after="100"/>
      </w:pPr>
      <w:r>
        <w:rPr>
          <w:rFonts w:ascii="Arial" w:cs="Arial" w:eastAsia="Arial" w:hAnsi="Arial"/>
          <w:sz w:val="20"/>
          <w:szCs w:val="20"/>
        </w:rPr>
        <w:t xml:space="preserve">TVPI is the single number that tells whether the whole thing works. SEE, PICK, and WIN are three tracks that each contribute from different angles: how we find exceptional founders, how we select them, how we accelerate them. If TVPI is improving, all three are working. If it’s not, at least one is broken. That’s the story for LPs — not “we have a system” but “our TVPI is X because we find, select, and accelerate better than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single" w:color="1B3A5C" w:sz="3"/>
              <w:right w:val="single" w:color="1B3A5C" w:sz="3"/>
            </w:tcBorders>
            <w:shd w:fill="EDF2F7"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WIN is proven and compounding. </w:t>
            </w:r>
            <w:r>
              <w:rPr>
                <w:rFonts w:ascii="Arial" w:cs="Arial" w:eastAsia="Arial" w:hAnsi="Arial"/>
                <w:color w:val="1B3A5C"/>
                <w:sz w:val="20"/>
                <w:szCs w:val="20"/>
              </w:rPr>
              <w:t xml:space="preserve">LP question: “How do I know your returns are repeatable?”</w:t>
            </w:r>
          </w:p>
          <w:p>
            <w:pPr>
              <w:spacing w:after="60"/>
            </w:pPr>
            <w:r>
              <w:rPr>
                <w:rFonts w:ascii="Arial" w:cs="Arial" w:eastAsia="Arial" w:hAnsi="Arial"/>
                <w:color w:val="1B3A5C"/>
                <w:sz w:val="20"/>
                <w:szCs w:val="20"/>
              </w:rPr>
              <w:t xml:space="preserve">Documented intervention stories from BADbrain + Launchpad. One story of “company was drifting, we flagged it, we intervened, trajectory recovered” beats 50 pages of architecture. The compounding element — the system learns and improves with each cycle — is what makes it believable, not one-off.</w:t>
            </w:r>
          </w:p>
        </w:tc>
      </w:tr>
    </w:tbl>
    <w:p>
      <w:pPr>
        <w:spacing w:after="80"/>
      </w:pPr>
    </w:p>
    <w:p>
      <w:pPr>
        <w:spacing w:after="100"/>
      </w:pPr>
      <w:r>
        <w:rPr>
          <w:rFonts w:ascii="Arial" w:cs="Arial" w:eastAsia="Arial" w:hAnsi="Arial"/>
          <w:sz w:val="20"/>
          <w:szCs w:val="20"/>
        </w:rPr>
        <w:t xml:space="preserve">Two of the three build themselves if we run the fund well. The third requires deliberate parallel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single" w:color="1B3A5C" w:sz="3"/>
              <w:right w:val="single" w:color="1B3A5C" w:sz="3"/>
            </w:tcBorders>
            <w:shd w:fill="EDF2F7"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LP pipeline — the one thing that needs deliberate parallel work. </w:t>
            </w:r>
            <w:r>
              <w:rPr>
                <w:rFonts w:ascii="Arial" w:cs="Arial" w:eastAsia="Arial" w:hAnsi="Arial"/>
                <w:color w:val="1B3A5C"/>
                <w:sz w:val="20"/>
                <w:szCs w:val="20"/>
              </w:rPr>
              <w:t xml:space="preserve">LP question: “Who else is in?”</w:t>
            </w:r>
          </w:p>
          <w:p>
            <w:pPr>
              <w:spacing w:after="60"/>
            </w:pPr>
            <w:r>
              <w:rPr>
                <w:rFonts w:ascii="Arial" w:cs="Arial" w:eastAsia="Arial" w:hAnsi="Arial"/>
                <w:color w:val="1B3A5C"/>
                <w:sz w:val="20"/>
                <w:szCs w:val="20"/>
              </w:rPr>
              <w:t xml:space="preserve">No Altum (78% of Fund I). EIF is the anchor strategy (€20M min, Baltic Investment Fund bucket €125M, 50% Baltic focus). 12–18 month cycle — formal engagement Q4 2026, materials ready Q3 2026.</w:t>
            </w:r>
          </w:p>
          <w:p>
            <w:pPr>
              <w:spacing w:after="60"/>
            </w:pPr>
            <w:r>
              <w:rPr>
                <w:rFonts w:ascii="Arial" w:cs="Arial" w:eastAsia="Arial" w:hAnsi="Arial"/>
                <w:color w:val="1B3A5C"/>
                <w:sz w:val="20"/>
                <w:szCs w:val="20"/>
              </w:rPr>
              <w:t xml:space="preserve">Arta runs fundraising operations + Deal Partner program. Jurgis runs investor pipeline infrastructure. GPs do senior LP relationships. Deal Partners (Aiga, Arnis, expand roster) are incentive-driven, low-friction participation.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3"/>
              <w:left w:val="single" w:color="1B3A5C" w:sz="3"/>
              <w:bottom w:val="single" w:color="1B3A5C" w:sz="3"/>
              <w:right w:val="single" w:color="1B3A5C" w:sz="3"/>
            </w:tcBorders>
            <w:shd w:fill="EDF2F7"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Track record + thesis tells a story LPs can repeat. </w:t>
            </w:r>
            <w:r>
              <w:rPr>
                <w:rFonts w:ascii="Arial" w:cs="Arial" w:eastAsia="Arial" w:hAnsi="Arial"/>
                <w:color w:val="1B3A5C"/>
                <w:sz w:val="20"/>
                <w:szCs w:val="20"/>
              </w:rPr>
              <w:t xml:space="preserve">LP question: “Is this real, and what are you betting on?”</w:t>
            </w:r>
          </w:p>
          <w:p>
            <w:pPr>
              <w:spacing w:after="60"/>
            </w:pPr>
            <w:r>
              <w:rPr>
                <w:rFonts w:ascii="Arial" w:cs="Arial" w:eastAsia="Arial" w:hAnsi="Arial"/>
                <w:color w:val="1B3A5C"/>
                <w:sz w:val="20"/>
                <w:szCs w:val="20"/>
              </w:rPr>
              <w:t xml:space="preserve">Fund I TVPI: ~2.8× at 18 months (fund only, conservative). LPs also need to believe in the opportunity — what we’ll be investing in at Fund II scale, not just the historical numbers.</w:t>
            </w:r>
          </w:p>
          <w:p>
            <w:pPr>
              <w:spacing w:after="60"/>
            </w:pPr>
            <w:r>
              <w:rPr>
                <w:rFonts w:ascii="Arial" w:cs="Arial" w:eastAsia="Arial" w:hAnsi="Arial"/>
                <w:color w:val="1B3A5C"/>
                <w:sz w:val="20"/>
                <w:szCs w:val="20"/>
              </w:rPr>
              <w:t xml:space="preserve">Track record scope: fund-only TVPI (~2.8×) is the headline. SPV/syndicate portfolio TVPI prepared separately from Fund I inception — that’s when BADideas started operating properly as a fund. EIF will ask for it.</w:t>
            </w:r>
          </w:p>
          <w:p>
            <w:pPr>
              <w:spacing w:after="60"/>
            </w:pPr>
            <w:r>
              <w:rPr>
                <w:rFonts w:ascii="Arial" w:cs="Arial" w:eastAsia="Arial" w:hAnsi="Arial"/>
                <w:color w:val="1B3A5C"/>
                <w:sz w:val="20"/>
                <w:szCs w:val="20"/>
              </w:rPr>
              <w:t xml:space="preserve">Fund II check size: ~€1M average (vs €250k current). 30 companies, 50% follow-on reserve. Moves BADideas from round participant to round leader.</w:t>
            </w:r>
          </w:p>
        </w:tc>
      </w:tr>
    </w:tbl>
    <w:p>
      <w:pPr>
        <w:pBdr>
          <w:bottom w:val="single" w:color="CCCCCC" w:sz="4" w:space="1"/>
        </w:pBdr>
        <w:spacing w:after="80" w:before="80"/>
      </w:pPr>
    </w:p>
    <w:p>
      <w:r>
        <w:br w:type="page"/>
      </w:r>
    </w:p>
    <w:p>
      <w:pPr>
        <w:pStyle w:val="Heading1"/>
        <w:spacing w:after="120" w:before="240"/>
      </w:pPr>
      <w:r>
        <w:rPr>
          <w:rFonts w:ascii="Arial" w:cs="Arial" w:eastAsia="Arial" w:hAnsi="Arial"/>
          <w:b/>
          <w:bCs/>
          <w:color w:val="1B3A5C"/>
          <w:sz w:val="26"/>
          <w:szCs w:val="26"/>
        </w:rPr>
        <w:t xml:space="preserve">3. Who Owns What — OKR Tree</w:t>
      </w:r>
    </w:p>
    <w:p>
      <w:pPr>
        <w:spacing w:after="100"/>
      </w:pPr>
      <w:r>
        <w:rPr>
          <w:rFonts w:ascii="Arial" w:cs="Arial" w:eastAsia="Arial" w:hAnsi="Arial"/>
          <w:sz w:val="20"/>
          <w:szCs w:val="20"/>
        </w:rPr>
        <w:t xml:space="preserve">TVPI is the top-level number. Each person moves a lever that contributes to it. Single owners where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2000"/>
        <w:gridCol w:w="20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Person</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Owns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Contributes to</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Leading indicator</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Martins</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SEE + PICK. Exceptional founder identification, conviction framework, deal execution. Two-track SEE (broad funnel + Tier 1 direct). Scout program (in progress w/ Ben).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TVPI via deal quality</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SEE: % of fundable rounds in focus we saw. PICK: conviction score &gt;9/10. Pick rate &lt;1%.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Roberts + Suhas + Kārlis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WIN. BADbrain (intelligence layer) + Launchpad (growth model + accountability layer). Suhas owns Launchpad depth, documentation, guardrails. BADbrain scope extends to SEE/PICK agentic tools — sequenced after WIN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TVPI via portfolio acceleration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Milestone hit this week (binary). % portcos raising next round. Avg time to next round.</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Arta</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COO + fundraising program manager + Deal Partner program. Execution cadence, OKRs, weekly meeting format. Precondition: frees capacity via hire + automation.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LP pipeline (Track 2)</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OKRs tracked? DP program active? Fundraising cadence running?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Jurgis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CRM, SPV infrastructure, LP comms. Content/brand: podcast, reels. PR: AI-first sourcing approach is headline material. Role under review — see open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LP pipeline (Track 2) / founder brand (TBC)</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TBC pending role decision.</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Raimonds</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GP. Strategy, Fund II narrative, senior LP relationships. Builder-tinkerer — prototypes, tests, hands-on experiments, hands off.</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(strategic)</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Which project moved this week?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GP. Strategy, urgency, senior LP relationships. Expert incentive design. PICK: IC revamp.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(strategic)</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LP conversations. Strategic inputs.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Deal Partners (Aiga, Arnis, +)</w:t>
            </w:r>
          </w:p>
        </w:tc>
        <w:tc>
          <w:tcPr>
            <w:tcW w:type="dxa" w:w="39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Incentive-driven LP cultivation. Low-friction participation, clear incentives. Managed by Arta’s program.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LP pipeline (Track 2)</w:t>
            </w:r>
          </w:p>
        </w:tc>
        <w:tc>
          <w:tcPr>
            <w:tcW w:type="dxa" w:w="2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333333"/>
                <w:sz w:val="18"/>
                <w:szCs w:val="18"/>
              </w:rPr>
              <w:t xml:space="preserve">Per DP per active deal: # leads introduced, € introduced. Tracks which DPs are performing, not just whether the program exists.</w:t>
            </w:r>
          </w:p>
        </w:tc>
      </w:tr>
    </w:tbl>
    <w:p>
      <w:pPr>
        <w:spacing w:after="120"/>
      </w:pPr>
    </w:p>
    <w:p>
      <w:pPr>
        <w:pStyle w:val="Heading2"/>
        <w:spacing w:after="80" w:before="180"/>
      </w:pPr>
      <w:r>
        <w:rPr>
          <w:rFonts w:ascii="Arial" w:cs="Arial" w:eastAsia="Arial" w:hAnsi="Arial"/>
          <w:b/>
          <w:bCs/>
          <w:color w:val="2E5984"/>
          <w:sz w:val="22"/>
          <w:szCs w:val="22"/>
        </w:rPr>
        <w:t xml:space="preserve">Open decisions</w:t>
      </w:r>
    </w:p>
    <w:p>
      <w:pPr>
        <w:pStyle w:val="ListParagraph"/>
        <w:numPr>
          <w:ilvl w:val="0"/>
          <w:numId w:val="2"/>
        </w:numPr>
        <w:spacing w:after="60"/>
      </w:pPr>
      <w:r>
        <w:rPr>
          <w:rFonts w:ascii="Arial" w:cs="Arial" w:eastAsia="Arial" w:hAnsi="Arial"/>
          <w:b/>
          <w:bCs/>
          <w:sz w:val="20"/>
          <w:szCs w:val="20"/>
        </w:rPr>
        <w:t xml:space="preserve">Scout program design: </w:t>
      </w:r>
      <w:r>
        <w:rPr>
          <w:rFonts w:ascii="Arial" w:cs="Arial" w:eastAsia="Arial" w:hAnsi="Arial"/>
          <w:sz w:val="20"/>
          <w:szCs w:val="20"/>
        </w:rPr>
        <w:t xml:space="preserve">Martins + Ben started. Determine ICP, incentives, tech, size. Martins most likely owner once designed.</w:t>
      </w:r>
    </w:p>
    <w:p>
      <w:pPr>
        <w:pStyle w:val="ListParagraph"/>
        <w:numPr>
          <w:ilvl w:val="0"/>
          <w:numId w:val="2"/>
        </w:numPr>
        <w:spacing w:after="60"/>
      </w:pPr>
      <w:r>
        <w:rPr>
          <w:rFonts w:ascii="Arial" w:cs="Arial" w:eastAsia="Arial" w:hAnsi="Arial"/>
          <w:b/>
          <w:bCs/>
          <w:sz w:val="20"/>
          <w:szCs w:val="20"/>
        </w:rPr>
        <w:t xml:space="preserve">Arta’s capacity unlock: </w:t>
      </w:r>
      <w:r>
        <w:rPr>
          <w:rFonts w:ascii="Arial" w:cs="Arial" w:eastAsia="Arial" w:hAnsi="Arial"/>
          <w:sz w:val="20"/>
          <w:szCs w:val="20"/>
        </w:rPr>
        <w:t xml:space="preserve">Hire + automation. Precondition for fundraising PM role. Plan needed.</w:t>
      </w:r>
    </w:p>
    <w:p>
      <w:pPr>
        <w:pStyle w:val="ListParagraph"/>
        <w:numPr>
          <w:ilvl w:val="0"/>
          <w:numId w:val="2"/>
        </w:numPr>
        <w:spacing w:after="60"/>
      </w:pPr>
      <w:r>
        <w:rPr>
          <w:rFonts w:ascii="Arial" w:cs="Arial" w:eastAsia="Arial" w:hAnsi="Arial"/>
          <w:b/>
          <w:bCs/>
          <w:sz w:val="20"/>
          <w:szCs w:val="20"/>
        </w:rPr>
        <w:t xml:space="preserve">IC revamp: </w:t>
      </w:r>
      <w:r>
        <w:rPr>
          <w:rFonts w:ascii="Arial" w:cs="Arial" w:eastAsia="Arial" w:hAnsi="Arial"/>
          <w:sz w:val="20"/>
          <w:szCs w:val="20"/>
        </w:rPr>
        <w:t xml:space="preserve">Ben + Martins. Separate from scout program.</w:t>
      </w:r>
    </w:p>
    <w:p>
      <w:pPr>
        <w:pStyle w:val="ListParagraph"/>
        <w:numPr>
          <w:ilvl w:val="0"/>
          <w:numId w:val="2"/>
        </w:numPr>
        <w:spacing w:after="60"/>
      </w:pPr>
      <w:r>
        <w:rPr>
          <w:rFonts w:ascii="Arial" w:cs="Arial" w:eastAsia="Arial" w:hAnsi="Arial"/>
          <w:b/>
          <w:bCs/>
          <w:sz w:val="20"/>
          <w:szCs w:val="20"/>
        </w:rPr>
        <w:t xml:space="preserve">Investor pipeline ownership: </w:t>
      </w:r>
      <w:r>
        <w:rPr>
          <w:rFonts w:ascii="Arial" w:cs="Arial" w:eastAsia="Arial" w:hAnsi="Arial"/>
          <w:sz w:val="20"/>
          <w:szCs w:val="20"/>
        </w:rPr>
        <w:t xml:space="preserve">Arta questions whether CRM/SPV infrastructure sits better with her or an ops assistant, freeing Jurgis to own content/PR/brand/events. TBC.</w:t>
      </w:r>
    </w:p>
    <w:p>
      <w:pPr>
        <w:pStyle w:val="ListParagraph"/>
        <w:numPr>
          <w:ilvl w:val="0"/>
          <w:numId w:val="2"/>
        </w:numPr>
        <w:spacing w:after="60"/>
      </w:pPr>
      <w:r>
        <w:rPr>
          <w:rFonts w:ascii="Arial" w:cs="Arial" w:eastAsia="Arial" w:hAnsi="Arial"/>
          <w:b/>
          <w:bCs/>
          <w:sz w:val="20"/>
          <w:szCs w:val="20"/>
        </w:rPr>
        <w:t xml:space="preserve">Jurgis’ role: </w:t>
      </w:r>
      <w:r>
        <w:rPr>
          <w:rFonts w:ascii="Arial" w:cs="Arial" w:eastAsia="Arial" w:hAnsi="Arial"/>
          <w:sz w:val="20"/>
          <w:szCs w:val="20"/>
        </w:rPr>
        <w:t xml:space="preserve">Investor pipeline ops vs. founder-facing PR/brand — these are different jobs. PR/headline-worthy content targets founders; LP pipeline targets investors. Decision needed before KPIs can be set.</w:t>
      </w:r>
    </w:p>
    <w:p>
      <w:pPr>
        <w:spacing w:after="100"/>
      </w:pPr>
    </w:p>
    <w:p>
      <w:pPr>
        <w:spacing w:after="100"/>
      </w:pPr>
      <w:r>
        <w:rPr>
          <w:rFonts w:ascii="Arial" w:cs="Arial" w:eastAsia="Arial" w:hAnsi="Arial"/>
          <w:b/>
          <w:bCs/>
          <w:color w:val="666666"/>
          <w:sz w:val="18"/>
          <w:szCs w:val="18"/>
        </w:rPr>
        <w:t xml:space="preserve">SPVs: </w:t>
      </w:r>
      <w:r>
        <w:rPr>
          <w:rFonts w:ascii="Arial" w:cs="Arial" w:eastAsia="Arial" w:hAnsi="Arial"/>
          <w:color w:val="666666"/>
          <w:sz w:val="18"/>
          <w:szCs w:val="18"/>
        </w:rPr>
        <w:t xml:space="preserve">Pre-Fund II, SPVs build the LP pipeline by bringing prospective LPs into exceptional deals outside Fund I criteria. In Fund II — portco follow-ons, co-investment alongside the fund, and deals outside Fund II criteria.</w:t>
      </w:r>
    </w:p>
    <w:p>
      <w:pPr>
        <w:spacing w:after="100"/>
      </w:pPr>
      <w:r>
        <w:rPr>
          <w:rFonts w:ascii="Arial" w:cs="Arial" w:eastAsia="Arial" w:hAnsi="Arial"/>
          <w:color w:val="666666"/>
          <w:sz w:val="18"/>
          <w:szCs w:val="18"/>
        </w:rPr>
        <w:t xml:space="preserve">Full analysis, research, and reasoning: see </w:t>
      </w:r>
      <w:r>
        <w:rPr>
          <w:rFonts w:ascii="Arial" w:cs="Arial" w:eastAsia="Arial" w:hAnsi="Arial"/>
          <w:i/>
          <w:iCs/>
          <w:color w:val="666666"/>
          <w:sz w:val="18"/>
          <w:szCs w:val="18"/>
        </w:rPr>
        <w:t xml:space="preserve">BADideas Fund II — Strategic Working Document v3</w:t>
      </w:r>
      <w:r>
        <w:rPr>
          <w:rFonts w:ascii="Arial" w:cs="Arial" w:eastAsia="Arial" w:hAnsi="Arial"/>
          <w:color w:val="666666"/>
          <w:sz w:val="18"/>
          <w:szCs w:val="18"/>
        </w:rPr>
        <w:t xml:space="preserve"> in the Strategy Q1 2026 folder.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BADideas  |  CONFIDENTIAL  |  GP/Partner Review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3A5C"/>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2026-03-19T16:08:41.758Z</dcterms:created>
  <dcterms:modified xsi:type="dcterms:W3CDTF">2026-03-19T16:08:41.759Z</dcterms:modified>
</cp:coreProperties>
</file>

<file path=docProps/custom.xml><?xml version="1.0" encoding="utf-8"?>
<Properties xmlns="http://schemas.openxmlformats.org/officeDocument/2006/custom-properties" xmlns:vt="http://schemas.openxmlformats.org/officeDocument/2006/docPropsVTypes"/>
</file>