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uze10tcoccz" w:id="0"/>
      <w:bookmarkEnd w:id="0"/>
      <w:r w:rsidDel="00000000" w:rsidR="00000000" w:rsidRPr="00000000">
        <w:rPr>
          <w:b w:val="1"/>
          <w:bCs w:val="1"/>
          <w:sz w:val="46"/>
          <w:szCs w:val="46"/>
          <w:rtl w:val="0"/>
        </w:rPr>
        <w:t xml:space="preserve">[DRAFT]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de1y71nvr7i" w:id="1"/>
      <w:bookmarkEnd w:id="1"/>
      <w:r w:rsidDel="00000000" w:rsidR="00000000" w:rsidRPr="00000000">
        <w:rPr>
          <w:b w:val="1"/>
          <w:bCs w:val="1"/>
          <w:sz w:val="46"/>
          <w:szCs w:val="46"/>
          <w:rtl w:val="0"/>
        </w:rPr>
        <w:t xml:space="preserve">Q2 2026: Reconciled 1-Year Goal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2026-03-09 </w:t>
      </w:r>
      <w:r w:rsidDel="00000000" w:rsidR="00000000" w:rsidRPr="00000000">
        <w:rPr>
          <w:b w:val="1"/>
          <w:bCs w:val="1"/>
          <w:rtl w:val="0"/>
        </w:rPr>
        <w:t xml:space="preserve">Status:</w:t>
      </w:r>
      <w:r w:rsidDel="00000000" w:rsidR="00000000" w:rsidRPr="00000000">
        <w:rPr>
          <w:rtl w:val="0"/>
        </w:rPr>
        <w:t xml:space="preserve"> DRAFT — for GP alignment, replaces Q2 2026 milestone in Fund II roadmap </w:t>
      </w:r>
      <w:r w:rsidDel="00000000" w:rsidR="00000000" w:rsidRPr="00000000">
        <w:rPr>
          <w:b w:val="1"/>
          <w:bCs w:val="1"/>
          <w:rtl w:val="0"/>
        </w:rPr>
        <w:t xml:space="preserve">Owner:</w:t>
      </w:r>
      <w:r w:rsidDel="00000000" w:rsidR="00000000" w:rsidRPr="00000000">
        <w:rPr>
          <w:rtl w:val="0"/>
        </w:rPr>
        <w:t xml:space="preserve"> Raimonds, Ben </w:t>
      </w:r>
      <w:r w:rsidDel="00000000" w:rsidR="00000000" w:rsidRPr="00000000">
        <w:rPr>
          <w:b w:val="1"/>
          <w:bCs w:val="1"/>
          <w:rtl w:val="0"/>
        </w:rPr>
        <w:t xml:space="preserve">BADbrain owner:</w:t>
      </w:r>
      <w:r w:rsidDel="00000000" w:rsidR="00000000" w:rsidRPr="00000000">
        <w:rPr>
          <w:rtl w:val="0"/>
        </w:rPr>
        <w:t xml:space="preserve"> Roberts </w:t>
      </w:r>
      <w:r w:rsidDel="00000000" w:rsidR="00000000" w:rsidRPr="00000000">
        <w:rPr>
          <w:b w:val="1"/>
          <w:bCs w:val="1"/>
          <w:rtl w:val="0"/>
        </w:rPr>
        <w:t xml:space="preserve">Revisit trigger:</w:t>
      </w:r>
      <w:r w:rsidDel="00000000" w:rsidR="00000000" w:rsidRPr="00000000">
        <w:rPr>
          <w:rtl w:val="0"/>
        </w:rPr>
        <w:t xml:space="preserve"> Material change to BADbrain build timeline or WIN pilot outcomes </w:t>
      </w:r>
      <w:r w:rsidDel="00000000" w:rsidR="00000000" w:rsidRPr="00000000">
        <w:rPr>
          <w:b w:val="1"/>
          <w:bCs w:val="1"/>
          <w:rtl w:val="0"/>
        </w:rPr>
        <w:t xml:space="preserve">Homework deadline:</w:t>
      </w:r>
      <w:r w:rsidDel="00000000" w:rsidR="00000000" w:rsidRPr="00000000">
        <w:rPr>
          <w:rtl w:val="0"/>
        </w:rPr>
        <w:t xml:space="preserve"> March 23,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ftu3udmm1hr" w:id="2"/>
      <w:bookmarkEnd w:id="2"/>
      <w:r w:rsidDel="00000000" w:rsidR="00000000" w:rsidRPr="00000000">
        <w:rPr>
          <w:b w:val="1"/>
          <w:bCs w:val="1"/>
          <w:sz w:val="34"/>
          <w:szCs w:val="34"/>
          <w:rtl w:val="0"/>
        </w:rPr>
        <w:t xml:space="preserve">What this kills</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Community member count (250→325) is removed as a Q2 2026 priority metric. It is a background indicator, not a filter for task prioritization.</w:t>
      </w:r>
    </w:p>
    <w:p w:rsidR="00000000" w:rsidDel="00000000" w:rsidP="00000000" w:rsidRDefault="00000000" w:rsidRPr="00000000" w14:paraId="00000007">
      <w:pPr>
        <w:spacing w:after="240" w:before="240" w:lineRule="auto"/>
        <w:rPr/>
      </w:pPr>
      <w:r w:rsidDel="00000000" w:rsidR="00000000" w:rsidRPr="00000000">
        <w:rPr>
          <w:rtl w:val="0"/>
        </w:rPr>
        <w:t xml:space="preserve">Scandinavia is deferred. No credible local partner exists, no deal flow exists. Revisit Q4 2026. Any task pointing at Scandinavia before then is deprioritized without GP exception.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n1fnq58el9y" w:id="3"/>
      <w:bookmarkEnd w:id="3"/>
      <w:r w:rsidDel="00000000" w:rsidR="00000000" w:rsidRPr="00000000">
        <w:rPr>
          <w:b w:val="1"/>
          <w:bCs w:val="1"/>
          <w:sz w:val="34"/>
          <w:szCs w:val="34"/>
          <w:rtl w:val="0"/>
        </w:rPr>
        <w:t xml:space="preserve">Context</w:t>
      </w:r>
    </w:p>
    <w:p w:rsidR="00000000" w:rsidDel="00000000" w:rsidP="00000000" w:rsidRDefault="00000000" w:rsidRPr="00000000" w14:paraId="0000000A">
      <w:pPr>
        <w:spacing w:after="240" w:before="240" w:lineRule="auto"/>
        <w:rPr/>
      </w:pPr>
      <w:r w:rsidDel="00000000" w:rsidR="00000000" w:rsidRPr="00000000">
        <w:rPr>
          <w:rtl w:val="0"/>
        </w:rPr>
        <w:t xml:space="preserve">The Fund II roadmap Q2 2026 milestone was written before the March 6 strategy session. This memo replaces it as the operative 1-year goal. New principle: every homework item and task from March 6 gets filtered against it. If a task doesn't move one of the proof points below, it is not a priority now.</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le3mh9qbtyf" w:id="4"/>
      <w:bookmarkEnd w:id="4"/>
      <w:r w:rsidDel="00000000" w:rsidR="00000000" w:rsidRPr="00000000">
        <w:rPr>
          <w:b w:val="1"/>
          <w:bCs w:val="1"/>
          <w:sz w:val="34"/>
          <w:szCs w:val="34"/>
          <w:rtl w:val="0"/>
        </w:rPr>
        <w:t xml:space="preserve">Q2 2026 Goal</w:t>
      </w:r>
    </w:p>
    <w:p w:rsidR="00000000" w:rsidDel="00000000" w:rsidP="00000000" w:rsidRDefault="00000000" w:rsidRPr="00000000" w14:paraId="0000000D">
      <w:pPr>
        <w:spacing w:after="240" w:before="240" w:lineRule="auto"/>
        <w:rPr/>
      </w:pPr>
      <w:r w:rsidDel="00000000" w:rsidR="00000000" w:rsidRPr="00000000">
        <w:rPr>
          <w:rtl w:val="0"/>
        </w:rPr>
        <w:t xml:space="preserve">By Q2 2026, BADideas has demonstrated that the WIN system operates as a repeatable process across a defined pilot cohort, and has a named Fund II LP pipeline in active conversation.</w:t>
      </w:r>
    </w:p>
    <w:p w:rsidR="00000000" w:rsidDel="00000000" w:rsidP="00000000" w:rsidRDefault="00000000" w:rsidRPr="00000000" w14:paraId="0000000E">
      <w:pPr>
        <w:spacing w:after="240" w:before="240" w:lineRule="auto"/>
        <w:rPr/>
      </w:pPr>
      <w:r w:rsidDel="00000000" w:rsidR="00000000" w:rsidRPr="00000000">
        <w:rPr>
          <w:rtl w:val="0"/>
        </w:rPr>
        <w:t xml:space="preserve">Repeatable is defined as: at least 2 intervention cycles completed where BADbrain flagged a specific lever deviation, an expert engagement followed within [5] business days, and the flagged lever recovered within the subsequent [30]-day period. Time-to-intervention is logged for each cycle and compared against the pre-BADbrain baseline of partner-reactive identification.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62meg695gos" w:id="5"/>
      <w:bookmarkEnd w:id="5"/>
      <w:r w:rsidDel="00000000" w:rsidR="00000000" w:rsidRPr="00000000">
        <w:rPr>
          <w:b w:val="1"/>
          <w:bCs w:val="1"/>
          <w:sz w:val="34"/>
          <w:szCs w:val="34"/>
          <w:rtl w:val="0"/>
        </w:rPr>
        <w:t xml:space="preserve">Proof points</w:t>
      </w:r>
    </w:p>
    <w:p w:rsidR="00000000" w:rsidDel="00000000" w:rsidP="00000000" w:rsidRDefault="00000000" w:rsidRPr="00000000" w14:paraId="00000011">
      <w:pPr>
        <w:spacing w:after="240" w:before="240" w:lineRule="auto"/>
        <w:rPr>
          <w:b w:val="1"/>
          <w:bCs w:val="1"/>
          <w:shd w:fill="fff2cc" w:val="clear"/>
        </w:rPr>
      </w:pPr>
      <w:commentRangeStart w:id="0"/>
      <w:commentRangeStart w:id="1"/>
      <w:commentRangeStart w:id="2"/>
      <w:r w:rsidDel="00000000" w:rsidR="00000000" w:rsidRPr="00000000">
        <w:rPr>
          <w:b w:val="1"/>
          <w:bCs w:val="1"/>
          <w:shd w:fill="fff2cc" w:val="clear"/>
          <w:rtl w:val="0"/>
        </w:rPr>
        <w:t xml:space="preserve">1. SEE &amp; PICK ? -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1. </w:t>
      </w:r>
      <w:r w:rsidDel="00000000" w:rsidR="00000000" w:rsidRPr="00000000">
        <w:rPr>
          <w:b w:val="1"/>
          <w:bCs w:val="1"/>
          <w:rtl w:val="0"/>
        </w:rPr>
        <w:t xml:space="preserve">WIN pilot </w:t>
      </w:r>
      <w:r w:rsidDel="00000000" w:rsidR="00000000" w:rsidRPr="00000000">
        <w:rPr>
          <w:b w:val="1"/>
          <w:bCs w:val="1"/>
          <w:rtl w:val="0"/>
        </w:rPr>
        <w:t xml:space="preserve">— 6–8 portcos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1.1. Every portco we actively engage should have growth model, and founder’s commitment to implement the documented plan. System must ensure founders submit their data at least on monthly basis.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1.2. Select a few with where GTM intervention materially affects Series A timeline, and expose them GTM experts.</w:t>
      </w:r>
    </w:p>
    <w:p w:rsidR="00000000" w:rsidDel="00000000" w:rsidP="00000000" w:rsidRDefault="00000000" w:rsidRPr="00000000" w14:paraId="00000015">
      <w:pPr>
        <w:spacing w:after="240" w:before="240" w:lineRule="auto"/>
        <w:rPr/>
      </w:pPr>
      <w:r w:rsidDel="00000000" w:rsidR="00000000" w:rsidRPr="00000000">
        <w:rPr>
          <w:rtl w:val="0"/>
        </w:rPr>
        <w:t xml:space="preserve">Six to eight portcos selected for the WIN pilot. Selection criteria: companies at a stage where GTM intervention materially affects Series A timeline. Suhas, GPs, Roberts select the cohort before [date].</w:t>
      </w:r>
    </w:p>
    <w:p w:rsidR="00000000" w:rsidDel="00000000" w:rsidP="00000000" w:rsidRDefault="00000000" w:rsidRPr="00000000" w14:paraId="00000016">
      <w:pPr>
        <w:spacing w:after="240" w:before="240" w:lineRule="auto"/>
        <w:rPr/>
      </w:pPr>
      <w:r w:rsidDel="00000000" w:rsidR="00000000" w:rsidRPr="00000000">
        <w:rPr>
          <w:rtl w:val="0"/>
        </w:rPr>
        <w:t xml:space="preserve">For each pilot portco:</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Growth model defined: destination, month-on-month trajectory, 3–5 levers, leading indicators.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BADbrain live. Live means: growth model loaded, deviations tracked automatically, structured diagnostic produced. </w:t>
      </w:r>
      <w:r w:rsidDel="00000000" w:rsidR="00000000" w:rsidRPr="00000000">
        <w:rPr>
          <w:rtl w:val="0"/>
        </w:rPr>
        <w:t xml:space="preserve">At least 2 full intervention </w:t>
      </w:r>
      <w:r w:rsidDel="00000000" w:rsidR="00000000" w:rsidRPr="00000000">
        <w:rPr>
          <w:rFonts w:ascii="Arial Unicode MS" w:cs="Arial Unicode MS" w:eastAsia="Arial Unicode MS" w:hAnsi="Arial Unicode MS"/>
          <w:rtl w:val="0"/>
        </w:rPr>
        <w:t xml:space="preserve">cycles logged across the cohort: BADbrain flags drift → diagnosis produced → GTM expert engaged → </w:t>
      </w:r>
      <w:r w:rsidDel="00000000" w:rsidR="00000000" w:rsidRPr="00000000">
        <w:rPr>
          <w:rtl w:val="0"/>
        </w:rPr>
        <w:t xml:space="preserve">outcome measured</w:t>
      </w:r>
      <w:r w:rsidDel="00000000" w:rsidR="00000000" w:rsidRPr="00000000">
        <w:rPr>
          <w:rtl w:val="0"/>
        </w:rPr>
        <w:t xml:space="preserve">. These two cycles are the Fund II proof point. Without them the WIN story is a slide deck.</w:t>
      </w:r>
    </w:p>
    <w:p w:rsidR="00000000" w:rsidDel="00000000" w:rsidP="00000000" w:rsidRDefault="00000000" w:rsidRPr="00000000" w14:paraId="00000019">
      <w:pPr>
        <w:numPr>
          <w:ilvl w:val="1"/>
          <w:numId w:val="1"/>
        </w:numPr>
        <w:spacing w:after="0" w:afterAutospacing="0" w:before="0" w:beforeAutospacing="0" w:lineRule="auto"/>
        <w:ind w:left="1440" w:hanging="360"/>
        <w:rPr>
          <w:u w:val="none"/>
        </w:rPr>
      </w:pPr>
      <w:r w:rsidDel="00000000" w:rsidR="00000000" w:rsidRPr="00000000">
        <w:rPr>
          <w:rFonts w:ascii="Roboto" w:cs="Roboto" w:eastAsia="Roboto" w:hAnsi="Roboto"/>
          <w:color w:val="444746"/>
          <w:sz w:val="21"/>
          <w:szCs w:val="21"/>
          <w:highlight w:val="white"/>
          <w:rtl w:val="0"/>
        </w:rPr>
        <w:t xml:space="preserve">Interventions should be 100% for all cases when meaningful drift is identified for subset of portcos we select. If there is no drift, by design no intervention can be made, while if there is, we should intervene always. The only thing that then can limit us is whether we have the right GTM expert to pair the company with but that is a consideration we can control for when selecting the subset of portcos.</w:t>
      </w:r>
    </w:p>
    <w:p w:rsidR="00000000" w:rsidDel="00000000" w:rsidP="00000000" w:rsidRDefault="00000000" w:rsidRPr="00000000" w14:paraId="0000001A">
      <w:pPr>
        <w:numPr>
          <w:ilvl w:val="1"/>
          <w:numId w:val="1"/>
        </w:numPr>
        <w:spacing w:after="240" w:before="0" w:beforeAutospacing="0" w:lineRule="auto"/>
        <w:ind w:left="1440" w:hanging="360"/>
        <w:rPr>
          <w:rFonts w:ascii="Roboto" w:cs="Roboto" w:eastAsia="Roboto" w:hAnsi="Roboto"/>
          <w:color w:val="444746"/>
          <w:sz w:val="21"/>
          <w:szCs w:val="21"/>
          <w:highlight w:val="white"/>
          <w:u w:val="none"/>
        </w:rPr>
      </w:pPr>
      <w:r w:rsidDel="00000000" w:rsidR="00000000" w:rsidRPr="00000000">
        <w:rPr>
          <w:rFonts w:ascii="Roboto" w:cs="Roboto" w:eastAsia="Roboto" w:hAnsi="Roboto"/>
          <w:color w:val="444746"/>
          <w:sz w:val="21"/>
          <w:szCs w:val="21"/>
          <w:highlight w:val="white"/>
          <w:rtl w:val="0"/>
        </w:rPr>
        <w:t xml:space="preserve">The success is not only to measure outcome, the success criteria should be that intervention had a positive impact. We should think what the success criteria is. On positive drift it's easier - revise the plan and if the company sticks or exceeds the new targets, we have shortened time to series A. If the drift has been negative, we still might need to revise the plan but if the company sticks or exceeds the new plan, it still is the positive outcome - the time to series A might have been prolonged as opposed to original plan but the drift is not widening and we have contained the problem.</w:t>
      </w:r>
    </w:p>
    <w:p w:rsidR="00000000" w:rsidDel="00000000" w:rsidP="00000000" w:rsidRDefault="00000000" w:rsidRPr="00000000" w14:paraId="0000001B">
      <w:pPr>
        <w:spacing w:after="240" w:before="240" w:lineRule="auto"/>
        <w:rPr/>
      </w:pPr>
      <w:r w:rsidDel="00000000" w:rsidR="00000000" w:rsidRPr="00000000">
        <w:rPr>
          <w:rtl w:val="0"/>
        </w:rPr>
        <w:t xml:space="preserve">Launchpad mandatory post-investment </w:t>
      </w:r>
      <w:r w:rsidDel="00000000" w:rsidR="00000000" w:rsidRPr="00000000">
        <w:rPr>
          <w:rtl w:val="0"/>
        </w:rPr>
        <w:t xml:space="preserve">from this point forward. [to discuss: are we ready to lose tier 1 deals like Lumos if founders don't opt into Launchpad? To decide: do portcos need to pay for Launchpad or not. </w:t>
      </w:r>
      <w:r w:rsidDel="00000000" w:rsidR="00000000" w:rsidRPr="00000000">
        <w:rPr>
          <w:rtl w:val="0"/>
        </w:rPr>
        <w:t xml:space="preserve">GP thesis paragraph written at IC, handed to Launchpad on day one of investment, and recorded into database [Martins].</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Sequencing dependency: 2 full intervention cycles by Q2 2026 requires BADbrain live in the first pilot portcos by end of April at the latest. Roberts owns this timeline. Any slip past April makes 2 cycles by Q2 unlikely.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2. BADbrain architecture prerequisites — Roberts owns, complete before pilot launch</w:t>
      </w:r>
    </w:p>
    <w:p w:rsidR="00000000" w:rsidDel="00000000" w:rsidP="00000000" w:rsidRDefault="00000000" w:rsidRPr="00000000" w14:paraId="0000001E">
      <w:pPr>
        <w:spacing w:after="240" w:before="240" w:lineRule="auto"/>
        <w:rPr/>
      </w:pPr>
      <w:r w:rsidDel="00000000" w:rsidR="00000000" w:rsidRPr="00000000">
        <w:rPr>
          <w:rtl w:val="0"/>
        </w:rPr>
        <w:t xml:space="preserve">Before the pilot launches, the core architecture must be documented in Github that govern how BADbrain ingests data, maintains context across intervention cycles, and determines when a portco exits the active loop. Documentation must cover how BADbrain controls for outcomes to support Fund II proof points (reducing time to Series A) and how the system perpetually optimises on that metric (compounding engine).</w:t>
      </w:r>
    </w:p>
    <w:p w:rsidR="00000000" w:rsidDel="00000000" w:rsidP="00000000" w:rsidRDefault="00000000" w:rsidRPr="00000000" w14:paraId="0000001F">
      <w:pPr>
        <w:spacing w:after="240" w:before="240" w:lineRule="auto"/>
        <w:rPr/>
      </w:pPr>
      <w:r w:rsidDel="00000000" w:rsidR="00000000" w:rsidRPr="00000000">
        <w:rPr>
          <w:rtl w:val="0"/>
        </w:rPr>
        <w:t xml:space="preserve">Roberts owns both the decisions and the documentation. GPs review before pilot launch — not to approve the technical choices, but to confirm the decisions are made and the system is built against them rather than improvised during the pilot.</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GTM expert engagement model — Roberts proposes, GPs approve by April 12</w:t>
      </w:r>
    </w:p>
    <w:p w:rsidR="00000000" w:rsidDel="00000000" w:rsidP="00000000" w:rsidRDefault="00000000" w:rsidRPr="00000000" w14:paraId="00000022">
      <w:pPr>
        <w:spacing w:after="240" w:before="240" w:lineRule="auto"/>
        <w:rPr/>
      </w:pPr>
      <w:r w:rsidDel="00000000" w:rsidR="00000000" w:rsidRPr="00000000">
        <w:rPr>
          <w:rtl w:val="0"/>
        </w:rPr>
        <w:t xml:space="preserve">The intervention loop names "GTM expert engaged" as a step but the engagement model is undefined. Roberts to propose before the pilot launches: how many experts are needed for the 6–8 pilot portcos, what motion types they cover (at minimum: outbound enterprise, PLG, marketplace/channel), briefing protocol, and incentive structure.</w:t>
      </w:r>
    </w:p>
    <w:p w:rsidR="00000000" w:rsidDel="00000000" w:rsidP="00000000" w:rsidRDefault="00000000" w:rsidRPr="00000000" w14:paraId="00000023">
      <w:pPr>
        <w:spacing w:after="240" w:before="240" w:lineRule="auto"/>
        <w:rPr/>
      </w:pPr>
      <w:r w:rsidDel="00000000" w:rsidR="00000000" w:rsidRPr="00000000">
        <w:rPr>
          <w:rtl w:val="0"/>
        </w:rPr>
        <w:t xml:space="preserve">BADbrain carries the portco context — growth model, intervention history, current hypothesis — into each expert engagement. The expert's role is not primary research or context assembly. It is to stress-test BADbrain's diagnosis, apply pattern recognition from outside the portfolio, and validate or reframe the proposed action plan. For example - a 20-minute conversation where BADbrain briefs and the expert challenges is the expected engagement format, not a 5-hour async mission.</w:t>
      </w:r>
    </w:p>
    <w:p w:rsidR="00000000" w:rsidDel="00000000" w:rsidP="00000000" w:rsidRDefault="00000000" w:rsidRPr="00000000" w14:paraId="00000024">
      <w:pPr>
        <w:spacing w:after="240" w:before="240" w:lineRule="auto"/>
        <w:rPr/>
      </w:pPr>
      <w:r w:rsidDel="00000000" w:rsidR="00000000" w:rsidRPr="00000000">
        <w:rPr>
          <w:rtl w:val="0"/>
        </w:rPr>
        <w:t xml:space="preserve">The ask is not like it would have been prior to LLMs. The expert contributes judgment, not time. The incentive structure follows from that: the pitch is access to a curated set of hard GTM problems at seed stage, peer-level dialogue with a system that already has a hypothesis worth challenging, and carry as the retention mechanism once engaged. The expert pool should be selected for judgment the system cannot replicate — people who have seen specific failure modes at scale — not for availability or willingness to do execution work.</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4. Fund II LP pipeline</w:t>
      </w:r>
    </w:p>
    <w:p w:rsidR="00000000" w:rsidDel="00000000" w:rsidP="00000000" w:rsidRDefault="00000000" w:rsidRPr="00000000" w14:paraId="00000026">
      <w:pPr>
        <w:spacing w:after="240" w:before="240" w:lineRule="auto"/>
        <w:rPr/>
      </w:pPr>
      <w:r w:rsidDel="00000000" w:rsidR="00000000" w:rsidRPr="00000000">
        <w:rPr>
          <w:rtl w:val="0"/>
        </w:rPr>
        <w:t xml:space="preserve">Without a Fund II pipeline, WIN has no second act.</w:t>
      </w:r>
    </w:p>
    <w:p w:rsidR="00000000" w:rsidDel="00000000" w:rsidP="00000000" w:rsidRDefault="00000000" w:rsidRPr="00000000" w14:paraId="00000027">
      <w:pPr>
        <w:spacing w:after="240" w:before="240" w:lineRule="auto"/>
        <w:rPr/>
      </w:pPr>
      <w:r w:rsidDel="00000000" w:rsidR="00000000" w:rsidRPr="00000000">
        <w:rPr>
          <w:rtl w:val="0"/>
        </w:rPr>
        <w:t xml:space="preserve">By Q2 2026: 15–20 target LPs identified by name and ticket size. Of those, at least 10 have both participated in an SPV and had a direct Fund II conversation with a GP. Participation without conversation does not count.</w:t>
      </w:r>
    </w:p>
    <w:p w:rsidR="00000000" w:rsidDel="00000000" w:rsidP="00000000" w:rsidRDefault="00000000" w:rsidRPr="00000000" w14:paraId="00000028">
      <w:pPr>
        <w:spacing w:after="240" w:before="240" w:lineRule="auto"/>
        <w:rPr/>
      </w:pPr>
      <w:r w:rsidDel="00000000" w:rsidR="00000000" w:rsidRPr="00000000">
        <w:rPr>
          <w:rtl w:val="0"/>
        </w:rPr>
        <w:t xml:space="preserve">Aiga and deal partners working the €50k+ ticket list from March 23 onward. SPV investor register audited against Fund II likelihood before the next SPV launch.</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5. Positioning and team alignment</w:t>
      </w:r>
    </w:p>
    <w:p w:rsidR="00000000" w:rsidDel="00000000" w:rsidP="00000000" w:rsidRDefault="00000000" w:rsidRPr="00000000" w14:paraId="0000002A">
      <w:pPr>
        <w:spacing w:after="240" w:before="240" w:lineRule="auto"/>
        <w:rPr/>
      </w:pPr>
      <w:r w:rsidDel="00000000" w:rsidR="00000000" w:rsidRPr="00000000">
        <w:rPr>
          <w:rtl w:val="0"/>
        </w:rPr>
        <w:t xml:space="preserve">External positioning locked by GPs by [March 28]. </w:t>
      </w:r>
      <w:r w:rsidDel="00000000" w:rsidR="00000000" w:rsidRPr="00000000">
        <w:rPr>
          <w:rtl w:val="0"/>
        </w:rPr>
        <w:t xml:space="preserve">Tested at Tech Chill late March.</w:t>
      </w:r>
      <w:r w:rsidDel="00000000" w:rsidR="00000000" w:rsidRPr="00000000">
        <w:rPr>
          <w:rtl w:val="0"/>
        </w:rPr>
        <w:t xml:space="preserve"> [Owner: Jurģis]</w:t>
      </w:r>
    </w:p>
    <w:p w:rsidR="00000000" w:rsidDel="00000000" w:rsidP="00000000" w:rsidRDefault="00000000" w:rsidRPr="00000000" w14:paraId="0000002B">
      <w:pPr>
        <w:spacing w:after="240" w:before="240" w:lineRule="auto"/>
        <w:rPr/>
      </w:pPr>
      <w:r w:rsidDel="00000000" w:rsidR="00000000" w:rsidRPr="00000000">
        <w:rPr>
          <w:rtl w:val="0"/>
        </w:rPr>
        <w:t xml:space="preserve">Transition communication to the 250 sent before the next SPV launch. New structure — GTM operators, scouts, SPV investors — defined and communicated internally by April 12.</w:t>
      </w:r>
    </w:p>
    <w:p w:rsidR="00000000" w:rsidDel="00000000" w:rsidP="00000000" w:rsidRDefault="00000000" w:rsidRPr="00000000" w14:paraId="0000002C">
      <w:pPr>
        <w:spacing w:after="240" w:before="240" w:lineRule="auto"/>
        <w:rPr/>
      </w:pPr>
      <w:r w:rsidDel="00000000" w:rsidR="00000000" w:rsidRPr="00000000">
        <w:rPr>
          <w:rtl w:val="0"/>
        </w:rPr>
        <w:t xml:space="preserve">All March 6 homework submitted by [date]. Each item reviewed against this goal before execution begins. Items that don't map to a proof point above are parked, not cancelled.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7051b4lpzt9w" w:id="6"/>
      <w:bookmarkEnd w:id="6"/>
      <w:r w:rsidDel="00000000" w:rsidR="00000000" w:rsidRPr="00000000">
        <w:rPr>
          <w:b w:val="1"/>
          <w:bCs w:val="1"/>
          <w:sz w:val="34"/>
          <w:szCs w:val="34"/>
          <w:rtl w:val="0"/>
        </w:rPr>
        <w:t xml:space="preserve">What this changes from the prior roadmap</w:t>
      </w:r>
    </w:p>
    <w:p w:rsidR="00000000" w:rsidDel="00000000" w:rsidP="00000000" w:rsidRDefault="00000000" w:rsidRPr="00000000" w14:paraId="0000002F">
      <w:pPr>
        <w:spacing w:after="240" w:before="240" w:lineRule="auto"/>
        <w:rPr/>
      </w:pPr>
      <w:r w:rsidDel="00000000" w:rsidR="00000000" w:rsidRPr="00000000">
        <w:rPr>
          <w:rtl w:val="0"/>
        </w:rPr>
        <w:t xml:space="preserve">The prior milestone measured community scale and Scandinavia acquisition. Both retired as Q2 priorities. BADbrain "live in 50% of portcos" is carried forward but redefined — prior milestone had no definition of live. Vanity deployment does not count.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imonds Kulbergs" w:id="0" w:date="2026-03-11T19:35:24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@b@badideas.fund  do we need something on this?</w:t>
      </w:r>
    </w:p>
  </w:comment>
  <w:comment w:author="Ben Leblois" w:id="1" w:date="2026-03-11T21:46:47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 pilot scouts onboarded.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Validated, with at least 2 deals done via scouts</w:t>
      </w:r>
    </w:p>
  </w:comment>
  <w:comment w:author="Roberts Bernāns" w:id="2" w:date="2026-03-13T04:25:47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PICK I would suggest to have at least a roadmap level item for filtering out exceptional founders (it doesn't need to be greate by end of Q2, but it should be part of process already)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