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40"/>
          <w:szCs w:val="40"/>
          <w:rtl w:val="0"/>
        </w:rPr>
        <w:t xml:space="preserve">BADbrain WIN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sz w:val="32"/>
          <w:szCs w:val="32"/>
          <w:rtl w:val="0"/>
        </w:rPr>
        <w:t xml:space="preserve">GTM Expert Engagement Model</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color w:val="666666"/>
          <w:sz w:val="20"/>
          <w:szCs w:val="20"/>
          <w:rtl w:val="0"/>
        </w:rPr>
        <w:t xml:space="preserve">v0.6 · Working draft · Internal</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Context &amp; Design Principless</w:t>
      </w:r>
    </w:p>
    <w:p w:rsidR="00000000" w:rsidDel="00000000" w:rsidP="00000000" w:rsidRDefault="00000000" w:rsidRPr="00000000" w14:paraId="00000005">
      <w:pPr>
        <w:pStyle w:val="Heading2"/>
        <w:rPr/>
      </w:pPr>
      <w:r w:rsidDel="00000000" w:rsidR="00000000" w:rsidRPr="00000000">
        <w:rPr>
          <w:rtl w:val="0"/>
        </w:rPr>
        <w:t xml:space="preserve">1.1 What this document covers</w:t>
      </w:r>
    </w:p>
    <w:p w:rsidR="00000000" w:rsidDel="00000000" w:rsidP="00000000" w:rsidRDefault="00000000" w:rsidRPr="00000000" w14:paraId="00000006">
      <w:pPr>
        <w:spacing w:after="120" w:lineRule="auto"/>
        <w:rPr/>
      </w:pPr>
      <w:r w:rsidDel="00000000" w:rsidR="00000000" w:rsidRPr="00000000">
        <w:rPr>
          <w:rtl w:val="0"/>
        </w:rPr>
        <w:t xml:space="preserve">This document defines the GTM expert engagement model for the BADbrain WIN system pilot. It covers: how we select experts, how we brief them, how they engage, incentive structure, and open questions to resolve before launch.</w:t>
      </w:r>
    </w:p>
    <w:p w:rsidR="00000000" w:rsidDel="00000000" w:rsidP="00000000" w:rsidRDefault="00000000" w:rsidRPr="00000000" w14:paraId="00000007">
      <w:pPr>
        <w:pStyle w:val="Heading2"/>
        <w:rPr/>
      </w:pPr>
      <w:r w:rsidDel="00000000" w:rsidR="00000000" w:rsidRPr="00000000">
        <w:rPr>
          <w:rtl w:val="0"/>
        </w:rPr>
        <w:t xml:space="preserve">1.2 The operating premise</w:t>
      </w:r>
    </w:p>
    <w:p w:rsidR="00000000" w:rsidDel="00000000" w:rsidP="00000000" w:rsidRDefault="00000000" w:rsidRPr="00000000" w14:paraId="00000008">
      <w:pPr>
        <w:spacing w:after="120" w:lineRule="auto"/>
        <w:rPr/>
      </w:pPr>
      <w:r w:rsidDel="00000000" w:rsidR="00000000" w:rsidRPr="00000000">
        <w:rPr>
          <w:rtl w:val="0"/>
        </w:rPr>
        <w:t xml:space="preserve">BADbrain’s role ends at diagnosis. It carries the portco context — growth model, intervention history, current hypothesis — into each expert engagement and presents a structured information package: what the company does, where it is on its trajectory, what drifted, and what BADbrain thinks the root cause is.</w:t>
      </w:r>
    </w:p>
    <w:p w:rsidR="00000000" w:rsidDel="00000000" w:rsidP="00000000" w:rsidRDefault="00000000" w:rsidRPr="00000000" w14:paraId="00000009">
      <w:pPr>
        <w:spacing w:after="120" w:lineRule="auto"/>
        <w:rPr>
          <w:shd w:fill="fff2cc" w:val="clear"/>
        </w:rPr>
      </w:pPr>
      <w:r w:rsidDel="00000000" w:rsidR="00000000" w:rsidRPr="00000000">
        <w:rPr>
          <w:rtl w:val="0"/>
        </w:rPr>
        <w:t xml:space="preserve">The expert’s role starts where BADbrain’s ends. The expert validates or reframes the diagnosis, then proposes an action plan. In this iteration, BADbrain does not produce plans; experts do. In future iterations, BADbrain will propose draft action plans that experts validate and edit — this is how the system learns to become prescriptive over time.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The expert’s job does not end at the plan. The purpose of having experts in the system is to help the company implement the plan — whether that means making introductions to the right specialists, reviewing scripts, redesigning a process, or doing whatever hands-on work it takes to get the plan executed. Diagnosis and planning are the entry point; implementation support is where the value is delivered.</w:t>
      </w:r>
    </w:p>
    <w:p w:rsidR="00000000" w:rsidDel="00000000" w:rsidP="00000000" w:rsidRDefault="00000000" w:rsidRPr="00000000" w14:paraId="0000000C">
      <w:pPr>
        <w:spacing w:after="120" w:lineRule="auto"/>
        <w:rPr/>
      </w:pPr>
      <w:r w:rsidDel="00000000" w:rsidR="00000000" w:rsidRPr="00000000">
        <w:rPr>
          <w:rtl w:val="0"/>
        </w:rPr>
        <w:t xml:space="preserve">The expected time investment for the initial engagement — reviewing the diagnosis, challenging it, and proposing a plan — is approximately 20 minutes. This is the heaviest single interaction. After that, the expert stays involved as the company executes: follow-up interactions are shorter, often managed through Marv, and decrease in intensity over time as the company gains traction on the plan. The first interaction is the longest; everything after it should be lighter.</w:t>
      </w:r>
    </w:p>
    <w:p w:rsidR="00000000" w:rsidDel="00000000" w:rsidP="00000000" w:rsidRDefault="00000000" w:rsidRPr="00000000" w14:paraId="0000000D">
      <w:pPr>
        <w:spacing w:after="120" w:lineRule="auto"/>
        <w:rPr/>
      </w:pPr>
      <w:r w:rsidDel="00000000" w:rsidR="00000000" w:rsidRPr="00000000">
        <w:rPr>
          <w:rtl w:val="0"/>
        </w:rPr>
        <w:t xml:space="preserve">For onboarding, the first expert interactions should include a partner (Suhas or GP) on the call alongside Marv and the expert. This lets the expert see how the system works in a supported environment before engaging independently. Once comfortable, the expert transitions to async engagement with Marv directly. The format for how the expert then engages with the founder — whether async through Marv, a direct call, or a combination — is not prescribed. What matters is the output, not the format.</w:t>
      </w:r>
    </w:p>
    <w:p w:rsidR="00000000" w:rsidDel="00000000" w:rsidP="00000000" w:rsidRDefault="00000000" w:rsidRPr="00000000" w14:paraId="0000000E">
      <w:pPr>
        <w:spacing w:after="120" w:lineRule="auto"/>
        <w:rPr/>
      </w:pPr>
      <w:r w:rsidDel="00000000" w:rsidR="00000000" w:rsidRPr="00000000">
        <w:rPr>
          <w:rtl w:val="0"/>
        </w:rPr>
        <w:t xml:space="preserve">We do not require experts to pre-book time. They engage when they see fit. The friction should be low enough that an expert can do this on a commute, in 20 minutes between meetings, or whenever they have a window during the week. This is deliberate: senior operators are busy, and the model works only if engagement fits around their schedule, not the other way around.</w:t>
      </w:r>
    </w:p>
    <w:p w:rsidR="00000000" w:rsidDel="00000000" w:rsidP="00000000" w:rsidRDefault="00000000" w:rsidRPr="00000000" w14:paraId="0000000F">
      <w:pPr>
        <w:spacing w:after="120" w:lineRule="auto"/>
        <w:rPr/>
      </w:pPr>
      <w:r w:rsidDel="00000000" w:rsidR="00000000" w:rsidRPr="00000000">
        <w:rPr>
          <w:rtl w:val="0"/>
        </w:rPr>
        <w:t xml:space="preserve">The expert pool should be selected for judgment the system cannot replicate — people who have seen specific failure modes at scale — not for availability or willingness to do execution work.</w:t>
      </w:r>
    </w:p>
    <w:p w:rsidR="00000000" w:rsidDel="00000000" w:rsidP="00000000" w:rsidRDefault="00000000" w:rsidRPr="00000000" w14:paraId="00000010">
      <w:pPr>
        <w:pStyle w:val="Heading2"/>
        <w:rPr/>
      </w:pPr>
      <w:r w:rsidDel="00000000" w:rsidR="00000000" w:rsidRPr="00000000">
        <w:rPr>
          <w:rtl w:val="0"/>
        </w:rPr>
        <w:t xml:space="preserve">1.3 Diagnosis vs intervention cost</w:t>
      </w:r>
    </w:p>
    <w:p w:rsidR="00000000" w:rsidDel="00000000" w:rsidP="00000000" w:rsidRDefault="00000000" w:rsidRPr="00000000" w14:paraId="00000011">
      <w:pPr>
        <w:spacing w:after="120" w:lineRule="auto"/>
        <w:rPr/>
      </w:pPr>
      <w:r w:rsidDel="00000000" w:rsidR="00000000" w:rsidRPr="00000000">
        <w:rPr>
          <w:rtl w:val="0"/>
        </w:rPr>
        <w:t xml:space="preserve">BADbrain should run diagnosis on every active portfolio company. The cost of identifying drift, interrogating the founder, and formulating a root-cause thesis is effectively zero once the system is running — no partner or expert time is required for this step.</w:t>
      </w:r>
    </w:p>
    <w:p w:rsidR="00000000" w:rsidDel="00000000" w:rsidP="00000000" w:rsidRDefault="00000000" w:rsidRPr="00000000" w14:paraId="00000012">
      <w:pPr>
        <w:spacing w:after="120" w:lineRule="auto"/>
        <w:rPr/>
      </w:pPr>
      <w:r w:rsidDel="00000000" w:rsidR="00000000" w:rsidRPr="00000000">
        <w:rPr>
          <w:rtl w:val="0"/>
        </w:rPr>
        <w:t xml:space="preserve">The costly step is intervention: engaging a GTM expert, routing them to the company, and supporting follow-through. This is where we must be selective. Not every diagnosed problem warrants expert engagement. The decision to intervene is a resource allocation decision, governed by the criteria in Section 2.3.</w:t>
      </w:r>
    </w:p>
    <w:p w:rsidR="00000000" w:rsidDel="00000000" w:rsidP="00000000" w:rsidRDefault="00000000" w:rsidRPr="00000000" w14:paraId="00000013">
      <w:pPr>
        <w:pStyle w:val="Heading1"/>
        <w:rPr/>
      </w:pPr>
      <w:r w:rsidDel="00000000" w:rsidR="00000000" w:rsidRPr="00000000">
        <w:rPr>
          <w:rtl w:val="0"/>
        </w:rPr>
        <w:t xml:space="preserve">2. Expert Pool</w:t>
      </w:r>
    </w:p>
    <w:p w:rsidR="00000000" w:rsidDel="00000000" w:rsidP="00000000" w:rsidRDefault="00000000" w:rsidRPr="00000000" w14:paraId="00000014">
      <w:pPr>
        <w:pStyle w:val="Heading2"/>
        <w:rPr/>
      </w:pPr>
      <w:r w:rsidDel="00000000" w:rsidR="00000000" w:rsidRPr="00000000">
        <w:rPr>
          <w:rtl w:val="0"/>
        </w:rPr>
        <w:t xml:space="preserve">2.1 How we select experts</w:t>
      </w:r>
    </w:p>
    <w:p w:rsidR="00000000" w:rsidDel="00000000" w:rsidP="00000000" w:rsidRDefault="00000000" w:rsidRPr="00000000" w14:paraId="00000015">
      <w:pPr>
        <w:spacing w:after="120" w:lineRule="auto"/>
        <w:rPr/>
      </w:pPr>
      <w:r w:rsidDel="00000000" w:rsidR="00000000" w:rsidRPr="00000000">
        <w:rPr>
          <w:rtl w:val="0"/>
        </w:rPr>
        <w:t xml:space="preserve">We select experts along two axes, in this order: motion type first, then problem space.</w:t>
      </w:r>
    </w:p>
    <w:p w:rsidR="00000000" w:rsidDel="00000000" w:rsidP="00000000" w:rsidRDefault="00000000" w:rsidRPr="00000000" w14:paraId="00000016">
      <w:pPr>
        <w:pStyle w:val="Heading3"/>
        <w:rPr/>
      </w:pPr>
      <w:r w:rsidDel="00000000" w:rsidR="00000000" w:rsidRPr="00000000">
        <w:rPr>
          <w:rtl w:val="0"/>
        </w:rPr>
        <w:t xml:space="preserve">2.1.1 Axis 1: Motion type</w:t>
      </w:r>
    </w:p>
    <w:p w:rsidR="00000000" w:rsidDel="00000000" w:rsidP="00000000" w:rsidRDefault="00000000" w:rsidRPr="00000000" w14:paraId="00000017">
      <w:pPr>
        <w:spacing w:after="120" w:lineRule="auto"/>
        <w:rPr/>
      </w:pPr>
      <w:r w:rsidDel="00000000" w:rsidR="00000000" w:rsidRPr="00000000">
        <w:rPr>
          <w:rtl w:val="0"/>
        </w:rPr>
        <w:t xml:space="preserve">The primary selection axis is the GTM motion the expert has operated in. This is how we build coverage across the portfolio. The motion types we select for:</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Outbound B2B (enterprise and SMB)</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Inbound</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PLG</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tl w:val="0"/>
        </w:rPr>
        <w:t xml:space="preserve">Channel / partner-led distribution</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tl w:val="0"/>
        </w:rPr>
        <w:t xml:space="preserve">Marketplace / ops-dense</w:t>
      </w:r>
    </w:p>
    <w:p w:rsidR="00000000" w:rsidDel="00000000" w:rsidP="00000000" w:rsidRDefault="00000000" w:rsidRPr="00000000" w14:paraId="0000001D">
      <w:pPr>
        <w:spacing w:after="120" w:lineRule="auto"/>
        <w:rPr/>
      </w:pPr>
      <w:r w:rsidDel="00000000" w:rsidR="00000000" w:rsidRPr="00000000">
        <w:rPr>
          <w:rtl w:val="0"/>
        </w:rPr>
        <w:t xml:space="preserve">We choose experts who have personally built, scaled, or led the motion — not just advised on it. This includes people in leadership roles (including CROs) provided they can demonstrate genuine understanding of the intricacies of the motion, not just the org chart above it. The test is whether they can speak to the mechanics from direct experience: either they’ve been hands-on themselves, or they’ve been close enough to the people doing the work that they understand why things break and what it takes to fix them.</w:t>
      </w:r>
    </w:p>
    <w:p w:rsidR="00000000" w:rsidDel="00000000" w:rsidP="00000000" w:rsidRDefault="00000000" w:rsidRPr="00000000" w14:paraId="0000001E">
      <w:pPr>
        <w:spacing w:after="120" w:lineRule="auto"/>
        <w:rPr/>
      </w:pPr>
      <w:r w:rsidDel="00000000" w:rsidR="00000000" w:rsidRPr="00000000">
        <w:rPr>
          <w:rtl w:val="0"/>
        </w:rPr>
        <w:t xml:space="preserve">Within motion type, two qualifiers apply:</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b w:val="1"/>
          <w:bCs w:val="1"/>
          <w:rtl w:val="0"/>
        </w:rPr>
        <w:t xml:space="preserve">Stage fit.</w:t>
      </w:r>
      <w:r w:rsidDel="00000000" w:rsidR="00000000" w:rsidRPr="00000000">
        <w:rPr>
          <w:rtl w:val="0"/>
        </w:rPr>
        <w:t xml:space="preserve"> The expert must have operated the motion at a comparable stage to our portcos (pre-seed to seed, occasionally Series A). Someone who has only run enterprise outbound at $50M ARR has not seen the failure modes that appear at $300K ARR.</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b w:val="1"/>
          <w:bCs w:val="1"/>
          <w:rtl w:val="0"/>
        </w:rPr>
        <w:t xml:space="preserve">Recency.</w:t>
      </w:r>
      <w:r w:rsidDel="00000000" w:rsidR="00000000" w:rsidRPr="00000000">
        <w:rPr>
          <w:rtl w:val="0"/>
        </w:rPr>
        <w:t xml:space="preserve"> The expert must have done this recently enough — or continuously enough — that they still have working context on the problem. GTM tactics decay fast. An expert whose last hands-on experience was five years ago is pattern-matching from a different market. We don’t set a hard cutoff, but we assess whether they still have the instinct for what’s executable now, not just what worked then.</w:t>
      </w:r>
    </w:p>
    <w:p w:rsidR="00000000" w:rsidDel="00000000" w:rsidP="00000000" w:rsidRDefault="00000000" w:rsidRPr="00000000" w14:paraId="00000021">
      <w:pPr>
        <w:numPr>
          <w:ilvl w:val="0"/>
          <w:numId w:val="1"/>
        </w:numPr>
        <w:spacing w:after="80" w:lineRule="auto"/>
        <w:ind w:left="720" w:hanging="360"/>
      </w:pPr>
      <w:r w:rsidDel="00000000" w:rsidR="00000000" w:rsidRPr="00000000">
        <w:rPr>
          <w:b w:val="1"/>
          <w:bCs w:val="1"/>
          <w:rtl w:val="0"/>
        </w:rPr>
        <w:t xml:space="preserve">Caliber.</w:t>
      </w:r>
      <w:r w:rsidDel="00000000" w:rsidR="00000000" w:rsidRPr="00000000">
        <w:rPr>
          <w:rtl w:val="0"/>
        </w:rPr>
        <w:t xml:space="preserve"> Every expert in the pool must be top caliber — not just experienced, but genuinely elite. This means they should be strong across both judgment and execution: able to diagnose a problem accurately and help a founder implement the fix. Their presence in the system should serve three functions simultaneously: judgment quality, recruiting magnet for other experts, and founder confidence. We do not distinguish between “cornerstone” and “execution” tiers — every expert must be capable of both.</w:t>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2.1.2 Axis 2: Problem space</w:t>
      </w:r>
    </w:p>
    <w:p w:rsidR="00000000" w:rsidDel="00000000" w:rsidP="00000000" w:rsidRDefault="00000000" w:rsidRPr="00000000" w14:paraId="00000024">
      <w:pPr>
        <w:spacing w:after="120" w:lineRule="auto"/>
        <w:rPr/>
      </w:pPr>
      <w:r w:rsidDel="00000000" w:rsidR="00000000" w:rsidRPr="00000000">
        <w:rPr>
          <w:rtl w:val="0"/>
        </w:rPr>
        <w:t xml:space="preserve">Within a motion type, companies encounter a wide range of specific failure modes: ICP mismatch, messaging that doesn’t convert, activation collapse, pricing misalignment, pipeline volume without conversion, retention cliffs, and many others. The number of possible failure modes is effectively infinite.</w:t>
      </w:r>
    </w:p>
    <w:p w:rsidR="00000000" w:rsidDel="00000000" w:rsidP="00000000" w:rsidRDefault="00000000" w:rsidRPr="00000000" w14:paraId="00000025">
      <w:pPr>
        <w:spacing w:after="120" w:lineRule="auto"/>
        <w:rPr/>
      </w:pPr>
      <w:r w:rsidDel="00000000" w:rsidR="00000000" w:rsidRPr="00000000">
        <w:rPr>
          <w:rtl w:val="0"/>
        </w:rPr>
        <w:t xml:space="preserve">We run with the assumption that the first experts we select will be top-tier operators who have been exposed to most, if not all, common failure modes within their motion type. If you’ve built and scaled a motion at the right stage, across enough companies, you’ve likely touched the majority of problem spaces. For the initial pool, we select for breadth of experience within the motion — not for narrow specialisation in a specific problem.</w:t>
      </w:r>
    </w:p>
    <w:p w:rsidR="00000000" w:rsidDel="00000000" w:rsidP="00000000" w:rsidRDefault="00000000" w:rsidRPr="00000000" w14:paraId="00000026">
      <w:pPr>
        <w:spacing w:after="120" w:lineRule="auto"/>
        <w:rPr/>
      </w:pPr>
      <w:r w:rsidDel="00000000" w:rsidR="00000000" w:rsidRPr="00000000">
        <w:rPr>
          <w:rtl w:val="0"/>
        </w:rPr>
        <w:t xml:space="preserve">Problem space becomes a more active selection axis as the pool grows. When we add more experts within the same motion type, that is when we start optimising for problem-to-expert match: routing a specific failure mode to the expert who has personally navigated that pattern before, rather than to whichever expert in that motion type is available. The routing layer gets sharper with use — every interaction output is logged with enough specificity (hypothesis, outcome, expert’s confidence) that we can build this matching over time.</w:t>
      </w:r>
    </w:p>
    <w:p w:rsidR="00000000" w:rsidDel="00000000" w:rsidP="00000000" w:rsidRDefault="00000000" w:rsidRPr="00000000" w14:paraId="00000027">
      <w:pPr>
        <w:pStyle w:val="Heading3"/>
        <w:rPr/>
      </w:pPr>
      <w:r w:rsidDel="00000000" w:rsidR="00000000" w:rsidRPr="00000000">
        <w:rPr>
          <w:rtl w:val="0"/>
        </w:rPr>
        <w:t xml:space="preserve">2.1.3 Onboarding assessment</w:t>
      </w:r>
    </w:p>
    <w:p w:rsidR="00000000" w:rsidDel="00000000" w:rsidP="00000000" w:rsidRDefault="00000000" w:rsidRPr="00000000" w14:paraId="00000028">
      <w:pPr>
        <w:spacing w:after="120" w:lineRule="auto"/>
        <w:rPr/>
      </w:pPr>
      <w:r w:rsidDel="00000000" w:rsidR="00000000" w:rsidRPr="00000000">
        <w:rPr>
          <w:rtl w:val="0"/>
        </w:rPr>
        <w:t xml:space="preserve">During onboarding, we ask each expert to self-assess their problem space exposure: where are they a 10x expert vs a 2x expert? This is a short, structured assessment — not a test, but a way to build quantitative data on each expert’s strengths before the first engagement. This data seeds the routing layer from day one rather than waiting for intervention outcomes to accumulate.</w:t>
      </w:r>
    </w:p>
    <w:p w:rsidR="00000000" w:rsidDel="00000000" w:rsidP="00000000" w:rsidRDefault="00000000" w:rsidRPr="00000000" w14:paraId="00000029">
      <w:pPr>
        <w:pStyle w:val="Heading2"/>
        <w:rPr/>
      </w:pPr>
      <w:r w:rsidDel="00000000" w:rsidR="00000000" w:rsidRPr="00000000">
        <w:rPr>
          <w:rtl w:val="0"/>
        </w:rPr>
        <w:t xml:space="preserve">2.2 Who we do not select</w:t>
      </w:r>
    </w:p>
    <w:p w:rsidR="00000000" w:rsidDel="00000000" w:rsidP="00000000" w:rsidRDefault="00000000" w:rsidRPr="00000000" w14:paraId="0000002A">
      <w:pPr>
        <w:spacing w:after="120" w:lineRule="auto"/>
        <w:rPr/>
      </w:pPr>
      <w:r w:rsidDel="00000000" w:rsidR="00000000" w:rsidRPr="00000000">
        <w:rPr>
          <w:rtl w:val="0"/>
        </w:rPr>
        <w:t xml:space="preserve">The selection criteria above make most disqualifiers obvious, but a few are worth stating explicitly because they represent common patterns in advisor recruitment that look reasonable but don’t serve this model:</w:t>
      </w:r>
    </w:p>
    <w:p w:rsidR="00000000" w:rsidDel="00000000" w:rsidP="00000000" w:rsidRDefault="00000000" w:rsidRPr="00000000" w14:paraId="0000002B">
      <w:pPr>
        <w:numPr>
          <w:ilvl w:val="0"/>
          <w:numId w:val="1"/>
        </w:numPr>
        <w:spacing w:after="80" w:lineRule="auto"/>
        <w:ind w:left="720" w:hanging="360"/>
      </w:pPr>
      <w:sdt>
        <w:sdtPr>
          <w:id w:val="1402377094"/>
          <w:tag w:val="goog_rdk_0"/>
        </w:sdtPr>
        <w:sdtContent>
          <w:r w:rsidDel="00000000" w:rsidR="00000000" w:rsidRPr="00000000">
            <w:rPr>
              <w:rFonts w:ascii="Arial Unicode MS" w:cs="Arial Unicode MS" w:eastAsia="Arial Unicode MS" w:hAnsi="Arial Unicode MS"/>
              <w:rtl w:val="0"/>
            </w:rPr>
            <w:t xml:space="preserve">Exclusively large-corp background with no 0→1 exposure. They haven’t seen the failure modes at seed stage, regardless of title or brand.</w:t>
          </w:r>
        </w:sdtContent>
      </w:sdt>
    </w:p>
    <w:p w:rsidR="00000000" w:rsidDel="00000000" w:rsidP="00000000" w:rsidRDefault="00000000" w:rsidRPr="00000000" w14:paraId="0000002C">
      <w:pPr>
        <w:numPr>
          <w:ilvl w:val="0"/>
          <w:numId w:val="1"/>
        </w:numPr>
        <w:spacing w:after="80" w:lineRule="auto"/>
        <w:ind w:left="720" w:hanging="360"/>
      </w:pPr>
      <w:r w:rsidDel="00000000" w:rsidR="00000000" w:rsidRPr="00000000">
        <w:rPr>
          <w:rtl w:val="0"/>
        </w:rPr>
        <w:t xml:space="preserve">Pure advisory background. If someone’s last few years have been advising rather than operating or leading GTM, the instinct for what’s actually executable at this stage has likely degraded.</w:t>
      </w:r>
    </w:p>
    <w:p w:rsidR="00000000" w:rsidDel="00000000" w:rsidP="00000000" w:rsidRDefault="00000000" w:rsidRPr="00000000" w14:paraId="0000002D">
      <w:pPr>
        <w:numPr>
          <w:ilvl w:val="0"/>
          <w:numId w:val="1"/>
        </w:numPr>
        <w:spacing w:after="80" w:lineRule="auto"/>
        <w:ind w:left="720" w:hanging="360"/>
      </w:pPr>
      <w:r w:rsidDel="00000000" w:rsidR="00000000" w:rsidRPr="00000000">
        <w:rPr>
          <w:rtl w:val="0"/>
        </w:rPr>
        <w:t xml:space="preserve">Anyone who needs the full data room before engaging. The format requires forming a view from a structured brief. If someone can’t produce a falsifiable hypothesis from a context packet, they’re optimising for their own comfort, not for diagnostic speed.</w:t>
      </w:r>
    </w:p>
    <w:p w:rsidR="00000000" w:rsidDel="00000000" w:rsidP="00000000" w:rsidRDefault="00000000" w:rsidRPr="00000000" w14:paraId="0000002E">
      <w:pPr>
        <w:pStyle w:val="Heading2"/>
        <w:rPr/>
      </w:pPr>
      <w:r w:rsidDel="00000000" w:rsidR="00000000" w:rsidRPr="00000000">
        <w:rPr>
          <w:rtl w:val="0"/>
        </w:rPr>
        <w:t xml:space="preserve">2.3 Company selection for pilot</w:t>
      </w:r>
    </w:p>
    <w:p w:rsidR="00000000" w:rsidDel="00000000" w:rsidP="00000000" w:rsidRDefault="00000000" w:rsidRPr="00000000" w14:paraId="0000002F">
      <w:pPr>
        <w:spacing w:after="120" w:lineRule="auto"/>
        <w:rPr/>
      </w:pPr>
      <w:r w:rsidDel="00000000" w:rsidR="00000000" w:rsidRPr="00000000">
        <w:rPr>
          <w:rtl w:val="0"/>
        </w:rPr>
        <w:t xml:space="preserve">We don’t start from a target number of experts. We start from the portfolio companies where expert intervention would create the most value. Three criteria determine which companies are ready for expert engagement now:</w:t>
      </w:r>
    </w:p>
    <w:p w:rsidR="00000000" w:rsidDel="00000000" w:rsidP="00000000" w:rsidRDefault="00000000" w:rsidRPr="00000000" w14:paraId="00000030">
      <w:pPr>
        <w:numPr>
          <w:ilvl w:val="0"/>
          <w:numId w:val="2"/>
        </w:numPr>
        <w:spacing w:after="80" w:lineRule="auto"/>
        <w:ind w:left="720" w:hanging="360"/>
      </w:pPr>
      <w:r w:rsidDel="00000000" w:rsidR="00000000" w:rsidRPr="00000000">
        <w:rPr>
          <w:b w:val="1"/>
          <w:bCs w:val="1"/>
          <w:rtl w:val="0"/>
        </w:rPr>
        <w:t xml:space="preserve">Ready context window.</w:t>
      </w:r>
      <w:r w:rsidDel="00000000" w:rsidR="00000000" w:rsidRPr="00000000">
        <w:rPr>
          <w:rtl w:val="0"/>
        </w:rPr>
        <w:t xml:space="preserve"> The company has been through Launchpad or has an equivalent context base — no massive lift required to build it.</w:t>
      </w:r>
    </w:p>
    <w:p w:rsidR="00000000" w:rsidDel="00000000" w:rsidP="00000000" w:rsidRDefault="00000000" w:rsidRPr="00000000" w14:paraId="00000031">
      <w:pPr>
        <w:numPr>
          <w:ilvl w:val="0"/>
          <w:numId w:val="2"/>
        </w:numPr>
        <w:spacing w:after="80" w:lineRule="auto"/>
        <w:ind w:left="720" w:hanging="360"/>
      </w:pPr>
      <w:r w:rsidDel="00000000" w:rsidR="00000000" w:rsidRPr="00000000">
        <w:rPr>
          <w:b w:val="1"/>
          <w:bCs w:val="1"/>
          <w:rtl w:val="0"/>
        </w:rPr>
        <w:t xml:space="preserve">Company quality.</w:t>
      </w:r>
      <w:r w:rsidDel="00000000" w:rsidR="00000000" w:rsidRPr="00000000">
        <w:rPr>
          <w:rtl w:val="0"/>
        </w:rPr>
        <w:t xml:space="preserve"> High enough that a GTM leader would be excited to work on the problem. The first 5–10 expert experiences must be excellent — we cannot afford to funnel experts to companies where the experience falls flat.</w:t>
      </w:r>
    </w:p>
    <w:p w:rsidR="00000000" w:rsidDel="00000000" w:rsidP="00000000" w:rsidRDefault="00000000" w:rsidRPr="00000000" w14:paraId="00000032">
      <w:pPr>
        <w:numPr>
          <w:ilvl w:val="0"/>
          <w:numId w:val="2"/>
        </w:numPr>
        <w:spacing w:after="80" w:lineRule="auto"/>
        <w:ind w:left="720" w:hanging="360"/>
      </w:pPr>
      <w:r w:rsidDel="00000000" w:rsidR="00000000" w:rsidRPr="00000000">
        <w:rPr>
          <w:b w:val="1"/>
          <w:bCs w:val="1"/>
          <w:rtl w:val="0"/>
        </w:rPr>
        <w:t xml:space="preserve">Founder implementation track record.</w:t>
      </w:r>
      <w:r w:rsidDel="00000000" w:rsidR="00000000" w:rsidRPr="00000000">
        <w:rPr>
          <w:rtl w:val="0"/>
        </w:rPr>
        <w:t xml:space="preserve"> The founder has demonstrated with us a pattern of implementing feedback and improving. If a founder consistently fails to act on plans, the intervention is wasted regardless of expert quality.</w:t>
      </w:r>
    </w:p>
    <w:p w:rsidR="00000000" w:rsidDel="00000000" w:rsidP="00000000" w:rsidRDefault="00000000" w:rsidRPr="00000000" w14:paraId="00000033">
      <w:pPr>
        <w:spacing w:after="120" w:lineRule="auto"/>
        <w:rPr/>
      </w:pPr>
      <w:r w:rsidDel="00000000" w:rsidR="00000000" w:rsidRPr="00000000">
        <w:rPr>
          <w:rtl w:val="0"/>
        </w:rPr>
        <w:t xml:space="preserve">TVPI impact is the overarching prioritisation filter. We funnel experts to companies where intervention would create the most portfolio value — whether the company is drifting negatively or positively. A company doing well that could do significantly better is a valid target, not just companies in trouble.</w:t>
      </w:r>
    </w:p>
    <w:p w:rsidR="00000000" w:rsidDel="00000000" w:rsidP="00000000" w:rsidRDefault="00000000" w:rsidRPr="00000000" w14:paraId="00000034">
      <w:pPr>
        <w:spacing w:after="120" w:lineRule="auto"/>
        <w:rPr/>
      </w:pPr>
      <w:r w:rsidDel="00000000" w:rsidR="00000000" w:rsidRPr="00000000">
        <w:rPr>
          <w:rtl w:val="0"/>
        </w:rPr>
        <w:t xml:space="preserve">A secondary consideration: for the pilot phase, keeping the problem types as homogeneous as possible across the initial companies helps build repeatable patterns faster and creates a better expert experience. This is not a hard constraint, but where we have a choice between companies with similar vs dissimilar GTM problems, we lean toward similarity early on.</w:t>
      </w:r>
    </w:p>
    <w:p w:rsidR="00000000" w:rsidDel="00000000" w:rsidP="00000000" w:rsidRDefault="00000000" w:rsidRPr="00000000" w14:paraId="00000035">
      <w:pPr>
        <w:pStyle w:val="Heading3"/>
        <w:rPr/>
      </w:pPr>
      <w:r w:rsidDel="00000000" w:rsidR="00000000" w:rsidRPr="00000000">
        <w:rPr>
          <w:rtl w:val="0"/>
        </w:rPr>
        <w:t xml:space="preserve">2.3.1 Current company triage</w:t>
      </w:r>
    </w:p>
    <w:p w:rsidR="00000000" w:rsidDel="00000000" w:rsidP="00000000" w:rsidRDefault="00000000" w:rsidRPr="00000000" w14:paraId="00000036">
      <w:pPr>
        <w:spacing w:after="120" w:lineRule="auto"/>
        <w:rPr/>
      </w:pPr>
      <w:r w:rsidDel="00000000" w:rsidR="00000000" w:rsidRPr="00000000">
        <w:rPr>
          <w:rtl w:val="0"/>
        </w:rPr>
        <w:t xml:space="preserve">As of March 2026. “Ready now” companies have a context window and are suitable for immediate expert engagement. “Incoming” companies will go through Launchpad in April–May 2026 and form a second wave. “No decision made” means either company quality, founder implementation, or context readiness is TBD.</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125"/>
        <w:gridCol w:w="1410"/>
        <w:gridCol w:w="1800"/>
        <w:gridCol w:w="1485"/>
        <w:gridCol w:w="2115"/>
        <w:tblGridChange w:id="0">
          <w:tblGrid>
            <w:gridCol w:w="1080"/>
            <w:gridCol w:w="1125"/>
            <w:gridCol w:w="1410"/>
            <w:gridCol w:w="1800"/>
            <w:gridCol w:w="1485"/>
            <w:gridCol w:w="21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Primary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Expert candidate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3D">
            <w:pPr>
              <w:rPr>
                <w:b w:val="1"/>
                <w:bCs w:val="1"/>
                <w:color w:val="ffffff"/>
                <w:sz w:val="20"/>
                <w:szCs w:val="20"/>
              </w:rPr>
            </w:pPr>
            <w:r w:rsidDel="00000000" w:rsidR="00000000" w:rsidRPr="00000000">
              <w:rPr>
                <w:b w:val="1"/>
                <w:bCs w:val="1"/>
                <w:color w:val="ffffff"/>
                <w:sz w:val="20"/>
                <w:szCs w:val="20"/>
                <w:rtl w:val="0"/>
              </w:rPr>
              <w:t xml:space="preserve">Validated BL/SG</w:t>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3E">
            <w:pPr>
              <w:rPr>
                <w:b w:val="1"/>
                <w:bCs w:val="1"/>
                <w:color w:val="ffffff"/>
                <w:sz w:val="20"/>
                <w:szCs w:val="20"/>
              </w:rPr>
            </w:pPr>
            <w:r w:rsidDel="00000000" w:rsidR="00000000" w:rsidRPr="00000000">
              <w:rPr>
                <w:b w:val="1"/>
                <w:bCs w:val="1"/>
                <w:color w:val="ffffff"/>
                <w:sz w:val="20"/>
                <w:szCs w:val="20"/>
                <w:rtl w:val="0"/>
              </w:rPr>
              <w:t xml:space="preserve">Anticipated GTM start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Amorphous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Enterprise outbound, Partner Led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Greg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sz w:val="20"/>
                <w:szCs w:val="20"/>
              </w:rPr>
            </w:pPr>
            <w:r w:rsidDel="00000000" w:rsidR="00000000" w:rsidRPr="00000000">
              <w:rPr>
                <w:sz w:val="20"/>
                <w:szCs w:val="20"/>
                <w:rtl w:val="0"/>
              </w:rPr>
              <w:t xml:space="preserve">Now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Inbound / PLG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sz w:val="20"/>
                <w:szCs w:val="20"/>
              </w:rPr>
            </w:pPr>
            <w:r w:rsidDel="00000000" w:rsidR="00000000" w:rsidRPr="00000000">
              <w:rPr>
                <w:sz w:val="20"/>
                <w:szCs w:val="20"/>
                <w:rtl w:val="0"/>
              </w:rPr>
              <w:t xml:space="preserve">Now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Whitebridge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Inbound / PLG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sz w:val="20"/>
                <w:szCs w:val="20"/>
              </w:rPr>
            </w:pPr>
            <w:r w:rsidDel="00000000" w:rsidR="00000000" w:rsidRPr="00000000">
              <w:rPr>
                <w:sz w:val="20"/>
                <w:szCs w:val="20"/>
                <w:rtl w:val="0"/>
              </w:rPr>
              <w:t xml:space="preserve">Now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Just4Noise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Enterprise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Greg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sz w:val="20"/>
                <w:szCs w:val="20"/>
              </w:rPr>
            </w:pPr>
            <w:r w:rsidDel="00000000" w:rsidR="00000000" w:rsidRPr="00000000">
              <w:rPr>
                <w:sz w:val="20"/>
                <w:szCs w:val="20"/>
                <w:rtl w:val="0"/>
              </w:rPr>
              <w:t xml:space="preserve">Apr 15,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Suun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PLG/Paid 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sz w:val="20"/>
                <w:szCs w:val="20"/>
              </w:rPr>
            </w:pPr>
            <w:r w:rsidDel="00000000" w:rsidR="00000000" w:rsidRPr="00000000">
              <w:rPr>
                <w:sz w:val="20"/>
                <w:szCs w:val="20"/>
                <w:rtl w:val="0"/>
              </w:rPr>
              <w:t xml:space="preserve">Apr 1,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Fleetfox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Outbound,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Greg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sz w:val="20"/>
                <w:szCs w:val="20"/>
              </w:rPr>
            </w:pPr>
            <w:r w:rsidDel="00000000" w:rsidR="00000000" w:rsidRPr="00000000">
              <w:rPr>
                <w:sz w:val="20"/>
                <w:szCs w:val="20"/>
                <w:rtl w:val="0"/>
              </w:rPr>
              <w:t xml:space="preserve">Apr 1,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Frankly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Ready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Outbound,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Greg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sz w:val="20"/>
                <w:szCs w:val="20"/>
              </w:rPr>
            </w:pPr>
            <w:r w:rsidDel="00000000" w:rsidR="00000000" w:rsidRPr="00000000">
              <w:rPr>
                <w:sz w:val="20"/>
                <w:szCs w:val="20"/>
                <w:rtl w:val="0"/>
              </w:rPr>
              <w:t xml:space="preserve">Apr 1,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Spotwise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Incoming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sz w:val="20"/>
                <w:szCs w:val="20"/>
              </w:rPr>
            </w:pPr>
            <w:r w:rsidDel="00000000" w:rsidR="00000000" w:rsidRPr="00000000">
              <w:rPr>
                <w:sz w:val="20"/>
                <w:szCs w:val="20"/>
                <w:rtl w:val="0"/>
              </w:rPr>
              <w:t xml:space="preserve">May 15,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Incoming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sz w:val="20"/>
                <w:szCs w:val="20"/>
              </w:rPr>
            </w:pPr>
            <w:r w:rsidDel="00000000" w:rsidR="00000000" w:rsidRPr="00000000">
              <w:rPr>
                <w:sz w:val="20"/>
                <w:szCs w:val="20"/>
                <w:rtl w:val="0"/>
              </w:rPr>
              <w:t xml:space="preserve">May 1,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Builderbase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Incoming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Outbound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Greg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sz w:val="20"/>
                <w:szCs w:val="20"/>
              </w:rPr>
            </w:pPr>
            <w:r w:rsidDel="00000000" w:rsidR="00000000" w:rsidRPr="00000000">
              <w:rPr>
                <w:sz w:val="20"/>
                <w:szCs w:val="20"/>
                <w:rtl w:val="0"/>
              </w:rPr>
              <w:t xml:space="preserve">May 1,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Pleso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Incoming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May 1,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Lumos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To be onboarded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Outbound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Greg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sz w:val="20"/>
                <w:szCs w:val="20"/>
              </w:rPr>
            </w:pPr>
            <w:r w:rsidDel="00000000" w:rsidR="00000000" w:rsidRPr="00000000">
              <w:rPr>
                <w:sz w:val="20"/>
                <w:szCs w:val="20"/>
                <w:rtl w:val="0"/>
              </w:rPr>
              <w:t xml:space="preserve">TBD</w:t>
            </w:r>
          </w:p>
          <w:p w:rsidR="00000000" w:rsidDel="00000000" w:rsidP="00000000" w:rsidRDefault="00000000" w:rsidRPr="00000000" w14:paraId="00000087">
            <w:pPr>
              <w:rPr>
                <w:sz w:val="20"/>
                <w:szCs w:val="20"/>
              </w:rPr>
            </w:pPr>
            <w:r w:rsidDel="00000000" w:rsidR="00000000" w:rsidRPr="00000000">
              <w:rPr>
                <w:rtl w:val="0"/>
              </w:rPr>
            </w:r>
          </w:p>
        </w:tc>
      </w:tr>
      <w:tr>
        <w:trPr>
          <w:cantSplit w:val="0"/>
          <w:trHeight w:val="824.9414062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Workee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To be onboarded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SMB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Danny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sz w:val="20"/>
                <w:szCs w:val="20"/>
              </w:rPr>
            </w:pPr>
            <w:r w:rsidDel="00000000" w:rsidR="00000000" w:rsidRPr="00000000">
              <w:rPr>
                <w:sz w:val="20"/>
                <w:szCs w:val="20"/>
                <w:rtl w:val="0"/>
              </w:rPr>
              <w:t xml:space="preserve">TBD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Hopted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No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Inbound, SEO, Outbound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SG</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TBD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Theo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No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Ryuu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No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Supliful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No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BL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TBD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Traxlo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No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Outbound enterprise, inbound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SG</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TBD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Juo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No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PLG</w:t>
              <w:br w:type="textWrapping"/>
              <w:t xml:space="preserve">Mid-market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0">
            <w:pPr>
              <w:rPr>
                <w:sz w:val="20"/>
                <w:szCs w:val="20"/>
              </w:rPr>
            </w:pPr>
            <w:r w:rsidDel="00000000" w:rsidR="00000000" w:rsidRPr="00000000">
              <w:rPr>
                <w:sz w:val="20"/>
                <w:szCs w:val="20"/>
                <w:rtl w:val="0"/>
              </w:rPr>
              <w:t xml:space="preserve">SG</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TBD</w:t>
            </w:r>
          </w:p>
        </w:tc>
      </w:tr>
    </w:tbl>
    <w:p w:rsidR="00000000" w:rsidDel="00000000" w:rsidP="00000000" w:rsidRDefault="00000000" w:rsidRPr="00000000" w14:paraId="000000B2">
      <w:pPr>
        <w:spacing w:after="6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2.4 Pool sizing logic</w:t>
      </w:r>
    </w:p>
    <w:p w:rsidR="00000000" w:rsidDel="00000000" w:rsidP="00000000" w:rsidRDefault="00000000" w:rsidRPr="00000000" w14:paraId="000000B4">
      <w:pPr>
        <w:spacing w:after="120" w:lineRule="auto"/>
        <w:rPr/>
      </w:pPr>
      <w:r w:rsidDel="00000000" w:rsidR="00000000" w:rsidRPr="00000000">
        <w:rPr>
          <w:rtl w:val="0"/>
        </w:rPr>
        <w:t xml:space="preserve">Pool size derives from the companies selected. For each company, we identify the motion type and the most likely failure modes they’ll encounter, then recruit experts to cover those motions. The key constraint: we need more than one expert per motion type, to hedge for the different problem spaces these companies might encounter. </w:t>
      </w:r>
    </w:p>
    <w:p w:rsidR="00000000" w:rsidDel="00000000" w:rsidP="00000000" w:rsidRDefault="00000000" w:rsidRPr="00000000" w14:paraId="000000B5">
      <w:pPr>
        <w:spacing w:after="120" w:lineRule="auto"/>
        <w:rPr/>
      </w:pPr>
      <w:r w:rsidDel="00000000" w:rsidR="00000000" w:rsidRPr="00000000">
        <w:rPr>
          <w:rtl w:val="0"/>
        </w:rPr>
        <w:t xml:space="preserve">The “ready now” and “incoming” companies above suggest four initial expert personas are needed: enterprise outbound (Greg), SMB/mid-market outbound (Danny), PLG (candidate via Suhas/Graphics network), and marketplace. These map directly to the motion types the first-wave companies require.</w:t>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2.5 Expert sourcing</w:t>
      </w:r>
    </w:p>
    <w:p w:rsidR="00000000" w:rsidDel="00000000" w:rsidP="00000000" w:rsidRDefault="00000000" w:rsidRPr="00000000" w14:paraId="000000B8">
      <w:pPr>
        <w:spacing w:after="120" w:lineRule="auto"/>
        <w:rPr/>
      </w:pPr>
      <w:r w:rsidDel="00000000" w:rsidR="00000000" w:rsidRPr="00000000">
        <w:rPr>
          <w:rtl w:val="0"/>
        </w:rPr>
        <w:t xml:space="preserve">Three sourcing channels for expert recruitment:</w:t>
      </w:r>
    </w:p>
    <w:p w:rsidR="00000000" w:rsidDel="00000000" w:rsidP="00000000" w:rsidRDefault="00000000" w:rsidRPr="00000000" w14:paraId="000000B9">
      <w:pPr>
        <w:numPr>
          <w:ilvl w:val="0"/>
          <w:numId w:val="2"/>
        </w:numPr>
        <w:spacing w:after="80" w:lineRule="auto"/>
        <w:ind w:left="720" w:hanging="360"/>
      </w:pPr>
      <w:r w:rsidDel="00000000" w:rsidR="00000000" w:rsidRPr="00000000">
        <w:rPr>
          <w:b w:val="1"/>
          <w:bCs w:val="1"/>
          <w:rtl w:val="0"/>
        </w:rPr>
        <w:t xml:space="preserve">GP-led direct sales.</w:t>
      </w:r>
      <w:r w:rsidDel="00000000" w:rsidR="00000000" w:rsidRPr="00000000">
        <w:rPr>
          <w:rtl w:val="0"/>
        </w:rPr>
        <w:t xml:space="preserve"> The first 5–10 experts must be recruited at GP level. This is founder-led sales — asking someone to join an unproven system built by a fund with limited track record requires conviction that only comes from a high-enough-level conversation. Once the expert is convinced and onboarded, the ongoing engagement and customer support is delegated to Roberts.</w:t>
      </w:r>
    </w:p>
    <w:p w:rsidR="00000000" w:rsidDel="00000000" w:rsidP="00000000" w:rsidRDefault="00000000" w:rsidRPr="00000000" w14:paraId="000000BA">
      <w:pPr>
        <w:numPr>
          <w:ilvl w:val="0"/>
          <w:numId w:val="2"/>
        </w:numPr>
        <w:spacing w:after="80" w:lineRule="auto"/>
        <w:ind w:left="720" w:hanging="360"/>
      </w:pPr>
      <w:r w:rsidDel="00000000" w:rsidR="00000000" w:rsidRPr="00000000">
        <w:rPr>
          <w:b w:val="1"/>
          <w:bCs w:val="1"/>
          <w:rtl w:val="0"/>
        </w:rPr>
        <w:t xml:space="preserve">White-glove referrals from pre-vetted GTM leaders.</w:t>
      </w:r>
      <w:r w:rsidDel="00000000" w:rsidR="00000000" w:rsidRPr="00000000">
        <w:rPr>
          <w:rtl w:val="0"/>
        </w:rPr>
        <w:t xml:space="preserve"> Once the first experts are onboarded, they become a sourcing channel themselves — asking them who the best person they know is for a specific motion or problem type. This includes existing relationships like Greg, Danny, Pat (Supliful), and the PLG advisor via Suhas.</w:t>
      </w:r>
    </w:p>
    <w:p w:rsidR="00000000" w:rsidDel="00000000" w:rsidP="00000000" w:rsidRDefault="00000000" w:rsidRPr="00000000" w14:paraId="000000BB">
      <w:pPr>
        <w:numPr>
          <w:ilvl w:val="0"/>
          <w:numId w:val="2"/>
        </w:numPr>
        <w:spacing w:after="80" w:lineRule="auto"/>
        <w:ind w:left="720" w:hanging="360"/>
      </w:pPr>
      <w:r w:rsidDel="00000000" w:rsidR="00000000" w:rsidRPr="00000000">
        <w:rPr>
          <w:b w:val="1"/>
          <w:bCs w:val="1"/>
          <w:rtl w:val="0"/>
        </w:rPr>
        <w:t xml:space="preserve">Community and B2B2B channels.</w:t>
      </w:r>
      <w:r w:rsidDel="00000000" w:rsidR="00000000" w:rsidRPr="00000000">
        <w:rPr>
          <w:rtl w:val="0"/>
        </w:rPr>
        <w:t xml:space="preserve"> Consulting firms that place GTM leaders into startups (e.g., Ville’s firm via Suhas). Gamified nomination (“nominate your best GTM person”) through the broader network. These are secondary channels — useful for scale later, not for the first cohort.</w:t>
      </w:r>
    </w:p>
    <w:p w:rsidR="00000000" w:rsidDel="00000000" w:rsidP="00000000" w:rsidRDefault="00000000" w:rsidRPr="00000000" w14:paraId="000000BC">
      <w:pPr>
        <w:spacing w:after="120" w:lineRule="auto"/>
        <w:rPr/>
      </w:pPr>
      <w:r w:rsidDel="00000000" w:rsidR="00000000" w:rsidRPr="00000000">
        <w:rPr>
          <w:rtl w:val="0"/>
        </w:rPr>
        <w:t xml:space="preserve">Scaling to 40–80 experts is a different problem. For the first 5–10, it’s a sales job and a customer support job — getting excellent people in and ensuring their first experience is exceptional.</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3. Engagement Model</w:t>
      </w:r>
    </w:p>
    <w:p w:rsidR="00000000" w:rsidDel="00000000" w:rsidP="00000000" w:rsidRDefault="00000000" w:rsidRPr="00000000" w14:paraId="000000BF">
      <w:pPr>
        <w:pStyle w:val="Heading2"/>
        <w:rPr/>
      </w:pPr>
      <w:r w:rsidDel="00000000" w:rsidR="00000000" w:rsidRPr="00000000">
        <w:rPr>
          <w:rtl w:val="0"/>
        </w:rPr>
        <w:t xml:space="preserve">3.1 Context brief</w:t>
      </w:r>
    </w:p>
    <w:p w:rsidR="00000000" w:rsidDel="00000000" w:rsidP="00000000" w:rsidRDefault="00000000" w:rsidRPr="00000000" w14:paraId="000000C0">
      <w:pPr>
        <w:spacing w:after="120" w:lineRule="auto"/>
        <w:rPr/>
      </w:pPr>
      <w:r w:rsidDel="00000000" w:rsidR="00000000" w:rsidRPr="00000000">
        <w:rPr>
          <w:rtl w:val="0"/>
        </w:rPr>
        <w:t xml:space="preserve">The expert should not need to assemble any context on their own. BADbrain delivers a structured brief with five components before the engagement, as a message on WhatsApp via Marv.</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5626"/>
        <w:tblGridChange w:id="0">
          <w:tblGrid>
            <w:gridCol w:w="900"/>
            <w:gridCol w:w="25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Company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Stage, ICP, motion type, current ARR/GMV — two sentences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Trajectory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North star metric, where they should be, where they are,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Drift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Which lever moved, by how much, for how long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Primary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BADbrain’s diagnosis stated as a falsifiable claim, with reasoning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Challenge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One specific question: “Is this diagnosis right? If not, what’s more likely and why?”</w:t>
            </w:r>
            <w:r w:rsidDel="00000000" w:rsidR="00000000" w:rsidRPr="00000000">
              <w:rPr>
                <w:rtl w:val="0"/>
              </w:rPr>
            </w:r>
          </w:p>
        </w:tc>
      </w:tr>
    </w:tbl>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tl w:val="0"/>
        </w:rPr>
        <w:t xml:space="preserve">If the expert needs additional information beyond the brief, they can ask Marv directly on WhatsApp. Marv should be able to answer clarifying questions or, where needed, route the question back to the founder. Over time, BADbrain will learn what experts typically ask and pre-include that information in the brief, progressively reducing friction so that the expert can go straight to judgment without needing to inquire at all.</w:t>
      </w:r>
    </w:p>
    <w:p w:rsidR="00000000" w:rsidDel="00000000" w:rsidP="00000000" w:rsidRDefault="00000000" w:rsidRPr="00000000" w14:paraId="000000D5">
      <w:pPr>
        <w:spacing w:after="120" w:lineRule="auto"/>
        <w:rPr/>
      </w:pPr>
      <w:r w:rsidDel="00000000" w:rsidR="00000000" w:rsidRPr="00000000">
        <w:rPr>
          <w:rtl w:val="0"/>
        </w:rPr>
        <w:t xml:space="preserve">Marv must have a “go fetch” capability from the start. When an expert flags a context gap that Marv does not have — for example, how competitors are messaging to their customers in an outbound problem — Marv should be able to go and retrieve that information. More importantly, every context gap flagged by an expert becomes a permanent addition: if one expert needs competitor messaging data for an outbound diagnosis, Marv should collect that context for every company from that point forward. This is how the context layer learns and the 20-minute engagement target becomes realistic over time.</w:t>
      </w:r>
    </w:p>
    <w:p w:rsidR="00000000" w:rsidDel="00000000" w:rsidP="00000000" w:rsidRDefault="00000000" w:rsidRPr="00000000" w14:paraId="000000D6">
      <w:pPr>
        <w:pStyle w:val="Heading3"/>
        <w:rPr/>
      </w:pPr>
      <w:r w:rsidDel="00000000" w:rsidR="00000000" w:rsidRPr="00000000">
        <w:rPr>
          <w:rtl w:val="0"/>
        </w:rPr>
        <w:t xml:space="preserve">3.1.1 Low-confidence diagnosis</w:t>
      </w:r>
    </w:p>
    <w:p w:rsidR="00000000" w:rsidDel="00000000" w:rsidP="00000000" w:rsidRDefault="00000000" w:rsidRPr="00000000" w14:paraId="000000D7">
      <w:pPr>
        <w:spacing w:after="120" w:lineRule="auto"/>
        <w:rPr/>
      </w:pPr>
      <w:r w:rsidDel="00000000" w:rsidR="00000000" w:rsidRPr="00000000">
        <w:rPr>
          <w:rtl w:val="0"/>
        </w:rPr>
        <w:t xml:space="preserve">In some cases, the data will be too ambiguous for BADbrain to form a confident hypothesis. When BADbrain’s confidence in its diagnosis falls below a usable threshold, the brief omits component 4 (primary hypothesis) and component 5 (challenge question). Instead, the brief presents the drift evidence and asks the expert to generate the root-cause hypothesis themselves.</w:t>
      </w:r>
    </w:p>
    <w:p w:rsidR="00000000" w:rsidDel="00000000" w:rsidP="00000000" w:rsidRDefault="00000000" w:rsidRPr="00000000" w14:paraId="000000D8">
      <w:pPr>
        <w:spacing w:after="120" w:lineRule="auto"/>
        <w:rPr/>
      </w:pPr>
      <w:r w:rsidDel="00000000" w:rsidR="00000000" w:rsidRPr="00000000">
        <w:rPr>
          <w:rtl w:val="0"/>
        </w:rPr>
        <w:t xml:space="preserve">This is a different mode of engagement. The expert is not challenging a diagnosis; they are producing one. The rest of the engagement remains the same: once the expert has formed a hypothesis, they propose an action plan based on it. BADbrain logs the expert-generated hypothesis the same way it would log a reframed one, feeding the routing and calibration layers.</w:t>
      </w:r>
    </w:p>
    <w:p w:rsidR="00000000" w:rsidDel="00000000" w:rsidP="00000000" w:rsidRDefault="00000000" w:rsidRPr="00000000" w14:paraId="000000D9">
      <w:pPr>
        <w:pStyle w:val="Heading2"/>
        <w:rPr/>
      </w:pPr>
      <w:r w:rsidDel="00000000" w:rsidR="00000000" w:rsidRPr="00000000">
        <w:rPr>
          <w:rtl w:val="0"/>
        </w:rPr>
        <w:t xml:space="preserve">3.2 Time expectation</w:t>
      </w:r>
    </w:p>
    <w:p w:rsidR="00000000" w:rsidDel="00000000" w:rsidP="00000000" w:rsidRDefault="00000000" w:rsidRPr="00000000" w14:paraId="000000DA">
      <w:pPr>
        <w:spacing w:after="120" w:lineRule="auto"/>
        <w:rPr/>
      </w:pPr>
      <w:r w:rsidDel="00000000" w:rsidR="00000000" w:rsidRPr="00000000">
        <w:rPr>
          <w:rtl w:val="0"/>
        </w:rPr>
        <w:t xml:space="preserve">The initial engagement — reviewing the diagnosis, challenging or validating it, and proposing an action plan — takes approximately 20 minutes at steady state. This is the heaviest single interaction and represents the minimum commitment we ask of experts. In practice, the first engagements will take longer: context packets will have gaps, Marv’s briefs will be missing nuance, and experts will need to ask more clarifying questions. The 20-minute target is what the system converges toward as the context layer improves, not where it starts.</w:t>
      </w:r>
    </w:p>
    <w:p w:rsidR="00000000" w:rsidDel="00000000" w:rsidP="00000000" w:rsidRDefault="00000000" w:rsidRPr="00000000" w14:paraId="000000DB">
      <w:pPr>
        <w:spacing w:after="120" w:lineRule="auto"/>
        <w:rPr/>
      </w:pPr>
      <w:r w:rsidDel="00000000" w:rsidR="00000000" w:rsidRPr="00000000">
        <w:rPr>
          <w:rtl w:val="0"/>
        </w:rPr>
        <w:t xml:space="preserve">After the initial engagement, the expert stays involved as the company executes the plan. Follow-up interactions are managed through Marv and decrease in intensity over time: checking progress, answering questions, adjusting the plan when something isn’t working. These follow-ups are typically shorter than the initial engagement — often just a few minutes — as Marv handles the context and the expert only needs to provide judgment on specific questions.</w:t>
      </w:r>
    </w:p>
    <w:p w:rsidR="00000000" w:rsidDel="00000000" w:rsidP="00000000" w:rsidRDefault="00000000" w:rsidRPr="00000000" w14:paraId="000000DC">
      <w:pPr>
        <w:spacing w:after="120" w:lineRule="auto"/>
        <w:rPr/>
      </w:pPr>
      <w:r w:rsidDel="00000000" w:rsidR="00000000" w:rsidRPr="00000000">
        <w:rPr>
          <w:rtl w:val="0"/>
        </w:rPr>
        <w:t xml:space="preserve">Our expectation is that experts respond as soon as they can, but no later than five working days. Marv will nudge the expert if a response is outstanding, calibrated to be timely without becoming noisy — drift is time-sensitive, but we respect that senior operators have demanding schedules. If an expert does not respond within the window, Marv may reroute the intervention to another expert in the same motion type.</w:t>
      </w:r>
    </w:p>
    <w:p w:rsidR="00000000" w:rsidDel="00000000" w:rsidP="00000000" w:rsidRDefault="00000000" w:rsidRPr="00000000" w14:paraId="000000DD">
      <w:pPr>
        <w:pStyle w:val="Heading2"/>
        <w:rPr/>
      </w:pPr>
      <w:r w:rsidDel="00000000" w:rsidR="00000000" w:rsidRPr="00000000">
        <w:rPr>
          <w:rtl w:val="0"/>
        </w:rPr>
        <w:t xml:space="preserve">3.3 What the expert delivers</w:t>
      </w:r>
    </w:p>
    <w:p w:rsidR="00000000" w:rsidDel="00000000" w:rsidP="00000000" w:rsidRDefault="00000000" w:rsidRPr="00000000" w14:paraId="000000DE">
      <w:pPr>
        <w:spacing w:after="120" w:lineRule="auto"/>
        <w:rPr/>
      </w:pPr>
      <w:r w:rsidDel="00000000" w:rsidR="00000000" w:rsidRPr="00000000">
        <w:rPr>
          <w:rtl w:val="0"/>
        </w:rPr>
        <w:t xml:space="preserve">The expert’s engagement produces three things, in order:</w:t>
      </w:r>
    </w:p>
    <w:p w:rsidR="00000000" w:rsidDel="00000000" w:rsidP="00000000" w:rsidRDefault="00000000" w:rsidRPr="00000000" w14:paraId="000000DF">
      <w:pPr>
        <w:numPr>
          <w:ilvl w:val="0"/>
          <w:numId w:val="2"/>
        </w:numPr>
        <w:spacing w:after="80" w:lineRule="auto"/>
        <w:ind w:left="720" w:hanging="360"/>
      </w:pPr>
      <w:r w:rsidDel="00000000" w:rsidR="00000000" w:rsidRPr="00000000">
        <w:rPr>
          <w:b w:val="1"/>
          <w:bCs w:val="1"/>
          <w:rtl w:val="0"/>
        </w:rPr>
        <w:t xml:space="preserve">Validate the root cause.</w:t>
      </w:r>
      <w:r w:rsidDel="00000000" w:rsidR="00000000" w:rsidRPr="00000000">
        <w:rPr>
          <w:rtl w:val="0"/>
        </w:rPr>
        <w:t xml:space="preserve"> Confirm BADbrain’s diagnosis or reframe it with an alternative hypothesis and supporting reasoning.</w:t>
      </w:r>
    </w:p>
    <w:p w:rsidR="00000000" w:rsidDel="00000000" w:rsidP="00000000" w:rsidRDefault="00000000" w:rsidRPr="00000000" w14:paraId="000000E0">
      <w:pPr>
        <w:numPr>
          <w:ilvl w:val="0"/>
          <w:numId w:val="2"/>
        </w:numPr>
        <w:spacing w:after="80" w:lineRule="auto"/>
        <w:ind w:left="720" w:hanging="360"/>
      </w:pPr>
      <w:r w:rsidDel="00000000" w:rsidR="00000000" w:rsidRPr="00000000">
        <w:rPr>
          <w:b w:val="1"/>
          <w:bCs w:val="1"/>
          <w:rtl w:val="0"/>
        </w:rPr>
        <w:t xml:space="preserve">Propose an action plan.</w:t>
      </w:r>
      <w:r w:rsidDel="00000000" w:rsidR="00000000" w:rsidRPr="00000000">
        <w:rPr>
          <w:rtl w:val="0"/>
        </w:rPr>
        <w:t xml:space="preserve"> Based on the validated or reframed diagnosis, define what the company should do. This is the expert’s output — BADbrain does not produce plans.</w:t>
      </w:r>
    </w:p>
    <w:p w:rsidR="00000000" w:rsidDel="00000000" w:rsidP="00000000" w:rsidRDefault="00000000" w:rsidRPr="00000000" w14:paraId="000000E1">
      <w:pPr>
        <w:numPr>
          <w:ilvl w:val="0"/>
          <w:numId w:val="2"/>
        </w:numPr>
        <w:spacing w:after="80" w:lineRule="auto"/>
        <w:ind w:left="720" w:hanging="360"/>
      </w:pPr>
      <w:r w:rsidDel="00000000" w:rsidR="00000000" w:rsidRPr="00000000">
        <w:rPr>
          <w:b w:val="1"/>
          <w:bCs w:val="1"/>
          <w:rtl w:val="0"/>
        </w:rPr>
        <w:t xml:space="preserve">Help the company implement the plan.</w:t>
      </w:r>
      <w:r w:rsidDel="00000000" w:rsidR="00000000" w:rsidRPr="00000000">
        <w:rPr>
          <w:rtl w:val="0"/>
        </w:rPr>
        <w:t xml:space="preserve"> This is where the expert’s value is ultimately delivered. Implementation support means whatever it takes: making introductions to the right specialists, reviewing and iterating on sales scripts, redesigning processes, providing accountability check-ins, or doing other hands-on work. The format varies by case, but the expectation is clear — the expert stays involved until the plan is executed, not just proposed.</w:t>
      </w:r>
    </w:p>
    <w:p w:rsidR="00000000" w:rsidDel="00000000" w:rsidP="00000000" w:rsidRDefault="00000000" w:rsidRPr="00000000" w14:paraId="000000E2">
      <w:pPr>
        <w:spacing w:after="120" w:lineRule="auto"/>
        <w:rPr/>
      </w:pPr>
      <w:r w:rsidDel="00000000" w:rsidR="00000000" w:rsidRPr="00000000">
        <w:rPr>
          <w:rtl w:val="0"/>
        </w:rPr>
        <w:t xml:space="preserve">All three items are expected, not optional. Being part of the expert pool implies willingness to support through implementation. Founders at this stage generally cannot execute a plan without accountability and hands-on assistance — handing them a plan and checking back in two months does not work.</w:t>
      </w:r>
    </w:p>
    <w:p w:rsidR="00000000" w:rsidDel="00000000" w:rsidP="00000000" w:rsidRDefault="00000000" w:rsidRPr="00000000" w14:paraId="000000E3">
      <w:pPr>
        <w:pStyle w:val="Heading2"/>
        <w:rPr/>
      </w:pPr>
      <w:r w:rsidDel="00000000" w:rsidR="00000000" w:rsidRPr="00000000">
        <w:rPr>
          <w:rtl w:val="0"/>
        </w:rPr>
        <w:t xml:space="preserve">3.4 Expert feedback and rerouting</w:t>
      </w:r>
    </w:p>
    <w:p w:rsidR="00000000" w:rsidDel="00000000" w:rsidP="00000000" w:rsidRDefault="00000000" w:rsidRPr="00000000" w14:paraId="000000E4">
      <w:pPr>
        <w:spacing w:after="120" w:lineRule="auto"/>
        <w:rPr/>
      </w:pPr>
      <w:r w:rsidDel="00000000" w:rsidR="00000000" w:rsidRPr="00000000">
        <w:rPr>
          <w:rtl w:val="0"/>
        </w:rPr>
        <w:t xml:space="preserve">If the expert determines that the problem falls outside their area of expertise, they should say so explicitly to Marv. This is valuable signal, not a failure. Marv then reconsiders whether to reroute the intervention to another expert — and whether the right expert for this problem type even exists in the current pool.</w:t>
      </w:r>
    </w:p>
    <w:p w:rsidR="00000000" w:rsidDel="00000000" w:rsidP="00000000" w:rsidRDefault="00000000" w:rsidRPr="00000000" w14:paraId="000000E5">
      <w:pPr>
        <w:spacing w:after="120" w:lineRule="auto"/>
        <w:rPr/>
      </w:pPr>
      <w:r w:rsidDel="00000000" w:rsidR="00000000" w:rsidRPr="00000000">
        <w:rPr>
          <w:rtl w:val="0"/>
        </w:rPr>
        <w:t xml:space="preserve">Every interaction, including declined ones, feeds the routing layer. From each engagement we learn: was this the right expert for this problem? Should we repeat this match in the future? If the match was wrong, why — was it a motion type mismatch, a problem space mismatch, or a stage mismatch? This is how the compounding effect works. The system does not just get better at diagnosis; it gets better at knowing who to call. Not critical for the first iteration, but worth keeping in mind: some problems span multiple domains and may benefit from routing to two experts simultaneously, each addressing a different component of the problem.</w:t>
      </w:r>
    </w:p>
    <w:p w:rsidR="00000000" w:rsidDel="00000000" w:rsidP="00000000" w:rsidRDefault="00000000" w:rsidRPr="00000000" w14:paraId="000000E6">
      <w:pPr>
        <w:spacing w:after="120" w:lineRule="auto"/>
        <w:rPr/>
      </w:pPr>
      <w:r w:rsidDel="00000000" w:rsidR="00000000" w:rsidRPr="00000000">
        <w:rPr>
          <w:rtl w:val="0"/>
        </w:rPr>
        <w:t xml:space="preserve">Experts should also be able to request Marv to loop in another expert from the pool when they identify a sub-problem that falls outside their own strength. This is expert-to-expert routing: the primary expert remains the lead on the intervention, but can pull in a second expert for a specific angle — particularly during plan implementation. The shared carry pool creates the incentive alignment for this. Marv must support this as a routing capability from the start.</w:t>
      </w:r>
    </w:p>
    <w:p w:rsidR="00000000" w:rsidDel="00000000" w:rsidP="00000000" w:rsidRDefault="00000000" w:rsidRPr="00000000" w14:paraId="000000E7">
      <w:pPr>
        <w:pStyle w:val="Heading2"/>
        <w:rPr/>
      </w:pPr>
      <w:r w:rsidDel="00000000" w:rsidR="00000000" w:rsidRPr="00000000">
        <w:rPr>
          <w:rtl w:val="0"/>
        </w:rPr>
        <w:t xml:space="preserve">3.5 Output logged per engagement</w:t>
      </w:r>
    </w:p>
    <w:p w:rsidR="00000000" w:rsidDel="00000000" w:rsidP="00000000" w:rsidRDefault="00000000" w:rsidRPr="00000000" w14:paraId="000000E8">
      <w:pPr>
        <w:numPr>
          <w:ilvl w:val="0"/>
          <w:numId w:val="1"/>
        </w:numPr>
        <w:spacing w:after="80" w:lineRule="auto"/>
        <w:ind w:left="720" w:hanging="360"/>
      </w:pPr>
      <w:r w:rsidDel="00000000" w:rsidR="00000000" w:rsidRPr="00000000">
        <w:rPr>
          <w:rtl w:val="0"/>
        </w:rPr>
        <w:t xml:space="preserve">Hypothesis status: validated / reframed / rejected / expert-generated (low-confidence mode)</w:t>
      </w:r>
    </w:p>
    <w:p w:rsidR="00000000" w:rsidDel="00000000" w:rsidP="00000000" w:rsidRDefault="00000000" w:rsidRPr="00000000" w14:paraId="000000E9">
      <w:pPr>
        <w:numPr>
          <w:ilvl w:val="0"/>
          <w:numId w:val="1"/>
        </w:numPr>
        <w:spacing w:after="80" w:lineRule="auto"/>
        <w:ind w:left="720" w:hanging="360"/>
      </w:pPr>
      <w:r w:rsidDel="00000000" w:rsidR="00000000" w:rsidRPr="00000000">
        <w:rPr>
          <w:rtl w:val="0"/>
        </w:rPr>
        <w:t xml:space="preserve">Expert’s alternative hypothesis (if reframed or generated)</w:t>
      </w:r>
    </w:p>
    <w:p w:rsidR="00000000" w:rsidDel="00000000" w:rsidP="00000000" w:rsidRDefault="00000000" w:rsidRPr="00000000" w14:paraId="000000EA">
      <w:pPr>
        <w:numPr>
          <w:ilvl w:val="0"/>
          <w:numId w:val="1"/>
        </w:numPr>
        <w:spacing w:after="80" w:lineRule="auto"/>
        <w:ind w:left="720" w:hanging="360"/>
      </w:pPr>
      <w:r w:rsidDel="00000000" w:rsidR="00000000" w:rsidRPr="00000000">
        <w:rPr>
          <w:rtl w:val="0"/>
        </w:rPr>
        <w:t xml:space="preserve">Proposed action plan</w:t>
      </w:r>
    </w:p>
    <w:p w:rsidR="00000000" w:rsidDel="00000000" w:rsidP="00000000" w:rsidRDefault="00000000" w:rsidRPr="00000000" w14:paraId="000000EB">
      <w:pPr>
        <w:numPr>
          <w:ilvl w:val="0"/>
          <w:numId w:val="1"/>
        </w:numPr>
        <w:spacing w:after="80" w:lineRule="auto"/>
        <w:ind w:left="720" w:hanging="360"/>
      </w:pPr>
      <w:r w:rsidDel="00000000" w:rsidR="00000000" w:rsidRPr="00000000">
        <w:rPr>
          <w:rtl w:val="0"/>
        </w:rPr>
        <w:t xml:space="preserve">Expert’s confidence in their own judgment on this specific problem</w:t>
      </w:r>
    </w:p>
    <w:p w:rsidR="00000000" w:rsidDel="00000000" w:rsidP="00000000" w:rsidRDefault="00000000" w:rsidRPr="00000000" w14:paraId="000000EC">
      <w:pPr>
        <w:numPr>
          <w:ilvl w:val="0"/>
          <w:numId w:val="1"/>
        </w:numPr>
        <w:spacing w:after="80" w:lineRule="auto"/>
        <w:ind w:left="720" w:hanging="360"/>
      </w:pPr>
      <w:r w:rsidDel="00000000" w:rsidR="00000000" w:rsidRPr="00000000">
        <w:rPr>
          <w:rtl w:val="0"/>
        </w:rPr>
        <w:t xml:space="preserve">Whether follow-on implementation engagement was initiated</w:t>
      </w:r>
    </w:p>
    <w:p w:rsidR="00000000" w:rsidDel="00000000" w:rsidP="00000000" w:rsidRDefault="00000000" w:rsidRPr="00000000" w14:paraId="000000ED">
      <w:pPr>
        <w:numPr>
          <w:ilvl w:val="0"/>
          <w:numId w:val="1"/>
        </w:numPr>
        <w:spacing w:after="80" w:lineRule="auto"/>
        <w:ind w:left="720" w:hanging="360"/>
      </w:pPr>
      <w:r w:rsidDel="00000000" w:rsidR="00000000" w:rsidRPr="00000000">
        <w:rPr>
          <w:rtl w:val="0"/>
        </w:rPr>
        <w:t xml:space="preserve">Whether the expert flagged the problem as outside their area</w:t>
      </w:r>
    </w:p>
    <w:p w:rsidR="00000000" w:rsidDel="00000000" w:rsidP="00000000" w:rsidRDefault="00000000" w:rsidRPr="00000000" w14:paraId="000000EE">
      <w:pPr>
        <w:pStyle w:val="Heading2"/>
        <w:rPr/>
      </w:pPr>
      <w:r w:rsidDel="00000000" w:rsidR="00000000" w:rsidRPr="00000000">
        <w:rPr>
          <w:rtl w:val="0"/>
        </w:rPr>
        <w:t xml:space="preserve">3.6 Outcome measurement</w:t>
      </w:r>
    </w:p>
    <w:p w:rsidR="00000000" w:rsidDel="00000000" w:rsidP="00000000" w:rsidRDefault="00000000" w:rsidRPr="00000000" w14:paraId="000000EF">
      <w:pPr>
        <w:spacing w:after="120" w:lineRule="auto"/>
        <w:rPr/>
      </w:pPr>
      <w:r w:rsidDel="00000000" w:rsidR="00000000" w:rsidRPr="00000000">
        <w:rPr>
          <w:rtl w:val="0"/>
        </w:rPr>
        <w:t xml:space="preserve">Every expert intervention must be measured against the lever it was triggered to address. The question is not whether the expert gave good advice in isolation, but whether the action plan they proposed produced a measurable improvement on the specific lever that was drifting.</w:t>
      </w:r>
    </w:p>
    <w:p w:rsidR="00000000" w:rsidDel="00000000" w:rsidP="00000000" w:rsidRDefault="00000000" w:rsidRPr="00000000" w14:paraId="000000F0">
      <w:pPr>
        <w:spacing w:after="120" w:lineRule="auto"/>
        <w:rPr/>
      </w:pPr>
      <w:r w:rsidDel="00000000" w:rsidR="00000000" w:rsidRPr="00000000">
        <w:rPr>
          <w:rtl w:val="0"/>
        </w:rPr>
        <w:t xml:space="preserve">This means tracking, for each intervention: which lever was the target, what the lever’s trajectory looked like before the intervention, what the expert proposed, and whether the lever improved within a defined window after the plan was executed. The window depends on the lever type — pipeline metrics may respond in weeks, retention metrics take longer — but the measurement must happen.</w:t>
      </w:r>
    </w:p>
    <w:p w:rsidR="00000000" w:rsidDel="00000000" w:rsidP="00000000" w:rsidRDefault="00000000" w:rsidRPr="00000000" w14:paraId="000000F1">
      <w:pPr>
        <w:spacing w:after="120" w:lineRule="auto"/>
        <w:rPr/>
      </w:pPr>
      <w:r w:rsidDel="00000000" w:rsidR="00000000" w:rsidRPr="00000000">
        <w:rPr>
          <w:rtl w:val="0"/>
        </w:rPr>
        <w:t xml:space="preserve">It is the whole system’s value that matters, not the attribution between BADbrain and the expert. Whether BADbrain did the heavy lifting on diagnosis and the expert refined it, or the expert generated the hypothesis from scratch in low-confidence mode, the test is the same: did the intervention produce a result? An expert who validates a diagnosis and proposes a plan that works has delivered value. An expert who reframes a diagnosis and proposes a different plan that works has delivered value. We do not need to separate the credit.</w:t>
      </w:r>
    </w:p>
    <w:p w:rsidR="00000000" w:rsidDel="00000000" w:rsidP="00000000" w:rsidRDefault="00000000" w:rsidRPr="00000000" w14:paraId="000000F2">
      <w:pPr>
        <w:spacing w:after="120" w:lineRule="auto"/>
        <w:rPr/>
      </w:pPr>
      <w:r w:rsidDel="00000000" w:rsidR="00000000" w:rsidRPr="00000000">
        <w:rPr>
          <w:rtl w:val="0"/>
        </w:rPr>
        <w:t xml:space="preserve">The ultimate test is always: did this intervention get this company closer to Series A, faster? Individual lever improvement is the leading indicator. Trajectory compression toward the next-round milestone is the lagging confirmation. Both must be logged. Without this closed loop, we cannot know whether the expert engagement model is working, which experts are producing real impact, or whether the system as a whole is compounding.</w:t>
      </w:r>
    </w:p>
    <w:p w:rsidR="00000000" w:rsidDel="00000000" w:rsidP="00000000" w:rsidRDefault="00000000" w:rsidRPr="00000000" w14:paraId="000000F3">
      <w:pPr>
        <w:spacing w:after="120" w:lineRule="auto"/>
        <w:rPr/>
      </w:pPr>
      <w:r w:rsidDel="00000000" w:rsidR="00000000" w:rsidRPr="00000000">
        <w:rPr>
          <w:rtl w:val="0"/>
        </w:rPr>
        <w:t xml:space="preserve">One scenario this measurement does not fully control for: the expert proposes a sound plan, but the founder executes it poorly. We hedge this at the investment stage, not the intervention stage. WIN is built on the premise that we invest in exceptional founders — founders who can execute a well-defined plan. If a founder consistently fails to execute on expert-validated plans, the problem is upstream of the engagement model, and the appropriate response is a partner-level conversation about the company’s trajectory, not a redesign of the expert loop.</w:t>
      </w:r>
    </w:p>
    <w:p w:rsidR="00000000" w:rsidDel="00000000" w:rsidP="00000000" w:rsidRDefault="00000000" w:rsidRPr="00000000" w14:paraId="000000F4">
      <w:pPr>
        <w:pStyle w:val="Heading1"/>
        <w:rPr/>
      </w:pPr>
      <w:r w:rsidDel="00000000" w:rsidR="00000000" w:rsidRPr="00000000">
        <w:rPr>
          <w:rtl w:val="0"/>
        </w:rPr>
        <w:t xml:space="preserve">4. Incentive Structure</w:t>
      </w:r>
    </w:p>
    <w:p w:rsidR="00000000" w:rsidDel="00000000" w:rsidP="00000000" w:rsidRDefault="00000000" w:rsidRPr="00000000" w14:paraId="000000F5">
      <w:pPr>
        <w:pStyle w:val="Heading2"/>
        <w:rPr/>
      </w:pPr>
      <w:r w:rsidDel="00000000" w:rsidR="00000000" w:rsidRPr="00000000">
        <w:rPr>
          <w:rtl w:val="0"/>
        </w:rPr>
        <w:t xml:space="preserve">4.1 The pitch</w:t>
      </w:r>
    </w:p>
    <w:p w:rsidR="00000000" w:rsidDel="00000000" w:rsidP="00000000" w:rsidRDefault="00000000" w:rsidRPr="00000000" w14:paraId="000000F6">
      <w:pPr>
        <w:spacing w:after="120" w:lineRule="auto"/>
        <w:rPr/>
      </w:pPr>
      <w:r w:rsidDel="00000000" w:rsidR="00000000" w:rsidRPr="00000000">
        <w:rPr>
          <w:rtl w:val="0"/>
        </w:rPr>
        <w:t xml:space="preserve">The pitch is not “advisory role with carry.” The pitch is access, framed correctly:</w:t>
      </w:r>
    </w:p>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tl w:val="0"/>
        </w:rPr>
        <w:t xml:space="preserve">The implicit offer: a curated feed of hard, real problems at the moment they matter, from a fund whose system has already done the prep work. For a senior GTM operator who is post-IC or between roles, this is genuinely rare. Most advisor relationships involve sitting in context-assembly meetings and offering generic frameworks. This is the opposite.</w:t>
      </w:r>
    </w:p>
    <w:p w:rsidR="00000000" w:rsidDel="00000000" w:rsidP="00000000" w:rsidRDefault="00000000" w:rsidRPr="00000000" w14:paraId="000000F9">
      <w:pPr>
        <w:pStyle w:val="Heading2"/>
        <w:rPr/>
      </w:pPr>
      <w:r w:rsidDel="00000000" w:rsidR="00000000" w:rsidRPr="00000000">
        <w:rPr>
          <w:rtl w:val="0"/>
        </w:rPr>
        <w:t xml:space="preserve">4.2 Pilot phase</w:t>
      </w:r>
    </w:p>
    <w:p w:rsidR="00000000" w:rsidDel="00000000" w:rsidP="00000000" w:rsidRDefault="00000000" w:rsidRPr="00000000" w14:paraId="000000FA">
      <w:pPr>
        <w:spacing w:after="120" w:lineRule="auto"/>
        <w:rPr/>
      </w:pPr>
      <w:r w:rsidDel="00000000" w:rsidR="00000000" w:rsidRPr="00000000">
        <w:rPr>
          <w:rtl w:val="0"/>
        </w:rPr>
        <w:t xml:space="preserve">The pilot phase has two purposes: for us to validate that the expert can deliver meaningful value to the companies they engage with, and for the expert to learn how the system works — how Marv briefs, what the context packets look like, how the engagement flow runs.</w:t>
      </w:r>
    </w:p>
    <w:p w:rsidR="00000000" w:rsidDel="00000000" w:rsidP="00000000" w:rsidRDefault="00000000" w:rsidRPr="00000000" w14:paraId="000000FB">
      <w:pPr>
        <w:spacing w:after="120" w:lineRule="auto"/>
        <w:rPr/>
      </w:pPr>
      <w:r w:rsidDel="00000000" w:rsidR="00000000" w:rsidRPr="00000000">
        <w:rPr>
          <w:rtl w:val="0"/>
        </w:rPr>
        <w:t xml:space="preserve">During the pilot, the expert completes one or a few initial missions free of charge. This is the validation step. If the engagements produce substantive output (validated/reframed diagnosis + actionable plan) and the outcome measurement (Section 3.6) shows the intervention contributed to lever improvement, the expert moves to the carry track.</w:t>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4.3 Carry structure</w:t>
      </w:r>
    </w:p>
    <w:p w:rsidR="00000000" w:rsidDel="00000000" w:rsidP="00000000" w:rsidRDefault="00000000" w:rsidRPr="00000000" w14:paraId="000000FE">
      <w:pPr>
        <w:spacing w:after="120" w:lineRule="auto"/>
        <w:rPr/>
      </w:pPr>
      <w:r w:rsidDel="00000000" w:rsidR="00000000" w:rsidRPr="00000000">
        <w:rPr>
          <w:rtl w:val="0"/>
        </w:rPr>
        <w:t xml:space="preserve">The carry model is a shared carry pool, not company-by-company carry. The trade-offs:</w:t>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numPr>
          <w:ilvl w:val="0"/>
          <w:numId w:val="1"/>
        </w:numPr>
        <w:spacing w:after="80" w:lineRule="auto"/>
        <w:ind w:left="720" w:hanging="360"/>
      </w:pPr>
      <w:r w:rsidDel="00000000" w:rsidR="00000000" w:rsidRPr="00000000">
        <w:rPr>
          <w:rtl w:val="0"/>
        </w:rPr>
        <w:t xml:space="preserve">Company-by-company carry rewards direct contribution but is complex to administer — it requires per-interaction tracking, and we learned from the syndicate that this gets messy fast.</w:t>
      </w:r>
    </w:p>
    <w:p w:rsidR="00000000" w:rsidDel="00000000" w:rsidP="00000000" w:rsidRDefault="00000000" w:rsidRPr="00000000" w14:paraId="00000101">
      <w:pPr>
        <w:numPr>
          <w:ilvl w:val="0"/>
          <w:numId w:val="1"/>
        </w:numPr>
        <w:spacing w:after="80" w:lineRule="auto"/>
        <w:ind w:left="720" w:hanging="360"/>
      </w:pPr>
      <w:r w:rsidDel="00000000" w:rsidR="00000000" w:rsidRPr="00000000">
        <w:rPr>
          <w:rtl w:val="0"/>
        </w:rPr>
        <w:t xml:space="preserve">A shared pool is simpler to calculate and creates a secondary incentive: if a GTM expert knows that other experts in the pool materially impact their upside, they are incentivised not just to do their best work, but to recruit the best possible experts alongside them.</w:t>
      </w:r>
    </w:p>
    <w:p w:rsidR="00000000" w:rsidDel="00000000" w:rsidP="00000000" w:rsidRDefault="00000000" w:rsidRPr="00000000" w14:paraId="00000102">
      <w:pPr>
        <w:numPr>
          <w:ilvl w:val="0"/>
          <w:numId w:val="1"/>
        </w:numPr>
        <w:spacing w:after="80" w:lineRule="auto"/>
        <w:ind w:left="720" w:hanging="360"/>
      </w:pPr>
      <w:r w:rsidDel="00000000" w:rsidR="00000000" w:rsidRPr="00000000">
        <w:rPr>
          <w:rtl w:val="0"/>
        </w:rPr>
        <w:t xml:space="preserve">The pool also acts as downside protection for experts. If an expert gets assigned to a company that doesn’t work out, their carry isn’t zero — they’re risk-compensated through the broader pool. In exchange for this risk compensation, we expect experts to offer reduced rates for implementation work (Section 3.3, item 3) compared to their normal consulting fees.</w:t>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numPr>
          <w:ilvl w:val="0"/>
          <w:numId w:val="1"/>
        </w:numPr>
        <w:spacing w:after="80" w:lineRule="auto"/>
        <w:ind w:left="720" w:hanging="360"/>
      </w:pPr>
      <w:r w:rsidDel="00000000" w:rsidR="00000000" w:rsidRPr="00000000">
        <w:rPr>
          <w:rtl w:val="0"/>
        </w:rPr>
        <w:t xml:space="preserve">Free-rider risk: someone who contributes minimally benefits from others’ work. Mitigated by the pilot validation gate and continuous vetting through BADbrain’s intervention outcome tracking. Experts who don’t produce results can be removed.</w:t>
      </w:r>
    </w:p>
    <w:p w:rsidR="00000000" w:rsidDel="00000000" w:rsidP="00000000" w:rsidRDefault="00000000" w:rsidRPr="00000000" w14:paraId="00000105">
      <w:pPr>
        <w:numPr>
          <w:ilvl w:val="0"/>
          <w:numId w:val="1"/>
        </w:numPr>
        <w:spacing w:after="80" w:lineRule="auto"/>
        <w:ind w:left="720" w:hanging="360"/>
      </w:pPr>
      <w:r w:rsidDel="00000000" w:rsidR="00000000" w:rsidRPr="00000000">
        <w:rPr>
          <w:rtl w:val="0"/>
        </w:rPr>
        <w:t xml:space="preserve">Uneven contribution: one expert does 8 engagements, another does 1. Pool allocation mechanics need to account for volume and quality of contribution.</w:t>
      </w:r>
    </w:p>
    <w:p w:rsidR="00000000" w:rsidDel="00000000" w:rsidP="00000000" w:rsidRDefault="00000000" w:rsidRPr="00000000" w14:paraId="00000106">
      <w:pPr>
        <w:spacing w:after="120" w:lineRule="auto"/>
        <w:rPr/>
      </w:pPr>
      <w:r w:rsidDel="00000000" w:rsidR="00000000" w:rsidRPr="00000000">
        <w:rPr>
          <w:rtl w:val="0"/>
        </w:rPr>
        <w:t xml:space="preserve">Specific carry terms to be set by GPs. The principle: carry accrues with demonstrated judgment quality, not time spent.</w:t>
      </w:r>
    </w:p>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numPr>
          <w:ilvl w:val="0"/>
          <w:numId w:val="1"/>
        </w:numPr>
        <w:spacing w:after="80" w:lineRule="auto"/>
        <w:ind w:left="720" w:hanging="360"/>
      </w:pPr>
      <w:r w:rsidDel="00000000" w:rsidR="00000000" w:rsidRPr="00000000">
        <w:rPr>
          <w:b w:val="1"/>
          <w:bCs w:val="1"/>
          <w:rtl w:val="0"/>
        </w:rPr>
        <w:t xml:space="preserve">Immediate:</w:t>
      </w:r>
      <w:r w:rsidDel="00000000" w:rsidR="00000000" w:rsidRPr="00000000">
        <w:rPr>
          <w:rtl w:val="0"/>
        </w:rPr>
        <w:t xml:space="preserve"> status/identity, reciprocity, mastery/meaning, network access</w:t>
      </w:r>
    </w:p>
    <w:p w:rsidR="00000000" w:rsidDel="00000000" w:rsidP="00000000" w:rsidRDefault="00000000" w:rsidRPr="00000000" w14:paraId="00000109">
      <w:pPr>
        <w:numPr>
          <w:ilvl w:val="0"/>
          <w:numId w:val="1"/>
        </w:numPr>
        <w:spacing w:after="80" w:lineRule="auto"/>
        <w:ind w:left="720" w:hanging="360"/>
      </w:pPr>
      <w:r w:rsidDel="00000000" w:rsidR="00000000" w:rsidRPr="00000000">
        <w:rPr>
          <w:b w:val="1"/>
          <w:bCs w:val="1"/>
          <w:rtl w:val="0"/>
        </w:rPr>
        <w:t xml:space="preserve">Optional:</w:t>
      </w:r>
      <w:r w:rsidDel="00000000" w:rsidR="00000000" w:rsidRPr="00000000">
        <w:rPr>
          <w:rtl w:val="0"/>
        </w:rPr>
        <w:t xml:space="preserve"> cash, carry, deal access</w:t>
      </w:r>
    </w:p>
    <w:p w:rsidR="00000000" w:rsidDel="00000000" w:rsidP="00000000" w:rsidRDefault="00000000" w:rsidRPr="00000000" w14:paraId="0000010A">
      <w:pPr>
        <w:pStyle w:val="Heading2"/>
        <w:rPr/>
      </w:pPr>
      <w:r w:rsidDel="00000000" w:rsidR="00000000" w:rsidRPr="00000000">
        <w:rPr>
          <w:rtl w:val="0"/>
        </w:rPr>
        <w:t xml:space="preserve">4.4 Compounding incentive</w:t>
      </w:r>
    </w:p>
    <w:p w:rsidR="00000000" w:rsidDel="00000000" w:rsidP="00000000" w:rsidRDefault="00000000" w:rsidRPr="00000000" w14:paraId="0000010B">
      <w:pPr>
        <w:spacing w:after="120" w:lineRule="auto"/>
        <w:rPr/>
      </w:pPr>
      <w:r w:rsidDel="00000000" w:rsidR="00000000" w:rsidRPr="00000000">
        <w:rPr>
          <w:rtl w:val="0"/>
        </w:rPr>
        <w:t xml:space="preserve">If the expert’s diagnosis on a specific company turns out to be correct and the intervention succeeds, they get flagged as the right expert type for that motion/failure-mode pattern. This builds their match rate in the routing layer over time, which increases their future engagement volume — a compounding incentive for experts who want more access.</w:t>
      </w:r>
    </w:p>
    <w:p w:rsidR="00000000" w:rsidDel="00000000" w:rsidP="00000000" w:rsidRDefault="00000000" w:rsidRPr="00000000" w14:paraId="0000010C">
      <w:pPr>
        <w:pStyle w:val="Heading2"/>
        <w:rPr/>
      </w:pPr>
      <w:r w:rsidDel="00000000" w:rsidR="00000000" w:rsidRPr="00000000">
        <w:rPr>
          <w:rtl w:val="0"/>
        </w:rPr>
        <w:t xml:space="preserve">4.5 What this is not</w:t>
      </w:r>
    </w:p>
    <w:p w:rsidR="00000000" w:rsidDel="00000000" w:rsidP="00000000" w:rsidRDefault="00000000" w:rsidRPr="00000000" w14:paraId="0000010D">
      <w:pPr>
        <w:spacing w:after="120" w:lineRule="auto"/>
        <w:rPr/>
      </w:pPr>
      <w:r w:rsidDel="00000000" w:rsidR="00000000" w:rsidRPr="00000000">
        <w:rPr>
          <w:rtl w:val="0"/>
        </w:rPr>
        <w:t xml:space="preserve">Open-ended advisory with quarterly check-ins, board observer seats, equity for intro networks, or cash retainers contingent on deal flow. Those incentive structures attract the wrong type of expert — people optimising for access to the fund, not for the quality of the specific judgment they can offer.</w:t>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5. Open Questions (Resolve Before Pilot)</w:t>
      </w:r>
    </w:p>
    <w:p w:rsidR="00000000" w:rsidDel="00000000" w:rsidP="00000000" w:rsidRDefault="00000000" w:rsidRPr="00000000" w14:paraId="00000110">
      <w:pPr>
        <w:pStyle w:val="Heading2"/>
        <w:rPr/>
      </w:pPr>
      <w:r w:rsidDel="00000000" w:rsidR="00000000" w:rsidRPr="00000000">
        <w:rPr>
          <w:rtl w:val="0"/>
        </w:rPr>
        <w:t xml:space="preserve">5.1 Expert-to-founder engagement model</w:t>
      </w:r>
    </w:p>
    <w:p w:rsidR="00000000" w:rsidDel="00000000" w:rsidP="00000000" w:rsidRDefault="00000000" w:rsidRPr="00000000" w14:paraId="00000111">
      <w:pPr>
        <w:spacing w:after="120" w:lineRule="auto"/>
        <w:rPr/>
      </w:pPr>
      <w:r w:rsidDel="00000000" w:rsidR="00000000" w:rsidRPr="00000000">
        <w:rPr>
          <w:rtl w:val="0"/>
        </w:rPr>
        <w:t xml:space="preserve">Implementation support (Section 3.3, item 3) is expected, but the specific engagement format between expert and founder is undefined. Open questions: should we provide structure or guardrails for that engagement? Should Marv facilitate it or stay out? What does the reduced-rate model look like in practice — does the expert bill the portco directly, or does this flow through the fund? Does the nature of the engagement (light review vs heavy hands-on) affect carry pool allocation? Ideally we want to stay away from governing the implementation step, but we should experiment with different formats during the pilot to learn what works.</w:t>
      </w:r>
    </w:p>
    <w:p w:rsidR="00000000" w:rsidDel="00000000" w:rsidP="00000000" w:rsidRDefault="00000000" w:rsidRPr="00000000" w14:paraId="00000112">
      <w:pPr>
        <w:pStyle w:val="Heading2"/>
        <w:rPr/>
      </w:pPr>
      <w:r w:rsidDel="00000000" w:rsidR="00000000" w:rsidRPr="00000000">
        <w:rPr>
          <w:rtl w:val="0"/>
        </w:rPr>
        <w:t xml:space="preserve">5.2 Nomination and vetting</w:t>
      </w:r>
    </w:p>
    <w:p w:rsidR="00000000" w:rsidDel="00000000" w:rsidP="00000000" w:rsidRDefault="00000000" w:rsidRPr="00000000" w14:paraId="00000113">
      <w:pPr>
        <w:spacing w:after="120" w:lineRule="auto"/>
        <w:rPr/>
      </w:pPr>
      <w:r w:rsidDel="00000000" w:rsidR="00000000" w:rsidRPr="00000000">
        <w:rPr>
          <w:rtl w:val="0"/>
        </w:rPr>
        <w:t xml:space="preserve">GPs nominate the first GTM experts based on their networks and knowledge of the portfolio’s motion types. BADbrain then vets them through the intervention loop: do their engagements produce action plans that meaningfully improve the levers they were asked to address? Do the companies they work with move closer to Series A? The vetting is not a one-time gate — it is continuous and outcome-based.</w:t>
      </w:r>
    </w:p>
    <w:p w:rsidR="00000000" w:rsidDel="00000000" w:rsidP="00000000" w:rsidRDefault="00000000" w:rsidRPr="00000000" w14:paraId="00000114">
      <w:pPr>
        <w:spacing w:after="120" w:lineRule="auto"/>
        <w:rPr/>
      </w:pPr>
      <w:r w:rsidDel="00000000" w:rsidR="00000000" w:rsidRPr="00000000">
        <w:rPr>
          <w:rtl w:val="0"/>
        </w:rPr>
        <w:t xml:space="preserve">Open question: if the pool is drawn entirely from GP networks, the pattern recognition may have the same blind spots. Worth deliberately seeding one or two experts from outside the BADideas orbit.</w:t>
      </w:r>
    </w:p>
    <w:p w:rsidR="00000000" w:rsidDel="00000000" w:rsidP="00000000" w:rsidRDefault="00000000" w:rsidRPr="00000000" w14:paraId="00000115">
      <w:pPr>
        <w:pStyle w:val="Heading2"/>
        <w:rPr/>
      </w:pPr>
      <w:r w:rsidDel="00000000" w:rsidR="00000000" w:rsidRPr="00000000">
        <w:rPr>
          <w:rtl w:val="0"/>
        </w:rPr>
        <w:t xml:space="preserve">5.3 Minimum engagement frequency</w:t>
      </w:r>
    </w:p>
    <w:p w:rsidR="00000000" w:rsidDel="00000000" w:rsidP="00000000" w:rsidRDefault="00000000" w:rsidRPr="00000000" w14:paraId="00000116">
      <w:pPr>
        <w:spacing w:after="120" w:lineRule="auto"/>
        <w:rPr/>
      </w:pPr>
      <w:r w:rsidDel="00000000" w:rsidR="00000000" w:rsidRPr="00000000">
        <w:rPr>
          <w:rtl w:val="0"/>
        </w:rPr>
        <w:t xml:space="preserve">If an expert goes too long without engaging, two things degrade: they forget how the process works (how Marv briefs, what the context packets look like, what the output format is), and their carry buy-in weakens to the point where they’re no longer motivated to stay in the loop. What’s the minimum engagement rate with any given expert to keep them sharp on the process and invested enough through carry that the relationship remains active?</w:t>
      </w:r>
    </w:p>
    <w:p w:rsidR="00000000" w:rsidDel="00000000" w:rsidP="00000000" w:rsidRDefault="00000000" w:rsidRPr="00000000" w14:paraId="00000117">
      <w:pPr>
        <w:pStyle w:val="Heading2"/>
        <w:rPr/>
      </w:pPr>
      <w:r w:rsidDel="00000000" w:rsidR="00000000" w:rsidRPr="00000000">
        <w:rPr>
          <w:rtl w:val="0"/>
        </w:rPr>
        <w:t xml:space="preserve">5.4 Expert community</w:t>
      </w:r>
    </w:p>
    <w:p w:rsidR="00000000" w:rsidDel="00000000" w:rsidP="00000000" w:rsidRDefault="00000000" w:rsidRPr="00000000" w14:paraId="00000118">
      <w:pPr>
        <w:spacing w:after="120" w:lineRule="auto"/>
        <w:rPr/>
      </w:pPr>
      <w:r w:rsidDel="00000000" w:rsidR="00000000" w:rsidRPr="00000000">
        <w:rPr>
          <w:rtl w:val="0"/>
        </w:rPr>
        <w:t xml:space="preserve">Should experts in the pool know about each other? There may be value in experts comparing notes on similar failure modes across the portfolio — but this introduces confidentiality considerations and is not the primary goal. For now, experts operate independently. Whether to introduce them to one another, or to build any form of community or shared learning, is a decision for later once the core engagement model is working.</w:t>
      </w:r>
    </w:p>
    <w:p w:rsidR="00000000" w:rsidDel="00000000" w:rsidP="00000000" w:rsidRDefault="00000000" w:rsidRPr="00000000" w14:paraId="00000119">
      <w:pPr>
        <w:pStyle w:val="Heading2"/>
        <w:rPr/>
      </w:pPr>
      <w:r w:rsidDel="00000000" w:rsidR="00000000" w:rsidRPr="00000000">
        <w:rPr>
          <w:rtl w:val="0"/>
        </w:rPr>
        <w:t xml:space="preserve">5.5 Pilot phase duration and validation criteria</w:t>
      </w:r>
    </w:p>
    <w:p w:rsidR="00000000" w:rsidDel="00000000" w:rsidP="00000000" w:rsidRDefault="00000000" w:rsidRPr="00000000" w14:paraId="0000011A">
      <w:pPr>
        <w:spacing w:after="120" w:lineRule="auto"/>
        <w:rPr/>
      </w:pPr>
      <w:r w:rsidDel="00000000" w:rsidR="00000000" w:rsidRPr="00000000">
        <w:rPr>
          <w:rtl w:val="0"/>
        </w:rPr>
        <w:t xml:space="preserve">How many missions constitute a sufficient pilot for validation? What specific criteria does the partner use to assess whether the expert moves to the carry track? How long does the pilot window last before a decision is required? The ultimate success metric is time to Series A — the system works if companies stay on plan and resolve drifts faster than they would without it. Which leading signals best characterise that is something we will figure out as we go.</w:t>
      </w:r>
    </w:p>
    <w:p w:rsidR="00000000" w:rsidDel="00000000" w:rsidP="00000000" w:rsidRDefault="00000000" w:rsidRPr="00000000" w14:paraId="0000011B">
      <w:pPr>
        <w:pStyle w:val="Heading2"/>
        <w:rPr/>
      </w:pPr>
      <w:r w:rsidDel="00000000" w:rsidR="00000000" w:rsidRPr="00000000">
        <w:rPr>
          <w:rtl w:val="0"/>
        </w:rPr>
        <w:t xml:space="preserve">5.6 Carry pool mechanics</w:t>
      </w:r>
    </w:p>
    <w:p w:rsidR="00000000" w:rsidDel="00000000" w:rsidP="00000000" w:rsidRDefault="00000000" w:rsidRPr="00000000" w14:paraId="0000011C">
      <w:pPr>
        <w:spacing w:after="120" w:lineRule="auto"/>
        <w:rPr/>
      </w:pPr>
      <w:r w:rsidDel="00000000" w:rsidR="00000000" w:rsidRPr="00000000">
        <w:rPr>
          <w:rtl w:val="0"/>
        </w:rPr>
        <w:t xml:space="preserve">The decision to use a shared carry pool is made, but the allocation mechanics are not. How is the pool sized relative to the fund? How is individual allocation weighted — by number of engagements, by outcome quality, or by tenure? What happens to an expert’s allocation if they are removed from the pool? These details are for GPs to define.</w:t>
      </w:r>
    </w:p>
    <w:p w:rsidR="00000000" w:rsidDel="00000000" w:rsidP="00000000" w:rsidRDefault="00000000" w:rsidRPr="00000000" w14:paraId="0000011D">
      <w:pPr>
        <w:pBdr>
          <w:top w:color="cccccc" w:space="8" w:sz="6" w:val="single"/>
        </w:pBdr>
        <w:spacing w:before="200" w:lineRule="auto"/>
        <w:rPr>
          <w:b w:val="1"/>
          <w:bCs w:val="1"/>
          <w:sz w:val="40"/>
          <w:szCs w:val="40"/>
        </w:rPr>
      </w:pPr>
      <w:r w:rsidDel="00000000" w:rsidR="00000000" w:rsidRPr="00000000">
        <w:rPr>
          <w:i w:val="1"/>
          <w:iCs w:val="1"/>
          <w:color w:val="999999"/>
          <w:sz w:val="18"/>
          <w:szCs w:val="18"/>
          <w:rtl w:val="0"/>
        </w:rPr>
        <w:t xml:space="preserve">BADbrain WIN · GTM Expert Engagement Model · Internal working document · Not for external distribution</w:t>
      </w:r>
      <w:r w:rsidDel="00000000" w:rsidR="00000000" w:rsidRPr="00000000">
        <w:rPr>
          <w:rtl w:val="0"/>
        </w:rPr>
      </w:r>
    </w:p>
    <w:p w:rsidR="00000000" w:rsidDel="00000000" w:rsidP="00000000" w:rsidRDefault="00000000" w:rsidRPr="00000000" w14:paraId="0000011E">
      <w:pPr>
        <w:pBdr>
          <w:top w:color="cccccc" w:space="8" w:sz="6" w:val="single"/>
        </w:pBdr>
        <w:spacing w:before="200" w:lineRule="auto"/>
        <w:rPr>
          <w:b w:val="1"/>
          <w:bCs w:val="1"/>
          <w:sz w:val="40"/>
          <w:szCs w:val="4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QO2iz4T6obqo9RhgPjpzikUJg==">CgMxLjAaHQoBMBIYChYIB0ISEhBBcmlhbCBVbmljb2RlIE1TOAByITFIeDRmVFdmWVVONWhTblhDQm43WEZXSVpMMmFjRkRRRQ==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2026-03-10T11:14:59.026Z</dcterms:created>
  <dc:creator>Un-named</dc:creator>
</cp:coreProperties>
</file>

<file path=docProps/custom.xml><?xml version="1.0" encoding="utf-8"?>
<Properties xmlns="http://schemas.openxmlformats.org/officeDocument/2006/custom-properties" xmlns:vt="http://schemas.openxmlformats.org/officeDocument/2006/docPropsVTypes"/>
</file>