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jc w:val="center"/>
      </w:pPr>
      <w:r>
        <w:rPr>
          <w:b/>
          <w:bCs/>
          <w:color w:val="C8102E"/>
          <w:sz w:val="40"/>
          <w:szCs w:val="40"/>
        </w:rPr>
        <w:t xml:space="preserve">ESPRIT</w:t>
      </w:r>
    </w:p>
    <w:p>
      <w:pPr>
        <w:spacing w:after="400"/>
        <w:jc w:val="center"/>
      </w:pPr>
      <w:r>
        <w:rPr>
          <w:i/>
          <w:iCs/>
          <w:color w:val="595959"/>
          <w:sz w:val="20"/>
          <w:szCs w:val="20"/>
        </w:rPr>
        <w:t xml:space="preserve">École Supérieure Privée d'Ingénierie et de Technologies</w:t>
      </w:r>
    </w:p>
    <w:p>
      <w:pPr>
        <w:spacing w:after="200" w:before="800"/>
        <w:jc w:val="center"/>
      </w:pPr>
      <w:r>
        <w:rPr>
          <w:b/>
          <w:bCs/>
          <w:color w:val="1A1A1A"/>
          <w:sz w:val="32"/>
          <w:szCs w:val="32"/>
        </w:rPr>
        <w:t xml:space="preserve">RAPPORT DE STAGE D'ÉTÉ</w:t>
      </w:r>
    </w:p>
    <w:p>
      <w:pPr>
        <w:spacing w:after="100"/>
        <w:jc w:val="center"/>
      </w:pPr>
      <w:r>
        <w:rPr>
          <w:color w:val="595959"/>
          <w:sz w:val="24"/>
          <w:szCs w:val="24"/>
        </w:rPr>
        <w:t xml:space="preserve">2025 – 2026</w:t>
      </w:r>
    </w:p>
    <w:p>
      <w:pPr>
        <w:spacing w:after="100" w:before="500"/>
        <w:jc w:val="center"/>
      </w:pPr>
      <w:r>
        <w:rPr>
          <w:b/>
          <w:bCs/>
          <w:color w:val="C8102E"/>
          <w:sz w:val="44"/>
          <w:szCs w:val="44"/>
        </w:rPr>
        <w:t xml:space="preserve">QuizBot</w:t>
      </w:r>
    </w:p>
    <w:p>
      <w:pPr>
        <w:spacing w:after="500"/>
        <w:jc w:val="center"/>
      </w:pPr>
      <w:r>
        <w:rPr>
          <w:i/>
          <w:iCs/>
          <w:color w:val="1A1A1A"/>
          <w:sz w:val="22"/>
          <w:szCs w:val="22"/>
        </w:rPr>
        <w:t xml:space="preserve">Assistant Pédagogique Intelligent —</w:t>
      </w:r>
      <w:r>
        <w:rPr>
          <w:i/>
          <w:iCs/>
          <w:color w:val="1A1A1A"/>
          <w:sz w:val="22"/>
          <w:szCs w:val="22"/>
        </w:rPr>
        <w:t xml:space="preserve"> génération automatique de questionnaires via RAG et API LLM</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c>
          <w:tcPr>
            <w:tcW w:type="dxa" w:w="3000"/>
            <w:shd w:fill="C8102E" w:val="clear"/>
            <w:tcMar>
              <w:top w:type="dxa" w:w="80"/>
              <w:left w:type="dxa" w:w="100"/>
              <w:bottom w:type="dxa" w:w="80"/>
              <w:right w:type="dxa" w:w="100"/>
            </w:tcMar>
          </w:tcPr>
          <w:p>
            <w:r>
              <w:rPr>
                <w:b/>
                <w:bCs/>
                <w:color w:val="FFFFFF"/>
                <w:sz w:val="20"/>
                <w:szCs w:val="20"/>
              </w:rPr>
              <w:t xml:space="preserve">Champ</w:t>
            </w:r>
          </w:p>
        </w:tc>
        <w:tc>
          <w:tcPr>
            <w:tcW w:type="dxa" w:w="6300"/>
            <w:shd w:fill="C8102E" w:val="clear"/>
            <w:tcMar>
              <w:top w:type="dxa" w:w="80"/>
              <w:left w:type="dxa" w:w="100"/>
              <w:bottom w:type="dxa" w:w="80"/>
              <w:right w:type="dxa" w:w="100"/>
            </w:tcMar>
          </w:tcPr>
          <w:p>
            <w:r>
              <w:rPr>
                <w:b/>
                <w:bCs/>
                <w:color w:val="FFFFFF"/>
                <w:sz w:val="20"/>
                <w:szCs w:val="20"/>
              </w:rPr>
              <w:t xml:space="preserve">Détail</w:t>
            </w:r>
          </w:p>
        </w:tc>
      </w:tr>
      <w:tr>
        <w:tc>
          <w:tcPr>
            <w:tcW w:type="dxa" w:w="3000"/>
            <w:tcMar>
              <w:top w:type="dxa" w:w="80"/>
              <w:left w:type="dxa" w:w="100"/>
              <w:bottom w:type="dxa" w:w="80"/>
              <w:right w:type="dxa" w:w="100"/>
            </w:tcMar>
          </w:tcPr>
          <w:p>
            <w:r>
              <w:rPr>
                <w:b w:val="false"/>
                <w:bCs w:val="false"/>
                <w:color w:val="1A1A1A"/>
                <w:sz w:val="20"/>
                <w:szCs w:val="20"/>
              </w:rPr>
              <w:t xml:space="preserve">Étudiant</w:t>
            </w:r>
          </w:p>
        </w:tc>
        <w:tc>
          <w:tcPr>
            <w:tcW w:type="dxa" w:w="6300"/>
            <w:tcMar>
              <w:top w:type="dxa" w:w="80"/>
              <w:left w:type="dxa" w:w="100"/>
              <w:bottom w:type="dxa" w:w="80"/>
              <w:right w:type="dxa" w:w="100"/>
            </w:tcMar>
          </w:tcPr>
          <w:p>
            <w:r>
              <w:rPr>
                <w:b w:val="false"/>
                <w:bCs w:val="false"/>
                <w:color w:val="1A1A1A"/>
                <w:sz w:val="20"/>
                <w:szCs w:val="20"/>
              </w:rPr>
              <w:t xml:space="preserve">Rayen Mannai</w:t>
            </w:r>
          </w:p>
        </w:tc>
      </w:tr>
      <w:tr>
        <w:tc>
          <w:tcPr>
            <w:tcW w:type="dxa" w:w="3000"/>
            <w:tcMar>
              <w:top w:type="dxa" w:w="80"/>
              <w:left w:type="dxa" w:w="100"/>
              <w:bottom w:type="dxa" w:w="80"/>
              <w:right w:type="dxa" w:w="100"/>
            </w:tcMar>
          </w:tcPr>
          <w:p>
            <w:r>
              <w:rPr>
                <w:b w:val="false"/>
                <w:bCs w:val="false"/>
                <w:color w:val="1A1A1A"/>
                <w:sz w:val="20"/>
                <w:szCs w:val="20"/>
              </w:rPr>
              <w:t xml:space="preserve">Filière</w:t>
            </w:r>
          </w:p>
        </w:tc>
        <w:tc>
          <w:tcPr>
            <w:tcW w:type="dxa" w:w="6300"/>
            <w:tcMar>
              <w:top w:type="dxa" w:w="80"/>
              <w:left w:type="dxa" w:w="100"/>
              <w:bottom w:type="dxa" w:w="80"/>
              <w:right w:type="dxa" w:w="100"/>
            </w:tcMar>
          </w:tcPr>
          <w:p>
            <w:r>
              <w:rPr>
                <w:b w:val="false"/>
                <w:bCs w:val="false"/>
                <w:color w:val="1A1A1A"/>
                <w:sz w:val="20"/>
                <w:szCs w:val="20"/>
              </w:rPr>
              <w:t xml:space="preserve">Data Science Engineering — Cycle Ingénieur</w:t>
            </w:r>
          </w:p>
        </w:tc>
      </w:tr>
      <w:tr>
        <w:tc>
          <w:tcPr>
            <w:tcW w:type="dxa" w:w="3000"/>
            <w:tcMar>
              <w:top w:type="dxa" w:w="80"/>
              <w:left w:type="dxa" w:w="100"/>
              <w:bottom w:type="dxa" w:w="80"/>
              <w:right w:type="dxa" w:w="100"/>
            </w:tcMar>
          </w:tcPr>
          <w:p>
            <w:r>
              <w:rPr>
                <w:b w:val="false"/>
                <w:bCs w:val="false"/>
                <w:color w:val="1A1A1A"/>
                <w:sz w:val="20"/>
                <w:szCs w:val="20"/>
              </w:rPr>
              <w:t xml:space="preserve">Durée du stage</w:t>
            </w:r>
          </w:p>
        </w:tc>
        <w:tc>
          <w:tcPr>
            <w:tcW w:type="dxa" w:w="6300"/>
            <w:tcMar>
              <w:top w:type="dxa" w:w="80"/>
              <w:left w:type="dxa" w:w="100"/>
              <w:bottom w:type="dxa" w:w="80"/>
              <w:right w:type="dxa" w:w="100"/>
            </w:tcMar>
          </w:tcPr>
          <w:p>
            <w:r>
              <w:rPr>
                <w:b w:val="false"/>
                <w:bCs w:val="false"/>
                <w:color w:val="1A1A1A"/>
                <w:sz w:val="20"/>
                <w:szCs w:val="20"/>
              </w:rPr>
              <w:t xml:space="preserve">1 à 2 mois</w:t>
            </w:r>
          </w:p>
        </w:tc>
      </w:tr>
      <w:tr>
        <w:tc>
          <w:tcPr>
            <w:tcW w:type="dxa" w:w="3000"/>
            <w:tcMar>
              <w:top w:type="dxa" w:w="80"/>
              <w:left w:type="dxa" w:w="100"/>
              <w:bottom w:type="dxa" w:w="80"/>
              <w:right w:type="dxa" w:w="100"/>
            </w:tcMar>
          </w:tcPr>
          <w:p>
            <w:r>
              <w:rPr>
                <w:b w:val="false"/>
                <w:bCs w:val="false"/>
                <w:color w:val="1A1A1A"/>
                <w:sz w:val="20"/>
                <w:szCs w:val="20"/>
              </w:rPr>
              <w:t xml:space="preserve">Technologies</w:t>
            </w:r>
          </w:p>
        </w:tc>
        <w:tc>
          <w:tcPr>
            <w:tcW w:type="dxa" w:w="6300"/>
            <w:tcMar>
              <w:top w:type="dxa" w:w="80"/>
              <w:left w:type="dxa" w:w="100"/>
              <w:bottom w:type="dxa" w:w="80"/>
              <w:right w:type="dxa" w:w="100"/>
            </w:tcMar>
          </w:tcPr>
          <w:p>
            <w:r>
              <w:rPr>
                <w:b w:val="false"/>
                <w:bCs w:val="false"/>
                <w:color w:val="1A1A1A"/>
                <w:sz w:val="20"/>
                <w:szCs w:val="20"/>
              </w:rPr>
              <w:t xml:space="preserve">Python, FastAPI, LangChain, ChromaDB, Streamlit, RAG, API LLM</w:t>
            </w:r>
          </w:p>
        </w:tc>
      </w:tr>
    </w:tbl>
    <w:p>
      <w:r>
        <w:br w:type="page"/>
      </w:r>
    </w:p>
    <w:p>
      <w:pPr>
        <w:pStyle w:val="Heading1"/>
        <w:pBdr>
          <w:bottom w:val="single" w:color="C8102E" w:sz="6" w:space="4"/>
        </w:pBdr>
        <w:spacing w:after="160" w:before="320"/>
      </w:pPr>
      <w:r>
        <w:rPr>
          <w:b/>
          <w:bCs/>
          <w:color w:val="C8102E"/>
          <w:sz w:val="30"/>
          <w:szCs w:val="30"/>
        </w:rPr>
        <w:t xml:space="preserve">Table des matières</w:t>
      </w:r>
    </w:p>
    <w:p>
      <w:pPr>
        <w:spacing w:after="140" w:line="276"/>
        <w:jc w:val="both"/>
      </w:pPr>
      <w:r>
        <w:rPr>
          <w:color w:val="1A1A1A"/>
          <w:sz w:val="21"/>
          <w:szCs w:val="21"/>
        </w:rPr>
        <w:t xml:space="preserve">1. Introduction</w:t>
      </w:r>
    </w:p>
    <w:p>
      <w:pPr>
        <w:spacing w:after="140" w:line="276"/>
        <w:jc w:val="both"/>
      </w:pPr>
      <w:r>
        <w:rPr>
          <w:color w:val="1A1A1A"/>
          <w:sz w:val="21"/>
          <w:szCs w:val="21"/>
        </w:rPr>
        <w:t xml:space="preserve">2. Contexte et problématique</w:t>
      </w:r>
    </w:p>
    <w:p>
      <w:pPr>
        <w:spacing w:after="140" w:line="276"/>
        <w:jc w:val="both"/>
      </w:pPr>
      <w:r>
        <w:rPr>
          <w:color w:val="1A1A1A"/>
          <w:sz w:val="21"/>
          <w:szCs w:val="21"/>
        </w:rPr>
        <w:t xml:space="preserve">3. Analyse des besoins et objectifs</w:t>
      </w:r>
    </w:p>
    <w:p>
      <w:pPr>
        <w:spacing w:after="140" w:line="276"/>
        <w:jc w:val="both"/>
      </w:pPr>
      <w:r>
        <w:rPr>
          <w:color w:val="1A1A1A"/>
          <w:sz w:val="21"/>
          <w:szCs w:val="21"/>
        </w:rPr>
        <w:t xml:space="preserve">4. Architecture technique</w:t>
      </w:r>
    </w:p>
    <w:p>
      <w:pPr>
        <w:spacing w:after="140" w:line="276"/>
        <w:jc w:val="both"/>
      </w:pPr>
      <w:r>
        <w:rPr>
          <w:color w:val="1A1A1A"/>
          <w:sz w:val="21"/>
          <w:szCs w:val="21"/>
        </w:rPr>
        <w:t xml:space="preserve">5. Choix techniques et justifications</w:t>
      </w:r>
    </w:p>
    <w:p>
      <w:pPr>
        <w:spacing w:after="140" w:line="276"/>
        <w:jc w:val="both"/>
      </w:pPr>
      <w:r>
        <w:rPr>
          <w:color w:val="1A1A1A"/>
          <w:sz w:val="21"/>
          <w:szCs w:val="21"/>
        </w:rPr>
        <w:t xml:space="preserve">6. Pipeline RAG : implémentation détaillée</w:t>
      </w:r>
    </w:p>
    <w:p>
      <w:pPr>
        <w:spacing w:after="140" w:line="276"/>
        <w:jc w:val="both"/>
      </w:pPr>
      <w:r>
        <w:rPr>
          <w:color w:val="1A1A1A"/>
          <w:sz w:val="21"/>
          <w:szCs w:val="21"/>
        </w:rPr>
        <w:t xml:space="preserve">7. Description des modules</w:t>
      </w:r>
    </w:p>
    <w:p>
      <w:pPr>
        <w:spacing w:after="140" w:line="276"/>
        <w:jc w:val="both"/>
      </w:pPr>
      <w:r>
        <w:rPr>
          <w:color w:val="1A1A1A"/>
          <w:sz w:val="21"/>
          <w:szCs w:val="21"/>
        </w:rPr>
        <w:t xml:space="preserve">8. Démarche de développement (méthodologie)</w:t>
      </w:r>
    </w:p>
    <w:p>
      <w:pPr>
        <w:spacing w:after="140" w:line="276"/>
        <w:jc w:val="both"/>
      </w:pPr>
      <w:r>
        <w:rPr>
          <w:color w:val="1A1A1A"/>
          <w:sz w:val="21"/>
          <w:szCs w:val="21"/>
        </w:rPr>
        <w:t xml:space="preserve">9. Tests et validation</w:t>
      </w:r>
    </w:p>
    <w:p>
      <w:pPr>
        <w:spacing w:after="140" w:line="276"/>
        <w:jc w:val="both"/>
      </w:pPr>
      <w:r>
        <w:rPr>
          <w:color w:val="1A1A1A"/>
          <w:sz w:val="21"/>
          <w:szCs w:val="21"/>
        </w:rPr>
        <w:t xml:space="preserve">10. Difficultés rencontrées et solutions apportées</w:t>
      </w:r>
    </w:p>
    <w:p>
      <w:pPr>
        <w:spacing w:after="140" w:line="276"/>
        <w:jc w:val="both"/>
      </w:pPr>
      <w:r>
        <w:rPr>
          <w:color w:val="1A1A1A"/>
          <w:sz w:val="21"/>
          <w:szCs w:val="21"/>
        </w:rPr>
        <w:t xml:space="preserve">11. Limites et perspectives d'évolution</w:t>
      </w:r>
    </w:p>
    <w:p>
      <w:pPr>
        <w:spacing w:after="140" w:line="276"/>
        <w:jc w:val="both"/>
      </w:pPr>
      <w:r>
        <w:rPr>
          <w:color w:val="1A1A1A"/>
          <w:sz w:val="21"/>
          <w:szCs w:val="21"/>
        </w:rPr>
        <w:t xml:space="preserve">12. Conclusion</w:t>
      </w:r>
    </w:p>
    <w:p>
      <w:r>
        <w:br w:type="page"/>
      </w:r>
    </w:p>
    <w:p>
      <w:pPr>
        <w:pStyle w:val="Heading1"/>
        <w:pBdr>
          <w:bottom w:val="single" w:color="C8102E" w:sz="6" w:space="4"/>
        </w:pBdr>
        <w:spacing w:after="160" w:before="320"/>
      </w:pPr>
      <w:r>
        <w:rPr>
          <w:b/>
          <w:bCs/>
          <w:color w:val="C8102E"/>
          <w:sz w:val="30"/>
          <w:szCs w:val="30"/>
        </w:rPr>
        <w:t xml:space="preserve">1. Introduction</w:t>
      </w:r>
    </w:p>
    <w:p>
      <w:pPr>
        <w:spacing w:after="140" w:line="276"/>
        <w:jc w:val="both"/>
      </w:pPr>
      <w:r>
        <w:rPr>
          <w:color w:val="1A1A1A"/>
          <w:sz w:val="21"/>
          <w:szCs w:val="21"/>
        </w:rPr>
        <w:t xml:space="preserve">Ce rapport présente le travail réalisé dans le cadre du stage d'été portant sur la conception et le développement de QuizBot, un assistant pédagogique intelligent capable de générer automatiquement des questionnaires à partir de supports de cours, en s'appuyant sur les techniques de Retrieval-Augmented Generation (RAG) et sur l'API d'un grand modèle de langage (LLM).</w:t>
      </w:r>
    </w:p>
    <w:p>
      <w:pPr>
        <w:spacing w:after="140" w:line="276"/>
        <w:jc w:val="both"/>
      </w:pPr>
      <w:r>
        <w:rPr>
          <w:color w:val="1A1A1A"/>
          <w:sz w:val="21"/>
          <w:szCs w:val="21"/>
        </w:rPr>
        <w:t xml:space="preserve">Le projet répond à un besoin concret exprimé par le cahier des charges technique ESPRIT : réduire le temps que les enseignants consacrent à la création de QCM et de questions ouvertes, tout en offrant aux étudiants un outil d'auto-évaluation disponible à tout moment.</w:t>
      </w:r>
    </w:p>
    <w:p>
      <w:pPr>
        <w:pStyle w:val="Heading1"/>
        <w:pBdr>
          <w:bottom w:val="single" w:color="C8102E" w:sz="6" w:space="4"/>
        </w:pBdr>
        <w:spacing w:after="160" w:before="320"/>
      </w:pPr>
      <w:r>
        <w:rPr>
          <w:b/>
          <w:bCs/>
          <w:color w:val="C8102E"/>
          <w:sz w:val="30"/>
          <w:szCs w:val="30"/>
        </w:rPr>
        <w:t xml:space="preserve">2. Contexte et problématique</w:t>
      </w:r>
    </w:p>
    <w:p>
      <w:pPr>
        <w:spacing w:after="140" w:line="276"/>
        <w:jc w:val="both"/>
      </w:pPr>
      <w:r>
        <w:rPr>
          <w:color w:val="1A1A1A"/>
          <w:sz w:val="21"/>
          <w:szCs w:val="21"/>
        </w:rPr>
        <w:t xml:space="preserve">La création manuelle de questionnaires pédagogiques est chronophage et limite la fréquence à laquelle les étudiants peuvent s'entraîner sur du contenu à jour. Les avancées récentes des LLM couplées aux techniques RAG permettent d'automatiser cette tâche tout en ancrant les questions générées dans le contenu réel du cours, ce qui limite les risques d'hallucination du modèle par rapport à une génération non contextualisée.</w:t>
      </w:r>
    </w:p>
    <w:p>
      <w:pPr>
        <w:spacing w:after="140" w:line="276"/>
        <w:jc w:val="both"/>
      </w:pPr>
      <w:r>
        <w:rPr>
          <w:color w:val="1A1A1A"/>
          <w:sz w:val="21"/>
          <w:szCs w:val="21"/>
        </w:rPr>
        <w:t xml:space="preserve">L'application développée permet à un enseignant de téléverser un support de cours (PDF ou PPTX) et de recevoir un questionnaire généré automatiquement, que les étudiants peuvent ensuite utiliser pour s'auto-évaluer avec un retour instantané.</w:t>
      </w:r>
    </w:p>
    <w:p>
      <w:pPr>
        <w:pStyle w:val="Heading1"/>
        <w:pBdr>
          <w:bottom w:val="single" w:color="C8102E" w:sz="6" w:space="4"/>
        </w:pBdr>
        <w:spacing w:after="160" w:before="320"/>
      </w:pPr>
      <w:r>
        <w:rPr>
          <w:b/>
          <w:bCs/>
          <w:color w:val="C8102E"/>
          <w:sz w:val="30"/>
          <w:szCs w:val="30"/>
        </w:rPr>
        <w:t xml:space="preserve">3. Analyse des besoins et objectifs</w:t>
      </w:r>
    </w:p>
    <w:p>
      <w:pPr>
        <w:pStyle w:val="Heading2"/>
        <w:spacing w:after="100" w:before="240"/>
      </w:pPr>
      <w:r>
        <w:rPr>
          <w:b/>
          <w:bCs/>
          <w:color w:val="1A1A1A"/>
          <w:sz w:val="24"/>
          <w:szCs w:val="24"/>
        </w:rPr>
        <w:t xml:space="preserve">3.1 Objectif principal</w:t>
      </w:r>
    </w:p>
    <w:p>
      <w:pPr>
        <w:spacing w:after="140" w:line="276"/>
        <w:jc w:val="both"/>
      </w:pPr>
      <w:r>
        <w:rPr>
          <w:color w:val="1A1A1A"/>
          <w:sz w:val="21"/>
          <w:szCs w:val="21"/>
        </w:rPr>
        <w:t xml:space="preserve">Concevoir une application web fonctionnelle permettant la génération automatique de questionnaires pédagogiques à partir de supports de cours, en utilisant les techniques RAG et les API de grands modèles de langage.</w:t>
      </w:r>
    </w:p>
    <w:p>
      <w:pPr>
        <w:pStyle w:val="Heading2"/>
        <w:spacing w:after="100" w:before="240"/>
      </w:pPr>
      <w:r>
        <w:rPr>
          <w:b/>
          <w:bCs/>
          <w:color w:val="1A1A1A"/>
          <w:sz w:val="24"/>
          <w:szCs w:val="24"/>
        </w:rPr>
        <w:t xml:space="preserve">3.2 Objectifs secondaires</w:t>
      </w:r>
    </w:p>
    <w:p>
      <w:pPr>
        <w:pStyle w:val="ListParagraph"/>
        <w:numPr>
          <w:ilvl w:val="0"/>
          <w:numId w:val="2"/>
        </w:numPr>
        <w:spacing w:after="80"/>
      </w:pPr>
      <w:r>
        <w:rPr>
          <w:color w:val="1A1A1A"/>
          <w:sz w:val="21"/>
          <w:szCs w:val="21"/>
        </w:rPr>
        <w:t xml:space="preserve">Interface utilisateur intuitive pour le téléversement de documents et la configuration des quiz.</w:t>
      </w:r>
    </w:p>
    <w:p>
      <w:pPr>
        <w:pStyle w:val="ListParagraph"/>
        <w:numPr>
          <w:ilvl w:val="0"/>
          <w:numId w:val="2"/>
        </w:numPr>
        <w:spacing w:after="80"/>
      </w:pPr>
      <w:r>
        <w:rPr>
          <w:color w:val="1A1A1A"/>
          <w:sz w:val="21"/>
          <w:szCs w:val="21"/>
        </w:rPr>
        <w:t xml:space="preserve">Pipeline RAG complet : extraction, chunking, embedding, stockage vectoriel, retrieval.</w:t>
      </w:r>
    </w:p>
    <w:p>
      <w:pPr>
        <w:pStyle w:val="ListParagraph"/>
        <w:numPr>
          <w:ilvl w:val="0"/>
          <w:numId w:val="2"/>
        </w:numPr>
        <w:spacing w:after="80"/>
      </w:pPr>
      <w:r>
        <w:rPr>
          <w:color w:val="1A1A1A"/>
          <w:sz w:val="21"/>
          <w:szCs w:val="21"/>
        </w:rPr>
        <w:t xml:space="preserve">Intégration d'une API LLM pour la génération de QCM et de questions ouvertes.</w:t>
      </w:r>
    </w:p>
    <w:p>
      <w:pPr>
        <w:pStyle w:val="ListParagraph"/>
        <w:numPr>
          <w:ilvl w:val="0"/>
          <w:numId w:val="2"/>
        </w:numPr>
        <w:spacing w:after="80"/>
      </w:pPr>
      <w:r>
        <w:rPr>
          <w:color w:val="1A1A1A"/>
          <w:sz w:val="21"/>
          <w:szCs w:val="21"/>
        </w:rPr>
        <w:t xml:space="preserve">Module d'auto-évaluation avec feedback instantané pour les étudiants.</w:t>
      </w:r>
    </w:p>
    <w:p>
      <w:pPr>
        <w:pStyle w:val="ListParagraph"/>
        <w:numPr>
          <w:ilvl w:val="0"/>
          <w:numId w:val="2"/>
        </w:numPr>
        <w:spacing w:after="80"/>
      </w:pPr>
      <w:r>
        <w:rPr>
          <w:color w:val="1A1A1A"/>
          <w:sz w:val="21"/>
          <w:szCs w:val="21"/>
        </w:rPr>
        <w:t xml:space="preserve">Système d'export des quiz en formats PDF et JSON.</w:t>
      </w:r>
    </w:p>
    <w:p>
      <w:pPr>
        <w:pStyle w:val="ListParagraph"/>
        <w:numPr>
          <w:ilvl w:val="0"/>
          <w:numId w:val="2"/>
        </w:numPr>
        <w:spacing w:after="80"/>
      </w:pPr>
      <w:r>
        <w:rPr>
          <w:color w:val="1A1A1A"/>
          <w:sz w:val="21"/>
          <w:szCs w:val="21"/>
        </w:rPr>
        <w:t xml:space="preserve">Guide d'utilisation synthétique destiné aux enseignants.</w:t>
      </w:r>
    </w:p>
    <w:p>
      <w:pPr>
        <w:pStyle w:val="Heading1"/>
        <w:pBdr>
          <w:bottom w:val="single" w:color="C8102E" w:sz="6" w:space="4"/>
        </w:pBdr>
        <w:spacing w:after="160" w:before="320"/>
      </w:pPr>
      <w:r>
        <w:rPr>
          <w:b/>
          <w:bCs/>
          <w:color w:val="C8102E"/>
          <w:sz w:val="30"/>
          <w:szCs w:val="30"/>
        </w:rPr>
        <w:t xml:space="preserve">4. Architecture technique</w:t>
      </w:r>
    </w:p>
    <w:p>
      <w:pPr>
        <w:spacing w:after="140" w:line="276"/>
        <w:jc w:val="both"/>
      </w:pPr>
      <w:r>
        <w:rPr>
          <w:color w:val="1A1A1A"/>
          <w:sz w:val="21"/>
          <w:szCs w:val="21"/>
        </w:rPr>
        <w:t xml:space="preserve">Le système repose sur une architecture en trois couches, conforme au cahier des charges :</w:t>
      </w:r>
    </w:p>
    <w:p>
      <w:pPr>
        <w:pStyle w:val="ListParagraph"/>
        <w:numPr>
          <w:ilvl w:val="0"/>
          <w:numId w:val="2"/>
        </w:numPr>
        <w:spacing w:after="80"/>
      </w:pPr>
      <w:r>
        <w:rPr>
          <w:color w:val="1A1A1A"/>
          <w:sz w:val="21"/>
          <w:szCs w:val="21"/>
        </w:rPr>
        <w:t xml:space="preserve">Frontend (Streamlit) : deux espaces distincts — Enseignant et Étudiant — communiquant avec le backend via HTTP.</w:t>
      </w:r>
    </w:p>
    <w:p>
      <w:pPr>
        <w:pStyle w:val="ListParagraph"/>
        <w:numPr>
          <w:ilvl w:val="0"/>
          <w:numId w:val="2"/>
        </w:numPr>
        <w:spacing w:after="80"/>
      </w:pPr>
      <w:r>
        <w:rPr>
          <w:color w:val="1A1A1A"/>
          <w:sz w:val="21"/>
          <w:szCs w:val="21"/>
        </w:rPr>
        <w:t xml:space="preserve">Backend (FastAPI) : expose une API REST orchestrant l'ingestion, le pipeline RAG, la correction et l'export.</w:t>
      </w:r>
    </w:p>
    <w:p>
      <w:pPr>
        <w:pStyle w:val="ListParagraph"/>
        <w:numPr>
          <w:ilvl w:val="0"/>
          <w:numId w:val="2"/>
        </w:numPr>
        <w:spacing w:after="80"/>
      </w:pPr>
      <w:r>
        <w:rPr>
          <w:color w:val="1A1A1A"/>
          <w:sz w:val="21"/>
          <w:szCs w:val="21"/>
        </w:rPr>
        <w:t xml:space="preserve">Moteur de génération (LLM) : couche d'abstraction permettant de basculer entre OpenAI, Mistral, Hugging Face ou un fournisseur factice (mode démonstration sans clé API).</w:t>
      </w:r>
    </w:p>
    <w:p>
      <w:pPr>
        <w:spacing w:after="140" w:line="276"/>
        <w:jc w:val="both"/>
      </w:pPr>
      <w:r>
        <w:rPr>
          <w:color w:val="1A1A1A"/>
          <w:sz w:val="21"/>
          <w:szCs w:val="21"/>
        </w:rPr>
        <w:t xml:space="preserve">Cette séparation en couches permet de faire évoluer chaque composant indépendamment : par exemple, remplacer Streamlit par une interface React ne nécessiterait aucune modification du backend, l'API étant entièrement découplée de la présentation.</w:t>
      </w:r>
    </w:p>
    <w:p>
      <w:pPr>
        <w:pStyle w:val="Heading1"/>
        <w:pBdr>
          <w:bottom w:val="single" w:color="C8102E" w:sz="6" w:space="4"/>
        </w:pBdr>
        <w:spacing w:after="160" w:before="320"/>
      </w:pPr>
      <w:r>
        <w:rPr>
          <w:b/>
          <w:bCs/>
          <w:color w:val="C8102E"/>
          <w:sz w:val="30"/>
          <w:szCs w:val="30"/>
        </w:rPr>
        <w:t xml:space="preserve">5. Choix techniques et justifications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00"/>
      </w:tblGrid>
      <w:tr>
        <w:tc>
          <w:tcPr>
            <w:tcW w:type="dxa" w:w="2000"/>
            <w:shd w:fill="C8102E" w:val="clear"/>
            <w:tcMar>
              <w:top w:type="dxa" w:w="80"/>
              <w:left w:type="dxa" w:w="100"/>
              <w:bottom w:type="dxa" w:w="80"/>
              <w:right w:type="dxa" w:w="100"/>
            </w:tcMar>
          </w:tcPr>
          <w:p>
            <w:r>
              <w:rPr>
                <w:b/>
                <w:bCs/>
                <w:color w:val="FFFFFF"/>
                <w:sz w:val="20"/>
                <w:szCs w:val="20"/>
              </w:rPr>
              <w:t xml:space="preserve">Composant</w:t>
            </w:r>
          </w:p>
        </w:tc>
        <w:tc>
          <w:tcPr>
            <w:tcW w:type="dxa" w:w="2600"/>
            <w:shd w:fill="C8102E" w:val="clear"/>
            <w:tcMar>
              <w:top w:type="dxa" w:w="80"/>
              <w:left w:type="dxa" w:w="100"/>
              <w:bottom w:type="dxa" w:w="80"/>
              <w:right w:type="dxa" w:w="100"/>
            </w:tcMar>
          </w:tcPr>
          <w:p>
            <w:r>
              <w:rPr>
                <w:b/>
                <w:bCs/>
                <w:color w:val="FFFFFF"/>
                <w:sz w:val="20"/>
                <w:szCs w:val="20"/>
              </w:rPr>
              <w:t xml:space="preserve">Choix retenu</w:t>
            </w:r>
          </w:p>
        </w:tc>
        <w:tc>
          <w:tcPr>
            <w:tcW w:type="dxa" w:w="4700"/>
            <w:shd w:fill="C8102E" w:val="clear"/>
            <w:tcMar>
              <w:top w:type="dxa" w:w="80"/>
              <w:left w:type="dxa" w:w="100"/>
              <w:bottom w:type="dxa" w:w="80"/>
              <w:right w:type="dxa" w:w="100"/>
            </w:tcMar>
          </w:tcPr>
          <w:p>
            <w:r>
              <w:rPr>
                <w:b/>
                <w:bCs/>
                <w:color w:val="FFFFFF"/>
                <w:sz w:val="20"/>
                <w:szCs w:val="20"/>
              </w:rPr>
              <w:t xml:space="preserve">Justification</w:t>
            </w:r>
          </w:p>
        </w:tc>
      </w:tr>
      <w:tr>
        <w:tc>
          <w:tcPr>
            <w:tcW w:type="dxa" w:w="2000"/>
            <w:tcMar>
              <w:top w:type="dxa" w:w="80"/>
              <w:left w:type="dxa" w:w="100"/>
              <w:bottom w:type="dxa" w:w="80"/>
              <w:right w:type="dxa" w:w="100"/>
            </w:tcMar>
          </w:tcPr>
          <w:p>
            <w:r>
              <w:rPr>
                <w:b w:val="false"/>
                <w:bCs w:val="false"/>
                <w:color w:val="1A1A1A"/>
                <w:sz w:val="20"/>
                <w:szCs w:val="20"/>
              </w:rPr>
              <w:t xml:space="preserve">Backend</w:t>
            </w:r>
          </w:p>
        </w:tc>
        <w:tc>
          <w:tcPr>
            <w:tcW w:type="dxa" w:w="2600"/>
            <w:tcMar>
              <w:top w:type="dxa" w:w="80"/>
              <w:left w:type="dxa" w:w="100"/>
              <w:bottom w:type="dxa" w:w="80"/>
              <w:right w:type="dxa" w:w="100"/>
            </w:tcMar>
          </w:tcPr>
          <w:p>
            <w:r>
              <w:rPr>
                <w:b w:val="false"/>
                <w:bCs w:val="false"/>
                <w:color w:val="1A1A1A"/>
                <w:sz w:val="20"/>
                <w:szCs w:val="20"/>
              </w:rPr>
              <w:t xml:space="preserve">FastAPI</w:t>
            </w:r>
          </w:p>
        </w:tc>
        <w:tc>
          <w:tcPr>
            <w:tcW w:type="dxa" w:w="4700"/>
            <w:tcMar>
              <w:top w:type="dxa" w:w="80"/>
              <w:left w:type="dxa" w:w="100"/>
              <w:bottom w:type="dxa" w:w="80"/>
              <w:right w:type="dxa" w:w="100"/>
            </w:tcMar>
          </w:tcPr>
          <w:p>
            <w:r>
              <w:rPr>
                <w:b w:val="false"/>
                <w:bCs w:val="false"/>
                <w:color w:val="1A1A1A"/>
                <w:sz w:val="20"/>
                <w:szCs w:val="20"/>
              </w:rPr>
              <w:t xml:space="preserve">Performances, validation automatique via Pydantic, documentation Swagger générée automatiquement</w:t>
            </w:r>
          </w:p>
        </w:tc>
      </w:tr>
      <w:tr>
        <w:tc>
          <w:tcPr>
            <w:tcW w:type="dxa" w:w="2000"/>
            <w:tcMar>
              <w:top w:type="dxa" w:w="80"/>
              <w:left w:type="dxa" w:w="100"/>
              <w:bottom w:type="dxa" w:w="80"/>
              <w:right w:type="dxa" w:w="100"/>
            </w:tcMar>
          </w:tcPr>
          <w:p>
            <w:r>
              <w:rPr>
                <w:b w:val="false"/>
                <w:bCs w:val="false"/>
                <w:color w:val="1A1A1A"/>
                <w:sz w:val="20"/>
                <w:szCs w:val="20"/>
              </w:rPr>
              <w:t xml:space="preserve">Frontend</w:t>
            </w:r>
          </w:p>
        </w:tc>
        <w:tc>
          <w:tcPr>
            <w:tcW w:type="dxa" w:w="2600"/>
            <w:tcMar>
              <w:top w:type="dxa" w:w="80"/>
              <w:left w:type="dxa" w:w="100"/>
              <w:bottom w:type="dxa" w:w="80"/>
              <w:right w:type="dxa" w:w="100"/>
            </w:tcMar>
          </w:tcPr>
          <w:p>
            <w:r>
              <w:rPr>
                <w:b w:val="false"/>
                <w:bCs w:val="false"/>
                <w:color w:val="1A1A1A"/>
                <w:sz w:val="20"/>
                <w:szCs w:val="20"/>
              </w:rPr>
              <w:t xml:space="preserve">Streamlit</w:t>
            </w:r>
          </w:p>
        </w:tc>
        <w:tc>
          <w:tcPr>
            <w:tcW w:type="dxa" w:w="4700"/>
            <w:tcMar>
              <w:top w:type="dxa" w:w="80"/>
              <w:left w:type="dxa" w:w="100"/>
              <w:bottom w:type="dxa" w:w="80"/>
              <w:right w:type="dxa" w:w="100"/>
            </w:tcMar>
          </w:tcPr>
          <w:p>
            <w:r>
              <w:rPr>
                <w:b w:val="false"/>
                <w:bCs w:val="false"/>
                <w:color w:val="1A1A1A"/>
                <w:sz w:val="20"/>
                <w:szCs w:val="20"/>
              </w:rPr>
              <w:t xml:space="preserve">Développement rapide d'une interface data-science-friendly, adapté à un stage court</w:t>
            </w:r>
          </w:p>
        </w:tc>
      </w:tr>
      <w:tr>
        <w:tc>
          <w:tcPr>
            <w:tcW w:type="dxa" w:w="2000"/>
            <w:tcMar>
              <w:top w:type="dxa" w:w="80"/>
              <w:left w:type="dxa" w:w="100"/>
              <w:bottom w:type="dxa" w:w="80"/>
              <w:right w:type="dxa" w:w="100"/>
            </w:tcMar>
          </w:tcPr>
          <w:p>
            <w:r>
              <w:rPr>
                <w:b w:val="false"/>
                <w:bCs w:val="false"/>
                <w:color w:val="1A1A1A"/>
                <w:sz w:val="20"/>
                <w:szCs w:val="20"/>
              </w:rPr>
              <w:t xml:space="preserve">Extraction</w:t>
            </w:r>
          </w:p>
        </w:tc>
        <w:tc>
          <w:tcPr>
            <w:tcW w:type="dxa" w:w="2600"/>
            <w:tcMar>
              <w:top w:type="dxa" w:w="80"/>
              <w:left w:type="dxa" w:w="100"/>
              <w:bottom w:type="dxa" w:w="80"/>
              <w:right w:type="dxa" w:w="100"/>
            </w:tcMar>
          </w:tcPr>
          <w:p>
            <w:r>
              <w:rPr>
                <w:b w:val="false"/>
                <w:bCs w:val="false"/>
                <w:color w:val="1A1A1A"/>
                <w:sz w:val="20"/>
                <w:szCs w:val="20"/>
              </w:rPr>
              <w:t xml:space="preserve">PyMuPDF / python-pptx</w:t>
            </w:r>
          </w:p>
        </w:tc>
        <w:tc>
          <w:tcPr>
            <w:tcW w:type="dxa" w:w="4700"/>
            <w:tcMar>
              <w:top w:type="dxa" w:w="80"/>
              <w:left w:type="dxa" w:w="100"/>
              <w:bottom w:type="dxa" w:w="80"/>
              <w:right w:type="dxa" w:w="100"/>
            </w:tcMar>
          </w:tcPr>
          <w:p>
            <w:r>
              <w:rPr>
                <w:b w:val="false"/>
                <w:bCs w:val="false"/>
                <w:color w:val="1A1A1A"/>
                <w:sz w:val="20"/>
                <w:szCs w:val="20"/>
              </w:rPr>
              <w:t xml:space="preserve">Bibliothèques recommandées par le cahier des charges, robustes et bien documentées</w:t>
            </w:r>
          </w:p>
        </w:tc>
      </w:tr>
      <w:tr>
        <w:tc>
          <w:tcPr>
            <w:tcW w:type="dxa" w:w="2000"/>
            <w:tcMar>
              <w:top w:type="dxa" w:w="80"/>
              <w:left w:type="dxa" w:w="100"/>
              <w:bottom w:type="dxa" w:w="80"/>
              <w:right w:type="dxa" w:w="100"/>
            </w:tcMar>
          </w:tcPr>
          <w:p>
            <w:r>
              <w:rPr>
                <w:b w:val="false"/>
                <w:bCs w:val="false"/>
                <w:color w:val="1A1A1A"/>
                <w:sz w:val="20"/>
                <w:szCs w:val="20"/>
              </w:rPr>
              <w:t xml:space="preserve">Embeddings</w:t>
            </w:r>
          </w:p>
        </w:tc>
        <w:tc>
          <w:tcPr>
            <w:tcW w:type="dxa" w:w="2600"/>
            <w:tcMar>
              <w:top w:type="dxa" w:w="80"/>
              <w:left w:type="dxa" w:w="100"/>
              <w:bottom w:type="dxa" w:w="80"/>
              <w:right w:type="dxa" w:w="100"/>
            </w:tcMar>
          </w:tcPr>
          <w:p>
            <w:r>
              <w:rPr>
                <w:b w:val="false"/>
                <w:bCs w:val="false"/>
                <w:color w:val="1A1A1A"/>
                <w:sz w:val="20"/>
                <w:szCs w:val="20"/>
              </w:rPr>
              <w:t xml:space="preserve">sentence-transformers (MiniLM)</w:t>
            </w:r>
          </w:p>
        </w:tc>
        <w:tc>
          <w:tcPr>
            <w:tcW w:type="dxa" w:w="4700"/>
            <w:tcMar>
              <w:top w:type="dxa" w:w="80"/>
              <w:left w:type="dxa" w:w="100"/>
              <w:bottom w:type="dxa" w:w="80"/>
              <w:right w:type="dxa" w:w="100"/>
            </w:tcMar>
          </w:tcPr>
          <w:p>
            <w:r>
              <w:rPr>
                <w:b w:val="false"/>
                <w:bCs w:val="false"/>
                <w:color w:val="1A1A1A"/>
                <w:sz w:val="20"/>
                <w:szCs w:val="20"/>
              </w:rPr>
              <w:t xml:space="preserve">Modèle léger, exécutable localement sans coût d'API, bonnes performances sémantiques</w:t>
            </w:r>
          </w:p>
        </w:tc>
      </w:tr>
      <w:tr>
        <w:tc>
          <w:tcPr>
            <w:tcW w:type="dxa" w:w="2000"/>
            <w:tcMar>
              <w:top w:type="dxa" w:w="80"/>
              <w:left w:type="dxa" w:w="100"/>
              <w:bottom w:type="dxa" w:w="80"/>
              <w:right w:type="dxa" w:w="100"/>
            </w:tcMar>
          </w:tcPr>
          <w:p>
            <w:r>
              <w:rPr>
                <w:b w:val="false"/>
                <w:bCs w:val="false"/>
                <w:color w:val="1A1A1A"/>
                <w:sz w:val="20"/>
                <w:szCs w:val="20"/>
              </w:rPr>
              <w:t xml:space="preserve">Base vectorielle</w:t>
            </w:r>
          </w:p>
        </w:tc>
        <w:tc>
          <w:tcPr>
            <w:tcW w:type="dxa" w:w="2600"/>
            <w:tcMar>
              <w:top w:type="dxa" w:w="80"/>
              <w:left w:type="dxa" w:w="100"/>
              <w:bottom w:type="dxa" w:w="80"/>
              <w:right w:type="dxa" w:w="100"/>
            </w:tcMar>
          </w:tcPr>
          <w:p>
            <w:r>
              <w:rPr>
                <w:b w:val="false"/>
                <w:bCs w:val="false"/>
                <w:color w:val="1A1A1A"/>
                <w:sz w:val="20"/>
                <w:szCs w:val="20"/>
              </w:rPr>
              <w:t xml:space="preserve">ChromaDB</w:t>
            </w:r>
          </w:p>
        </w:tc>
        <w:tc>
          <w:tcPr>
            <w:tcW w:type="dxa" w:w="4700"/>
            <w:tcMar>
              <w:top w:type="dxa" w:w="80"/>
              <w:left w:type="dxa" w:w="100"/>
              <w:bottom w:type="dxa" w:w="80"/>
              <w:right w:type="dxa" w:w="100"/>
            </w:tcMar>
          </w:tcPr>
          <w:p>
            <w:r>
              <w:rPr>
                <w:b w:val="false"/>
                <w:bCs w:val="false"/>
                <w:color w:val="1A1A1A"/>
                <w:sz w:val="20"/>
                <w:szCs w:val="20"/>
              </w:rPr>
              <w:t xml:space="preserve">Simplicité d'intégration, persistance locale, pas d'infrastructure serveur additionnelle</w:t>
            </w:r>
          </w:p>
        </w:tc>
      </w:tr>
      <w:tr>
        <w:tc>
          <w:tcPr>
            <w:tcW w:type="dxa" w:w="2000"/>
            <w:tcMar>
              <w:top w:type="dxa" w:w="80"/>
              <w:left w:type="dxa" w:w="100"/>
              <w:bottom w:type="dxa" w:w="80"/>
              <w:right w:type="dxa" w:w="100"/>
            </w:tcMar>
          </w:tcPr>
          <w:p>
            <w:r>
              <w:rPr>
                <w:b w:val="false"/>
                <w:bCs w:val="false"/>
                <w:color w:val="1A1A1A"/>
                <w:sz w:val="20"/>
                <w:szCs w:val="20"/>
              </w:rPr>
              <w:t xml:space="preserve">LLM</w:t>
            </w:r>
          </w:p>
        </w:tc>
        <w:tc>
          <w:tcPr>
            <w:tcW w:type="dxa" w:w="2600"/>
            <w:tcMar>
              <w:top w:type="dxa" w:w="80"/>
              <w:left w:type="dxa" w:w="100"/>
              <w:bottom w:type="dxa" w:w="80"/>
              <w:right w:type="dxa" w:w="100"/>
            </w:tcMar>
          </w:tcPr>
          <w:p>
            <w:r>
              <w:rPr>
                <w:b w:val="false"/>
                <w:bCs w:val="false"/>
                <w:color w:val="1A1A1A"/>
                <w:sz w:val="20"/>
                <w:szCs w:val="20"/>
              </w:rPr>
              <w:t xml:space="preserve">Abstraction multi-fournisseur</w:t>
            </w:r>
          </w:p>
        </w:tc>
        <w:tc>
          <w:tcPr>
            <w:tcW w:type="dxa" w:w="4700"/>
            <w:tcMar>
              <w:top w:type="dxa" w:w="80"/>
              <w:left w:type="dxa" w:w="100"/>
              <w:bottom w:type="dxa" w:w="80"/>
              <w:right w:type="dxa" w:w="100"/>
            </w:tcMar>
          </w:tcPr>
          <w:p>
            <w:r>
              <w:rPr>
                <w:b w:val="false"/>
                <w:bCs w:val="false"/>
                <w:color w:val="1A1A1A"/>
                <w:sz w:val="20"/>
                <w:szCs w:val="20"/>
              </w:rPr>
              <w:t xml:space="preserve">Portabilité : le projet ne dépend d'aucun fournisseur unique, adaptation selon budget/disponibilité</w:t>
            </w:r>
          </w:p>
        </w:tc>
      </w:tr>
      <w:tr>
        <w:tc>
          <w:tcPr>
            <w:tcW w:type="dxa" w:w="2000"/>
            <w:tcMar>
              <w:top w:type="dxa" w:w="80"/>
              <w:left w:type="dxa" w:w="100"/>
              <w:bottom w:type="dxa" w:w="80"/>
              <w:right w:type="dxa" w:w="100"/>
            </w:tcMar>
          </w:tcPr>
          <w:p>
            <w:r>
              <w:rPr>
                <w:b w:val="false"/>
                <w:bCs w:val="false"/>
                <w:color w:val="1A1A1A"/>
                <w:sz w:val="20"/>
                <w:szCs w:val="20"/>
              </w:rPr>
              <w:t xml:space="preserve">Export</w:t>
            </w:r>
          </w:p>
        </w:tc>
        <w:tc>
          <w:tcPr>
            <w:tcW w:type="dxa" w:w="2600"/>
            <w:tcMar>
              <w:top w:type="dxa" w:w="80"/>
              <w:left w:type="dxa" w:w="100"/>
              <w:bottom w:type="dxa" w:w="80"/>
              <w:right w:type="dxa" w:w="100"/>
            </w:tcMar>
          </w:tcPr>
          <w:p>
            <w:r>
              <w:rPr>
                <w:b w:val="false"/>
                <w:bCs w:val="false"/>
                <w:color w:val="1A1A1A"/>
                <w:sz w:val="20"/>
                <w:szCs w:val="20"/>
              </w:rPr>
              <w:t xml:space="preserve">ReportLab</w:t>
            </w:r>
          </w:p>
        </w:tc>
        <w:tc>
          <w:tcPr>
            <w:tcW w:type="dxa" w:w="4700"/>
            <w:tcMar>
              <w:top w:type="dxa" w:w="80"/>
              <w:left w:type="dxa" w:w="100"/>
              <w:bottom w:type="dxa" w:w="80"/>
              <w:right w:type="dxa" w:w="100"/>
            </w:tcMar>
          </w:tcPr>
          <w:p>
            <w:r>
              <w:rPr>
                <w:b w:val="false"/>
                <w:bCs w:val="false"/>
                <w:color w:val="1A1A1A"/>
                <w:sz w:val="20"/>
                <w:szCs w:val="20"/>
              </w:rPr>
              <w:t xml:space="preserve">Génération PDF fine et personnalisable en Python pur</w:t>
            </w:r>
          </w:p>
        </w:tc>
      </w:tr>
    </w:tbl>
    <w:p>
      <w:pPr>
        <w:pStyle w:val="Heading1"/>
        <w:pBdr>
          <w:bottom w:val="single" w:color="C8102E" w:sz="6" w:space="4"/>
        </w:pBdr>
        <w:spacing w:after="160" w:before="320"/>
      </w:pPr>
      <w:r>
        <w:rPr>
          <w:b/>
          <w:bCs/>
          <w:color w:val="C8102E"/>
          <w:sz w:val="30"/>
          <w:szCs w:val="30"/>
        </w:rPr>
        <w:t xml:space="preserve">6. Pipeline RAG : implémentation détaillée</w:t>
      </w:r>
    </w:p>
    <w:p>
      <w:pPr>
        <w:pStyle w:val="Heading2"/>
        <w:spacing w:after="100" w:before="240"/>
      </w:pPr>
      <w:r>
        <w:rPr>
          <w:b/>
          <w:bCs/>
          <w:color w:val="1A1A1A"/>
          <w:sz w:val="24"/>
          <w:szCs w:val="24"/>
        </w:rPr>
        <w:t xml:space="preserve">6.1 Ingestion et chunking</w:t>
      </w:r>
    </w:p>
    <w:p>
      <w:pPr>
        <w:spacing w:after="140" w:line="276"/>
        <w:jc w:val="both"/>
      </w:pPr>
      <w:r>
        <w:rPr>
          <w:color w:val="1A1A1A"/>
          <w:sz w:val="21"/>
          <w:szCs w:val="21"/>
        </w:rPr>
        <w:t xml:space="preserve">Le texte est extrait page par page (PDF) ou diapositive par diapositive (PPTX), puis concaténé et découpé en segments d'environ 800 tokens avec un chevauchement de 150 tokens, conformément aux recommandations du cahier des charges (500-1000 tokens, chevauchement 100-200 tokens). Chaque chunk conserve une référence à sa page source pour la traçabilité.</w:t>
      </w:r>
    </w:p>
    <w:p>
      <w:pPr>
        <w:pStyle w:val="Heading2"/>
        <w:spacing w:after="100" w:before="240"/>
      </w:pPr>
      <w:r>
        <w:rPr>
          <w:b/>
          <w:bCs/>
          <w:color w:val="1A1A1A"/>
          <w:sz w:val="24"/>
          <w:szCs w:val="24"/>
        </w:rPr>
        <w:t xml:space="preserve">6.2 Indexation vectorielle</w:t>
      </w:r>
    </w:p>
    <w:p>
      <w:pPr>
        <w:spacing w:after="140" w:line="276"/>
        <w:jc w:val="both"/>
      </w:pPr>
      <w:r>
        <w:rPr>
          <w:color w:val="1A1A1A"/>
          <w:sz w:val="21"/>
          <w:szCs w:val="21"/>
        </w:rPr>
        <w:t xml:space="preserve">Chaque chunk est vectorisé via un modèle sentence-transformers (all-MiniLM-L6-v2) et stocké dans une collection ChromaDB dédiée au document, avec une métrique de similarité cosinus.</w:t>
      </w:r>
    </w:p>
    <w:p>
      <w:pPr>
        <w:pStyle w:val="Heading2"/>
        <w:spacing w:after="100" w:before="240"/>
      </w:pPr>
      <w:r>
        <w:rPr>
          <w:b/>
          <w:bCs/>
          <w:color w:val="1A1A1A"/>
          <w:sz w:val="24"/>
          <w:szCs w:val="24"/>
        </w:rPr>
        <w:t xml:space="preserve">6.3 Retrieval et génération</w:t>
      </w:r>
    </w:p>
    <w:p>
      <w:pPr>
        <w:spacing w:after="140" w:line="276"/>
        <w:jc w:val="both"/>
      </w:pPr>
      <w:r>
        <w:rPr>
          <w:color w:val="1A1A1A"/>
          <w:sz w:val="21"/>
          <w:szCs w:val="21"/>
        </w:rPr>
        <w:t xml:space="preserve">Lors de la génération d'un quiz, une requête sémantique (construite à partir des thèmes demandés par l'enseignant, ou d'une requête générique sinon) permet de récupérer les k passages les plus pertinents. Ces passages sont injectés dans un prompt structuré envoyé au LLM, qui doit répondre strictement en JSON (questions, choix, réponse correcte, explication, extrait source), ce qui facilite un parsing fiable côté serveur.</w:t>
      </w:r>
    </w:p>
    <w:p>
      <w:pPr>
        <w:pStyle w:val="Heading2"/>
        <w:spacing w:after="100" w:before="240"/>
      </w:pPr>
      <w:r>
        <w:rPr>
          <w:b/>
          <w:bCs/>
          <w:color w:val="1A1A1A"/>
          <w:sz w:val="24"/>
          <w:szCs w:val="24"/>
        </w:rPr>
        <w:t xml:space="preserve">6.4 Correction automatique</w:t>
      </w:r>
    </w:p>
    <w:p>
      <w:pPr>
        <w:spacing w:after="140" w:line="276"/>
        <w:jc w:val="both"/>
      </w:pPr>
      <w:r>
        <w:rPr>
          <w:color w:val="1A1A1A"/>
          <w:sz w:val="21"/>
          <w:szCs w:val="21"/>
        </w:rPr>
        <w:t xml:space="preserve">Les QCM sont corrigés par comparaison exacte de l'index ou du texte choisi. Les questions ouvertes sont corrigées par similarité cosinus entre l'embedding de la réponse de l'étudiant et celui de la réponse de référence, avec un seuil configurable (0.62 par défaut). Cette approche, documentée comme limite dans le cahier des charges, ne capture pas toujours toutes les nuances d'une réponse rédigée librement.</w:t>
      </w:r>
    </w:p>
    <w:p>
      <w:pPr>
        <w:pStyle w:val="Heading1"/>
        <w:pBdr>
          <w:bottom w:val="single" w:color="C8102E" w:sz="6" w:space="4"/>
        </w:pBdr>
        <w:spacing w:after="160" w:before="320"/>
      </w:pPr>
      <w:r>
        <w:rPr>
          <w:b/>
          <w:bCs/>
          <w:color w:val="C8102E"/>
          <w:sz w:val="30"/>
          <w:szCs w:val="30"/>
        </w:rPr>
        <w:t xml:space="preserve">7. Description des modules</w:t>
      </w:r>
    </w:p>
    <w:p>
      <w:pPr>
        <w:pStyle w:val="Heading3"/>
        <w:spacing w:after="80" w:before="180"/>
      </w:pPr>
      <w:r>
        <w:rPr>
          <w:b/>
          <w:bCs/>
          <w:color w:val="C8102E"/>
          <w:sz w:val="21"/>
          <w:szCs w:val="21"/>
        </w:rPr>
        <w:t xml:space="preserve">7.1 Module Enseignant</w:t>
      </w:r>
    </w:p>
    <w:p>
      <w:pPr>
        <w:spacing w:after="140" w:line="276"/>
        <w:jc w:val="both"/>
      </w:pPr>
      <w:r>
        <w:rPr>
          <w:color w:val="1A1A1A"/>
          <w:sz w:val="21"/>
          <w:szCs w:val="21"/>
        </w:rPr>
        <w:t xml:space="preserve">Permet de téléverser un ou plusieurs documents, de configurer les paramètres du quiz (nombre de questions, type, difficulté, thèmes), de prévisualiser le résultat, de le publier, puis de l'exporter.</w:t>
      </w:r>
    </w:p>
    <w:p>
      <w:pPr>
        <w:pStyle w:val="Heading3"/>
        <w:spacing w:after="80" w:before="180"/>
      </w:pPr>
      <w:r>
        <w:rPr>
          <w:b/>
          <w:bCs/>
          <w:color w:val="C8102E"/>
          <w:sz w:val="21"/>
          <w:szCs w:val="21"/>
        </w:rPr>
        <w:t xml:space="preserve">7.2 Module Étudiant</w:t>
      </w:r>
    </w:p>
    <w:p>
      <w:pPr>
        <w:spacing w:after="140" w:line="276"/>
        <w:jc w:val="both"/>
      </w:pPr>
      <w:r>
        <w:rPr>
          <w:color w:val="1A1A1A"/>
          <w:sz w:val="21"/>
          <w:szCs w:val="21"/>
        </w:rPr>
        <w:t xml:space="preserve">Permet de choisir un quiz publié, de répondre aux questions, et d'obtenir immédiatement un score, le détail des réponses, des explications, ainsi que des statistiques par thème et par type de question.</w:t>
      </w:r>
    </w:p>
    <w:p>
      <w:pPr>
        <w:pStyle w:val="Heading3"/>
        <w:spacing w:after="80" w:before="180"/>
      </w:pPr>
      <w:r>
        <w:rPr>
          <w:b/>
          <w:bCs/>
          <w:color w:val="C8102E"/>
          <w:sz w:val="21"/>
          <w:szCs w:val="21"/>
        </w:rPr>
        <w:t xml:space="preserve">7.3 Module d'Export</w:t>
      </w:r>
    </w:p>
    <w:p>
      <w:pPr>
        <w:spacing w:after="140" w:line="276"/>
        <w:jc w:val="both"/>
      </w:pPr>
      <w:r>
        <w:rPr>
          <w:color w:val="1A1A1A"/>
          <w:sz w:val="21"/>
          <w:szCs w:val="21"/>
        </w:rPr>
        <w:t xml:space="preserve">Génère un PDF prêt à imprimer et un JSON structuré, avec ou sans les réponses, pour intégration dans un ENT ou un LMS.</w:t>
      </w:r>
    </w:p>
    <w:p>
      <w:pPr>
        <w:pStyle w:val="Heading1"/>
        <w:pBdr>
          <w:bottom w:val="single" w:color="C8102E" w:sz="6" w:space="4"/>
        </w:pBdr>
        <w:spacing w:after="160" w:before="320"/>
      </w:pPr>
      <w:r>
        <w:rPr>
          <w:b/>
          <w:bCs/>
          <w:color w:val="C8102E"/>
          <w:sz w:val="30"/>
          <w:szCs w:val="30"/>
        </w:rPr>
        <w:t xml:space="preserve">8. Démarche de développement (méthodologie)</w:t>
      </w:r>
    </w:p>
    <w:p>
      <w:pPr>
        <w:spacing w:after="140" w:line="276"/>
        <w:jc w:val="both"/>
      </w:pPr>
      <w:r>
        <w:rPr>
          <w:color w:val="1A1A1A"/>
          <w:sz w:val="21"/>
          <w:szCs w:val="21"/>
        </w:rPr>
        <w:t xml:space="preserve">Le développement a suivi un modèle itératif et incrémental organisé en sprints, conformément au cycle de vie proposé dans le cahier des charges :</w:t>
      </w:r>
    </w:p>
    <w:p>
      <w:pPr>
        <w:pStyle w:val="ListParagraph"/>
        <w:numPr>
          <w:ilvl w:val="0"/>
          <w:numId w:val="2"/>
        </w:numPr>
        <w:spacing w:after="80"/>
      </w:pPr>
      <w:r>
        <w:rPr>
          <w:color w:val="1A1A1A"/>
          <w:sz w:val="21"/>
          <w:szCs w:val="21"/>
        </w:rPr>
        <w:t xml:space="preserve">Semaine 1 : prise en main des technologies (FastAPI, LangChain, bibliothèques d'extraction) et définition précise des spécifications.</w:t>
      </w:r>
    </w:p>
    <w:p>
      <w:pPr>
        <w:pStyle w:val="ListParagraph"/>
        <w:numPr>
          <w:ilvl w:val="0"/>
          <w:numId w:val="2"/>
        </w:numPr>
        <w:spacing w:after="80"/>
      </w:pPr>
      <w:r>
        <w:rPr>
          <w:color w:val="1A1A1A"/>
          <w:sz w:val="21"/>
          <w:szCs w:val="21"/>
        </w:rPr>
        <w:t xml:space="preserve">Sprint 1 : pipeline d'ingestion des documents et stockage vectoriel.</w:t>
      </w:r>
    </w:p>
    <w:p>
      <w:pPr>
        <w:pStyle w:val="ListParagraph"/>
        <w:numPr>
          <w:ilvl w:val="0"/>
          <w:numId w:val="2"/>
        </w:numPr>
        <w:spacing w:after="80"/>
      </w:pPr>
      <w:r>
        <w:rPr>
          <w:color w:val="1A1A1A"/>
          <w:sz w:val="21"/>
          <w:szCs w:val="21"/>
        </w:rPr>
        <w:t xml:space="preserve">Sprint 2 : intégration du LLM (couche d'abstraction multi-fournisseur) et génération des questions.</w:t>
      </w:r>
    </w:p>
    <w:p>
      <w:pPr>
        <w:pStyle w:val="ListParagraph"/>
        <w:numPr>
          <w:ilvl w:val="0"/>
          <w:numId w:val="2"/>
        </w:numPr>
        <w:spacing w:after="80"/>
      </w:pPr>
      <w:r>
        <w:rPr>
          <w:color w:val="1A1A1A"/>
          <w:sz w:val="21"/>
          <w:szCs w:val="21"/>
        </w:rPr>
        <w:t xml:space="preserve">Sprint 3 : interface étudiant et module d'auto-évaluation.</w:t>
      </w:r>
    </w:p>
    <w:p>
      <w:pPr>
        <w:pStyle w:val="ListParagraph"/>
        <w:numPr>
          <w:ilvl w:val="0"/>
          <w:numId w:val="2"/>
        </w:numPr>
        <w:spacing w:after="80"/>
      </w:pPr>
      <w:r>
        <w:rPr>
          <w:color w:val="1A1A1A"/>
          <w:sz w:val="21"/>
          <w:szCs w:val="21"/>
        </w:rPr>
        <w:t xml:space="preserve">Sprint 4 : export PDF/JSON, tests automatisés et rédaction du guide d'utilisation.</w:t>
      </w:r>
    </w:p>
    <w:p>
      <w:pPr>
        <w:pStyle w:val="Heading1"/>
        <w:pBdr>
          <w:bottom w:val="single" w:color="C8102E" w:sz="6" w:space="4"/>
        </w:pBdr>
        <w:spacing w:after="160" w:before="320"/>
      </w:pPr>
      <w:r>
        <w:rPr>
          <w:b/>
          <w:bCs/>
          <w:color w:val="C8102E"/>
          <w:sz w:val="30"/>
          <w:szCs w:val="30"/>
        </w:rPr>
        <w:t xml:space="preserve">9. Tests et validation</w:t>
      </w:r>
    </w:p>
    <w:p>
      <w:pPr>
        <w:spacing w:after="140" w:line="276"/>
        <w:jc w:val="both"/>
      </w:pPr>
      <w:r>
        <w:rPr>
          <w:color w:val="1A1A1A"/>
          <w:sz w:val="21"/>
          <w:szCs w:val="21"/>
        </w:rPr>
        <w:t xml:space="preserve">Une suite de 21 tests automatisés (pytest) couvre l'ensemble du pipeline : extraction et chunking, génération de quiz (via un fournisseur LLM factice permettant de tester la logique sans dépendance à une API externe payante), correction des réponses, export PDF/JSON, ainsi qu'un test d'intégration bout-en-bout simulant le parcours complet enseignant → étudiant (téléversement, génération, publication, soumission, correction, export).</w:t>
      </w:r>
    </w:p>
    <w:p>
      <w:pPr>
        <w:spacing w:after="140" w:line="276"/>
        <w:jc w:val="both"/>
      </w:pPr>
      <w:r>
        <w:rPr>
          <w:color w:val="1A1A1A"/>
          <w:sz w:val="21"/>
          <w:szCs w:val="21"/>
        </w:rPr>
        <w:t xml:space="preserve">Cette stratégie de test — isoler les composants coûteux (LLM, embeddings) derrière des interfaces simulables — a permis de valider la logique métier de façon rapide et reproductible, indépendamment de la disponibilité d'une clé API.</w:t>
      </w:r>
    </w:p>
    <w:p>
      <w:pPr>
        <w:pStyle w:val="Heading1"/>
        <w:pBdr>
          <w:bottom w:val="single" w:color="C8102E" w:sz="6" w:space="4"/>
        </w:pBdr>
        <w:spacing w:after="160" w:before="320"/>
      </w:pPr>
      <w:r>
        <w:rPr>
          <w:b/>
          <w:bCs/>
          <w:color w:val="C8102E"/>
          <w:sz w:val="30"/>
          <w:szCs w:val="30"/>
        </w:rPr>
        <w:t xml:space="preserve">10. Difficultés rencontrées et solutions apportées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800"/>
        <w:gridCol w:w="5500"/>
      </w:tblGrid>
      <w:tr>
        <w:tc>
          <w:tcPr>
            <w:tcW w:type="dxa" w:w="3800"/>
            <w:shd w:fill="C8102E" w:val="clear"/>
            <w:tcMar>
              <w:top w:type="dxa" w:w="80"/>
              <w:left w:type="dxa" w:w="100"/>
              <w:bottom w:type="dxa" w:w="80"/>
              <w:right w:type="dxa" w:w="100"/>
            </w:tcMar>
          </w:tcPr>
          <w:p>
            <w:r>
              <w:rPr>
                <w:b/>
                <w:bCs/>
                <w:color w:val="FFFFFF"/>
                <w:sz w:val="20"/>
                <w:szCs w:val="20"/>
              </w:rPr>
              <w:t xml:space="preserve">Difficulté</w:t>
            </w:r>
          </w:p>
        </w:tc>
        <w:tc>
          <w:tcPr>
            <w:tcW w:type="dxa" w:w="5500"/>
            <w:shd w:fill="C8102E" w:val="clear"/>
            <w:tcMar>
              <w:top w:type="dxa" w:w="80"/>
              <w:left w:type="dxa" w:w="100"/>
              <w:bottom w:type="dxa" w:w="80"/>
              <w:right w:type="dxa" w:w="100"/>
            </w:tcMar>
          </w:tcPr>
          <w:p>
            <w:r>
              <w:rPr>
                <w:b/>
                <w:bCs/>
                <w:color w:val="FFFFFF"/>
                <w:sz w:val="20"/>
                <w:szCs w:val="20"/>
              </w:rPr>
              <w:t xml:space="preserve">Solution apportée</w:t>
            </w:r>
          </w:p>
        </w:tc>
      </w:tr>
      <w:tr>
        <w:tc>
          <w:tcPr>
            <w:tcW w:type="dxa" w:w="3800"/>
            <w:tcMar>
              <w:top w:type="dxa" w:w="80"/>
              <w:left w:type="dxa" w:w="100"/>
              <w:bottom w:type="dxa" w:w="80"/>
              <w:right w:type="dxa" w:w="100"/>
            </w:tcMar>
          </w:tcPr>
          <w:p>
            <w:r>
              <w:rPr>
                <w:b w:val="false"/>
                <w:bCs w:val="false"/>
                <w:color w:val="1A1A1A"/>
                <w:sz w:val="20"/>
                <w:szCs w:val="20"/>
              </w:rPr>
              <w:t xml:space="preserve">Dépendance à une clé API pour tester le pipeline</w:t>
            </w:r>
          </w:p>
        </w:tc>
        <w:tc>
          <w:tcPr>
            <w:tcW w:type="dxa" w:w="5500"/>
            <w:tcMar>
              <w:top w:type="dxa" w:w="80"/>
              <w:left w:type="dxa" w:w="100"/>
              <w:bottom w:type="dxa" w:w="80"/>
              <w:right w:type="dxa" w:w="100"/>
            </w:tcMar>
          </w:tcPr>
          <w:p>
            <w:r>
              <w:rPr>
                <w:b w:val="false"/>
                <w:bCs w:val="false"/>
                <w:color w:val="1A1A1A"/>
                <w:sz w:val="20"/>
                <w:szCs w:val="20"/>
              </w:rPr>
              <w:t xml:space="preserve">Mise en place d'un fournisseur LLM « mock » générant de vraies questions à partir des passages récupérés, sans appel réseau</w:t>
            </w:r>
          </w:p>
        </w:tc>
      </w:tr>
      <w:tr>
        <w:tc>
          <w:tcPr>
            <w:tcW w:type="dxa" w:w="3800"/>
            <w:tcMar>
              <w:top w:type="dxa" w:w="80"/>
              <w:left w:type="dxa" w:w="100"/>
              <w:bottom w:type="dxa" w:w="80"/>
              <w:right w:type="dxa" w:w="100"/>
            </w:tcMar>
          </w:tcPr>
          <w:p>
            <w:r>
              <w:rPr>
                <w:b w:val="false"/>
                <w:bCs w:val="false"/>
                <w:color w:val="1A1A1A"/>
                <w:sz w:val="20"/>
                <w:szCs w:val="20"/>
              </w:rPr>
              <w:t xml:space="preserve">Fiabilité du parsing de la réponse du LLM</w:t>
            </w:r>
          </w:p>
        </w:tc>
        <w:tc>
          <w:tcPr>
            <w:tcW w:type="dxa" w:w="5500"/>
            <w:tcMar>
              <w:top w:type="dxa" w:w="80"/>
              <w:left w:type="dxa" w:w="100"/>
              <w:bottom w:type="dxa" w:w="80"/>
              <w:right w:type="dxa" w:w="100"/>
            </w:tcMar>
          </w:tcPr>
          <w:p>
            <w:r>
              <w:rPr>
                <w:b w:val="false"/>
                <w:bCs w:val="false"/>
                <w:color w:val="1A1A1A"/>
                <w:sz w:val="20"/>
                <w:szCs w:val="20"/>
              </w:rPr>
              <w:t xml:space="preserve">Prompt strict imposant un format JSON, avec nettoyage des délimiteurs markdown et validation Pydantic ; les questions malformées sont ignorées plutôt que de faire échouer tout le quiz</w:t>
            </w:r>
          </w:p>
        </w:tc>
      </w:tr>
      <w:tr>
        <w:tc>
          <w:tcPr>
            <w:tcW w:type="dxa" w:w="3800"/>
            <w:tcMar>
              <w:top w:type="dxa" w:w="80"/>
              <w:left w:type="dxa" w:w="100"/>
              <w:bottom w:type="dxa" w:w="80"/>
              <w:right w:type="dxa" w:w="100"/>
            </w:tcMar>
          </w:tcPr>
          <w:p>
            <w:r>
              <w:rPr>
                <w:b w:val="false"/>
                <w:bCs w:val="false"/>
                <w:color w:val="1A1A1A"/>
                <w:sz w:val="20"/>
                <w:szCs w:val="20"/>
              </w:rPr>
              <w:t xml:space="preserve">Correction des questions ouvertes</w:t>
            </w:r>
          </w:p>
        </w:tc>
        <w:tc>
          <w:tcPr>
            <w:tcW w:type="dxa" w:w="5500"/>
            <w:tcMar>
              <w:top w:type="dxa" w:w="80"/>
              <w:left w:type="dxa" w:w="100"/>
              <w:bottom w:type="dxa" w:w="80"/>
              <w:right w:type="dxa" w:w="100"/>
            </w:tcMar>
          </w:tcPr>
          <w:p>
            <w:r>
              <w:rPr>
                <w:b w:val="false"/>
                <w:bCs w:val="false"/>
                <w:color w:val="1A1A1A"/>
                <w:sz w:val="20"/>
                <w:szCs w:val="20"/>
              </w:rPr>
              <w:t xml:space="preserve">Similarité sémantique par embeddings plutôt qu'une correspondance exacte, avec seuil ajustable</w:t>
            </w:r>
          </w:p>
        </w:tc>
      </w:tr>
      <w:tr>
        <w:tc>
          <w:tcPr>
            <w:tcW w:type="dxa" w:w="3800"/>
            <w:tcMar>
              <w:top w:type="dxa" w:w="80"/>
              <w:left w:type="dxa" w:w="100"/>
              <w:bottom w:type="dxa" w:w="80"/>
              <w:right w:type="dxa" w:w="100"/>
            </w:tcMar>
          </w:tcPr>
          <w:p>
            <w:r>
              <w:rPr>
                <w:b w:val="false"/>
                <w:bCs w:val="false"/>
                <w:color w:val="1A1A1A"/>
                <w:sz w:val="20"/>
                <w:szCs w:val="20"/>
              </w:rPr>
              <w:t xml:space="preserve">Traçabilité des questions générées</w:t>
            </w:r>
          </w:p>
        </w:tc>
        <w:tc>
          <w:tcPr>
            <w:tcW w:type="dxa" w:w="5500"/>
            <w:tcMar>
              <w:top w:type="dxa" w:w="80"/>
              <w:left w:type="dxa" w:w="100"/>
              <w:bottom w:type="dxa" w:w="80"/>
              <w:right w:type="dxa" w:w="100"/>
            </w:tcMar>
          </w:tcPr>
          <w:p>
            <w:r>
              <w:rPr>
                <w:b w:val="false"/>
                <w:bCs w:val="false"/>
                <w:color w:val="1A1A1A"/>
                <w:sz w:val="20"/>
                <w:szCs w:val="20"/>
              </w:rPr>
              <w:t xml:space="preserve">Chaque question conserve l'extrait de cours (source_excerpt) ayant servi à sa génération</w:t>
            </w:r>
          </w:p>
        </w:tc>
      </w:tr>
    </w:tbl>
    <w:p>
      <w:pPr>
        <w:pStyle w:val="Heading1"/>
        <w:pBdr>
          <w:bottom w:val="single" w:color="C8102E" w:sz="6" w:space="4"/>
        </w:pBdr>
        <w:spacing w:after="160" w:before="320"/>
      </w:pPr>
      <w:r>
        <w:rPr>
          <w:b/>
          <w:bCs/>
          <w:color w:val="C8102E"/>
          <w:sz w:val="30"/>
          <w:szCs w:val="30"/>
        </w:rPr>
        <w:t xml:space="preserve">11. Limites et perspectives d'évolution</w:t>
      </w:r>
    </w:p>
    <w:p>
      <w:pPr>
        <w:spacing w:after="140" w:line="276"/>
        <w:jc w:val="both"/>
      </w:pPr>
      <w:r>
        <w:rPr>
          <w:color w:val="1A1A1A"/>
          <w:sz w:val="21"/>
          <w:szCs w:val="21"/>
        </w:rPr>
        <w:t xml:space="preserve">Comme indiqué dans le cahier des charges, la qualité des questions dépend directement de la qualité du document source ; les documents scannés sans OCR ou contenant des équations complexes ne sont pas pris en charge nativement. La correction sémantique des questions ouvertes peut ne pas capturer toutes les nuances d'une réponse étudiante. Enfin, les appels au LLM nécessitent une connexion Internet et engendrent un coût variable selon le fournisseur.</w:t>
      </w:r>
    </w:p>
    <w:p>
      <w:pPr>
        <w:spacing w:after="140" w:line="276"/>
        <w:jc w:val="both"/>
      </w:pPr>
      <w:r>
        <w:rPr>
          <w:color w:val="1A1A1A"/>
          <w:sz w:val="21"/>
          <w:szCs w:val="21"/>
        </w:rPr>
        <w:t xml:space="preserve">Plusieurs pistes d'évolution ont été identifiées : remplacement du stockage fichier par une base de données relationnelle, authentification des utilisateurs, support de l'OCR, traitement asynchrone pour les gros documents, et un tableau de bord analytique pour l'enseignant.</w:t>
      </w:r>
    </w:p>
    <w:p>
      <w:pPr>
        <w:pStyle w:val="Heading1"/>
        <w:pBdr>
          <w:bottom w:val="single" w:color="C8102E" w:sz="6" w:space="4"/>
        </w:pBdr>
        <w:spacing w:after="160" w:before="320"/>
      </w:pPr>
      <w:r>
        <w:rPr>
          <w:b/>
          <w:bCs/>
          <w:color w:val="C8102E"/>
          <w:sz w:val="30"/>
          <w:szCs w:val="30"/>
        </w:rPr>
        <w:t xml:space="preserve">12. Conclusion</w:t>
      </w:r>
    </w:p>
    <w:p>
      <w:pPr>
        <w:spacing w:after="140" w:line="276"/>
        <w:jc w:val="both"/>
      </w:pPr>
      <w:r>
        <w:rPr>
          <w:color w:val="1A1A1A"/>
          <w:sz w:val="21"/>
          <w:szCs w:val="21"/>
        </w:rPr>
        <w:t xml:space="preserve">Ce stage a permis de concevoir et développer une application complète mettant en œuvre un pipeline RAG de bout en bout, depuis l'ingestion de documents jusqu'à la génération, la correction et l'export de questionnaires pédagogiques. Le projet répond à l'ensemble des exigences fonctionnelles du cahier des charges et a été validé par une suite de tests automatisés couvrant les principaux scénarios d'utilisation. Il constitue une base solide, documentée et testée, pouvant être étendue selon les retours des utilisateurs finaux.</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ESPRIT — Se former autrement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i/>
        <w:iCs/>
        <w:color w:val="595959"/>
        <w:sz w:val="16"/>
        <w:szCs w:val="16"/>
      </w:rPr>
      <w:t xml:space="preserve">Rapport de Stage — QuizBot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2026-07-09T20:14:28.665Z</dcterms:created>
  <dcterms:modified xsi:type="dcterms:W3CDTF">2026-07-09T20:14:28.691Z</dcterms:modified>
</cp:coreProperties>
</file>

<file path=docProps/custom.xml><?xml version="1.0" encoding="utf-8"?>
<Properties xmlns="http://schemas.openxmlformats.org/officeDocument/2006/custom-properties" xmlns:vt="http://schemas.openxmlformats.org/officeDocument/2006/docPropsVTypes"/>
</file>